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21F8B8" w14:textId="4A54F453" w:rsidR="00EC2FD2" w:rsidRDefault="00EC2FD2" w:rsidP="003373EC">
      <w:pPr>
        <w:pStyle w:val="Title"/>
      </w:pPr>
      <w:r>
        <w:t>Supplementary Material</w:t>
      </w:r>
      <w:r w:rsidR="00DE3AF0">
        <w:t xml:space="preserve"> - </w:t>
      </w:r>
      <w:r w:rsidR="00DE3AF0" w:rsidRPr="00DE3AF0">
        <w:t>Koberle et al – Brazil Paper EMF33 – SOM</w:t>
      </w:r>
    </w:p>
    <w:p w14:paraId="0F4F5FF9" w14:textId="77777777" w:rsidR="00EC2FD2" w:rsidRDefault="00EC2FD2" w:rsidP="00EC2FD2"/>
    <w:p w14:paraId="73217E9D" w14:textId="77777777" w:rsidR="00EC2FD2" w:rsidRPr="00C43ADF" w:rsidRDefault="00EC2FD2" w:rsidP="003373EC">
      <w:pPr>
        <w:pStyle w:val="Heading1"/>
      </w:pPr>
      <w:r w:rsidRPr="00897433">
        <w:t>Overview of models</w:t>
      </w:r>
    </w:p>
    <w:p w14:paraId="67034A5A" w14:textId="657AE493" w:rsidR="00EC2FD2" w:rsidRDefault="00EC2FD2" w:rsidP="00EC2FD2">
      <w:pPr>
        <w:pStyle w:val="Caption"/>
        <w:keepNext/>
        <w:jc w:val="center"/>
      </w:pPr>
      <w:bookmarkStart w:id="0" w:name="_Ref496127173"/>
      <w:r>
        <w:t>Table S</w:t>
      </w:r>
      <w:r w:rsidR="008A1875">
        <w:fldChar w:fldCharType="begin"/>
      </w:r>
      <w:r w:rsidR="008A1875">
        <w:instrText xml:space="preserve"> SEQ Table \* ARABIC </w:instrText>
      </w:r>
      <w:r w:rsidR="008A1875">
        <w:fldChar w:fldCharType="separate"/>
      </w:r>
      <w:r w:rsidR="002B128D">
        <w:rPr>
          <w:noProof/>
        </w:rPr>
        <w:t>1</w:t>
      </w:r>
      <w:r w:rsidR="008A1875">
        <w:rPr>
          <w:noProof/>
        </w:rPr>
        <w:fldChar w:fldCharType="end"/>
      </w:r>
      <w:bookmarkEnd w:id="0"/>
      <w:r>
        <w:t xml:space="preserve"> - Overview of models analyzed in this study</w:t>
      </w:r>
      <w:r w:rsidR="00767755">
        <w:t xml:space="preserve"> (Source: Bauer et al, this issue)</w:t>
      </w:r>
    </w:p>
    <w:tbl>
      <w:tblPr>
        <w:tblW w:w="15767" w:type="dxa"/>
        <w:tblInd w:w="-10" w:type="dxa"/>
        <w:tblLook w:val="04A0" w:firstRow="1" w:lastRow="0" w:firstColumn="1" w:lastColumn="0" w:noHBand="0" w:noVBand="1"/>
      </w:tblPr>
      <w:tblGrid>
        <w:gridCol w:w="1437"/>
        <w:gridCol w:w="1437"/>
        <w:gridCol w:w="1597"/>
        <w:gridCol w:w="1597"/>
        <w:gridCol w:w="1277"/>
        <w:gridCol w:w="1307"/>
        <w:gridCol w:w="1307"/>
        <w:gridCol w:w="1597"/>
        <w:gridCol w:w="1267"/>
        <w:gridCol w:w="1677"/>
        <w:gridCol w:w="1267"/>
      </w:tblGrid>
      <w:tr w:rsidR="00D40C52" w:rsidRPr="00F36956" w14:paraId="72C15EF5" w14:textId="77777777" w:rsidTr="00507244">
        <w:trPr>
          <w:trHeight w:val="456"/>
        </w:trPr>
        <w:tc>
          <w:tcPr>
            <w:tcW w:w="1437" w:type="dxa"/>
            <w:tcBorders>
              <w:top w:val="single" w:sz="8" w:space="0" w:color="auto"/>
              <w:left w:val="single" w:sz="8" w:space="0" w:color="auto"/>
              <w:bottom w:val="single" w:sz="4" w:space="0" w:color="auto"/>
              <w:right w:val="nil"/>
            </w:tcBorders>
            <w:shd w:val="clear" w:color="auto" w:fill="auto"/>
            <w:vAlign w:val="center"/>
            <w:hideMark/>
          </w:tcPr>
          <w:p w14:paraId="044843ED"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Model name</w:t>
            </w:r>
          </w:p>
        </w:tc>
        <w:tc>
          <w:tcPr>
            <w:tcW w:w="1437" w:type="dxa"/>
            <w:tcBorders>
              <w:top w:val="single" w:sz="8" w:space="0" w:color="auto"/>
              <w:left w:val="nil"/>
              <w:bottom w:val="single" w:sz="4" w:space="0" w:color="auto"/>
              <w:right w:val="nil"/>
            </w:tcBorders>
            <w:shd w:val="clear" w:color="auto" w:fill="auto"/>
            <w:vAlign w:val="center"/>
            <w:hideMark/>
          </w:tcPr>
          <w:p w14:paraId="63629DC8"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AIM-CGE</w:t>
            </w:r>
          </w:p>
        </w:tc>
        <w:tc>
          <w:tcPr>
            <w:tcW w:w="1597" w:type="dxa"/>
            <w:tcBorders>
              <w:top w:val="single" w:sz="8" w:space="0" w:color="auto"/>
              <w:left w:val="nil"/>
              <w:bottom w:val="single" w:sz="4" w:space="0" w:color="auto"/>
              <w:right w:val="nil"/>
            </w:tcBorders>
            <w:vAlign w:val="center"/>
          </w:tcPr>
          <w:p w14:paraId="1893A244" w14:textId="4AD03660"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BET</w:t>
            </w:r>
          </w:p>
        </w:tc>
        <w:tc>
          <w:tcPr>
            <w:tcW w:w="1597" w:type="dxa"/>
            <w:tcBorders>
              <w:top w:val="single" w:sz="8" w:space="0" w:color="auto"/>
              <w:left w:val="nil"/>
              <w:bottom w:val="single" w:sz="4" w:space="0" w:color="auto"/>
              <w:right w:val="nil"/>
            </w:tcBorders>
            <w:shd w:val="clear" w:color="auto" w:fill="auto"/>
            <w:vAlign w:val="center"/>
            <w:hideMark/>
          </w:tcPr>
          <w:p w14:paraId="594BF4D2" w14:textId="3DFC714E"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COFFEE</w:t>
            </w:r>
          </w:p>
        </w:tc>
        <w:tc>
          <w:tcPr>
            <w:tcW w:w="1277" w:type="dxa"/>
            <w:tcBorders>
              <w:top w:val="single" w:sz="8" w:space="0" w:color="auto"/>
              <w:left w:val="nil"/>
              <w:bottom w:val="single" w:sz="4" w:space="0" w:color="auto"/>
              <w:right w:val="nil"/>
            </w:tcBorders>
            <w:shd w:val="clear" w:color="auto" w:fill="auto"/>
            <w:vAlign w:val="center"/>
            <w:hideMark/>
          </w:tcPr>
          <w:p w14:paraId="51FBFD18"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DNE21+</w:t>
            </w:r>
          </w:p>
        </w:tc>
        <w:tc>
          <w:tcPr>
            <w:tcW w:w="1307" w:type="dxa"/>
            <w:tcBorders>
              <w:top w:val="single" w:sz="8" w:space="0" w:color="auto"/>
              <w:left w:val="nil"/>
              <w:bottom w:val="single" w:sz="4" w:space="0" w:color="auto"/>
              <w:right w:val="nil"/>
            </w:tcBorders>
            <w:shd w:val="clear" w:color="auto" w:fill="auto"/>
            <w:vAlign w:val="center"/>
            <w:hideMark/>
          </w:tcPr>
          <w:p w14:paraId="4B2975A2"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FARM 3.1</w:t>
            </w:r>
          </w:p>
        </w:tc>
        <w:tc>
          <w:tcPr>
            <w:tcW w:w="1307" w:type="dxa"/>
            <w:tcBorders>
              <w:top w:val="single" w:sz="8" w:space="0" w:color="auto"/>
              <w:left w:val="nil"/>
              <w:bottom w:val="single" w:sz="4" w:space="0" w:color="auto"/>
              <w:right w:val="nil"/>
            </w:tcBorders>
            <w:shd w:val="clear" w:color="auto" w:fill="auto"/>
            <w:vAlign w:val="center"/>
            <w:hideMark/>
          </w:tcPr>
          <w:p w14:paraId="1092A19E"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GRAPE 15</w:t>
            </w:r>
          </w:p>
        </w:tc>
        <w:tc>
          <w:tcPr>
            <w:tcW w:w="1597" w:type="dxa"/>
            <w:tcBorders>
              <w:top w:val="single" w:sz="8" w:space="0" w:color="auto"/>
              <w:left w:val="nil"/>
              <w:bottom w:val="single" w:sz="4" w:space="0" w:color="auto"/>
              <w:right w:val="nil"/>
            </w:tcBorders>
            <w:shd w:val="clear" w:color="auto" w:fill="auto"/>
            <w:vAlign w:val="center"/>
            <w:hideMark/>
          </w:tcPr>
          <w:p w14:paraId="644EF51A"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GCAM</w:t>
            </w:r>
          </w:p>
        </w:tc>
        <w:tc>
          <w:tcPr>
            <w:tcW w:w="1267" w:type="dxa"/>
            <w:tcBorders>
              <w:top w:val="single" w:sz="8" w:space="0" w:color="auto"/>
              <w:left w:val="nil"/>
              <w:bottom w:val="single" w:sz="4" w:space="0" w:color="auto"/>
              <w:right w:val="nil"/>
            </w:tcBorders>
            <w:shd w:val="clear" w:color="auto" w:fill="auto"/>
            <w:vAlign w:val="center"/>
            <w:hideMark/>
          </w:tcPr>
          <w:p w14:paraId="441DC3F5"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IMACLIM</w:t>
            </w:r>
          </w:p>
        </w:tc>
        <w:tc>
          <w:tcPr>
            <w:tcW w:w="1677" w:type="dxa"/>
            <w:tcBorders>
              <w:top w:val="single" w:sz="8" w:space="0" w:color="auto"/>
              <w:left w:val="nil"/>
              <w:bottom w:val="single" w:sz="4" w:space="0" w:color="auto"/>
              <w:right w:val="nil"/>
            </w:tcBorders>
            <w:shd w:val="clear" w:color="auto" w:fill="auto"/>
            <w:vAlign w:val="center"/>
            <w:hideMark/>
          </w:tcPr>
          <w:p w14:paraId="44F35BDB"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IMAGE</w:t>
            </w:r>
          </w:p>
        </w:tc>
        <w:tc>
          <w:tcPr>
            <w:tcW w:w="1267" w:type="dxa"/>
            <w:tcBorders>
              <w:top w:val="single" w:sz="8" w:space="0" w:color="auto"/>
              <w:left w:val="nil"/>
              <w:bottom w:val="single" w:sz="4" w:space="0" w:color="auto"/>
              <w:right w:val="single" w:sz="8" w:space="0" w:color="auto"/>
            </w:tcBorders>
            <w:shd w:val="clear" w:color="auto" w:fill="auto"/>
            <w:vAlign w:val="center"/>
            <w:hideMark/>
          </w:tcPr>
          <w:p w14:paraId="4717AFD5"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POLES</w:t>
            </w:r>
          </w:p>
        </w:tc>
      </w:tr>
      <w:tr w:rsidR="00D40C52" w:rsidRPr="00F36956" w14:paraId="1B340B95" w14:textId="77777777" w:rsidTr="00507244">
        <w:trPr>
          <w:trHeight w:val="456"/>
        </w:trPr>
        <w:tc>
          <w:tcPr>
            <w:tcW w:w="1437" w:type="dxa"/>
            <w:tcBorders>
              <w:top w:val="nil"/>
              <w:left w:val="single" w:sz="8" w:space="0" w:color="auto"/>
              <w:bottom w:val="nil"/>
              <w:right w:val="nil"/>
            </w:tcBorders>
            <w:shd w:val="clear" w:color="auto" w:fill="auto"/>
            <w:vAlign w:val="center"/>
            <w:hideMark/>
          </w:tcPr>
          <w:p w14:paraId="7F64E25F"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Equilibrium type</w:t>
            </w:r>
          </w:p>
        </w:tc>
        <w:tc>
          <w:tcPr>
            <w:tcW w:w="1437" w:type="dxa"/>
            <w:tcBorders>
              <w:top w:val="nil"/>
              <w:left w:val="nil"/>
              <w:bottom w:val="nil"/>
              <w:right w:val="nil"/>
            </w:tcBorders>
            <w:shd w:val="clear" w:color="auto" w:fill="auto"/>
            <w:vAlign w:val="center"/>
            <w:hideMark/>
          </w:tcPr>
          <w:p w14:paraId="5C4D6300"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General equilibrium</w:t>
            </w:r>
          </w:p>
        </w:tc>
        <w:tc>
          <w:tcPr>
            <w:tcW w:w="1597" w:type="dxa"/>
            <w:tcBorders>
              <w:top w:val="nil"/>
              <w:left w:val="nil"/>
              <w:bottom w:val="nil"/>
              <w:right w:val="nil"/>
            </w:tcBorders>
            <w:vAlign w:val="center"/>
          </w:tcPr>
          <w:p w14:paraId="049AB007" w14:textId="30C2EA9A"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General equilibrium</w:t>
            </w:r>
          </w:p>
        </w:tc>
        <w:tc>
          <w:tcPr>
            <w:tcW w:w="1597" w:type="dxa"/>
            <w:tcBorders>
              <w:top w:val="nil"/>
              <w:left w:val="nil"/>
              <w:bottom w:val="nil"/>
              <w:right w:val="nil"/>
            </w:tcBorders>
            <w:shd w:val="clear" w:color="auto" w:fill="auto"/>
            <w:vAlign w:val="center"/>
            <w:hideMark/>
          </w:tcPr>
          <w:p w14:paraId="1FDBE705" w14:textId="72C4D7E0"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Partial equilibrium</w:t>
            </w:r>
          </w:p>
        </w:tc>
        <w:tc>
          <w:tcPr>
            <w:tcW w:w="1277" w:type="dxa"/>
            <w:tcBorders>
              <w:top w:val="nil"/>
              <w:left w:val="nil"/>
              <w:bottom w:val="nil"/>
              <w:right w:val="nil"/>
            </w:tcBorders>
            <w:shd w:val="clear" w:color="auto" w:fill="auto"/>
            <w:vAlign w:val="center"/>
            <w:hideMark/>
          </w:tcPr>
          <w:p w14:paraId="523A737F"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Partial equilibrium</w:t>
            </w:r>
          </w:p>
        </w:tc>
        <w:tc>
          <w:tcPr>
            <w:tcW w:w="1307" w:type="dxa"/>
            <w:tcBorders>
              <w:top w:val="nil"/>
              <w:left w:val="nil"/>
              <w:bottom w:val="nil"/>
              <w:right w:val="nil"/>
            </w:tcBorders>
            <w:shd w:val="clear" w:color="auto" w:fill="auto"/>
            <w:vAlign w:val="center"/>
            <w:hideMark/>
          </w:tcPr>
          <w:p w14:paraId="276DB052" w14:textId="625BDB16"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General Equilibrium</w:t>
            </w:r>
          </w:p>
        </w:tc>
        <w:tc>
          <w:tcPr>
            <w:tcW w:w="1307" w:type="dxa"/>
            <w:tcBorders>
              <w:top w:val="nil"/>
              <w:left w:val="nil"/>
              <w:bottom w:val="nil"/>
              <w:right w:val="nil"/>
            </w:tcBorders>
            <w:shd w:val="clear" w:color="auto" w:fill="auto"/>
            <w:vAlign w:val="center"/>
            <w:hideMark/>
          </w:tcPr>
          <w:p w14:paraId="361203D2" w14:textId="6644D12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Partial equilibrium</w:t>
            </w:r>
          </w:p>
        </w:tc>
        <w:tc>
          <w:tcPr>
            <w:tcW w:w="1597" w:type="dxa"/>
            <w:tcBorders>
              <w:top w:val="nil"/>
              <w:left w:val="nil"/>
              <w:bottom w:val="nil"/>
              <w:right w:val="nil"/>
            </w:tcBorders>
            <w:shd w:val="clear" w:color="auto" w:fill="auto"/>
            <w:vAlign w:val="center"/>
            <w:hideMark/>
          </w:tcPr>
          <w:p w14:paraId="6C295472"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Partial equilibrium</w:t>
            </w:r>
          </w:p>
        </w:tc>
        <w:tc>
          <w:tcPr>
            <w:tcW w:w="1267" w:type="dxa"/>
            <w:tcBorders>
              <w:top w:val="nil"/>
              <w:left w:val="nil"/>
              <w:bottom w:val="nil"/>
              <w:right w:val="nil"/>
            </w:tcBorders>
            <w:shd w:val="clear" w:color="auto" w:fill="auto"/>
            <w:vAlign w:val="center"/>
            <w:hideMark/>
          </w:tcPr>
          <w:p w14:paraId="08998C5C"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General equilibrium</w:t>
            </w:r>
          </w:p>
        </w:tc>
        <w:tc>
          <w:tcPr>
            <w:tcW w:w="1677" w:type="dxa"/>
            <w:tcBorders>
              <w:top w:val="nil"/>
              <w:left w:val="nil"/>
              <w:bottom w:val="nil"/>
              <w:right w:val="nil"/>
            </w:tcBorders>
            <w:shd w:val="clear" w:color="auto" w:fill="auto"/>
            <w:vAlign w:val="center"/>
            <w:hideMark/>
          </w:tcPr>
          <w:p w14:paraId="05AA4B1D"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Partial equilibrium</w:t>
            </w:r>
          </w:p>
        </w:tc>
        <w:tc>
          <w:tcPr>
            <w:tcW w:w="1267" w:type="dxa"/>
            <w:tcBorders>
              <w:top w:val="nil"/>
              <w:left w:val="nil"/>
              <w:bottom w:val="nil"/>
              <w:right w:val="single" w:sz="8" w:space="0" w:color="auto"/>
            </w:tcBorders>
            <w:shd w:val="clear" w:color="auto" w:fill="auto"/>
            <w:vAlign w:val="center"/>
            <w:hideMark/>
          </w:tcPr>
          <w:p w14:paraId="71105905"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Partial equilibrium</w:t>
            </w:r>
          </w:p>
        </w:tc>
      </w:tr>
      <w:tr w:rsidR="00D40C52" w:rsidRPr="00F36956" w14:paraId="0E0A3F6A" w14:textId="77777777" w:rsidTr="00507244">
        <w:trPr>
          <w:trHeight w:val="912"/>
        </w:trPr>
        <w:tc>
          <w:tcPr>
            <w:tcW w:w="1437" w:type="dxa"/>
            <w:tcBorders>
              <w:top w:val="single" w:sz="4" w:space="0" w:color="auto"/>
              <w:left w:val="single" w:sz="8" w:space="0" w:color="auto"/>
              <w:bottom w:val="single" w:sz="4" w:space="0" w:color="auto"/>
              <w:right w:val="nil"/>
            </w:tcBorders>
            <w:shd w:val="clear" w:color="auto" w:fill="auto"/>
            <w:vAlign w:val="center"/>
            <w:hideMark/>
          </w:tcPr>
          <w:p w14:paraId="36AD02DC"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Modeling approach</w:t>
            </w:r>
          </w:p>
        </w:tc>
        <w:tc>
          <w:tcPr>
            <w:tcW w:w="1437" w:type="dxa"/>
            <w:tcBorders>
              <w:top w:val="single" w:sz="4" w:space="0" w:color="auto"/>
              <w:left w:val="nil"/>
              <w:bottom w:val="single" w:sz="4" w:space="0" w:color="auto"/>
              <w:right w:val="nil"/>
            </w:tcBorders>
            <w:shd w:val="clear" w:color="auto" w:fill="auto"/>
            <w:vAlign w:val="center"/>
            <w:hideMark/>
          </w:tcPr>
          <w:p w14:paraId="26538073"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Recursive dynamic</w:t>
            </w:r>
          </w:p>
        </w:tc>
        <w:tc>
          <w:tcPr>
            <w:tcW w:w="1597" w:type="dxa"/>
            <w:tcBorders>
              <w:top w:val="single" w:sz="4" w:space="0" w:color="auto"/>
              <w:left w:val="nil"/>
              <w:bottom w:val="single" w:sz="4" w:space="0" w:color="auto"/>
              <w:right w:val="nil"/>
            </w:tcBorders>
            <w:vAlign w:val="center"/>
          </w:tcPr>
          <w:p w14:paraId="1BC537EC" w14:textId="40AED4BC"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Intertemporal Optimization</w:t>
            </w:r>
          </w:p>
        </w:tc>
        <w:tc>
          <w:tcPr>
            <w:tcW w:w="1597" w:type="dxa"/>
            <w:tcBorders>
              <w:top w:val="single" w:sz="4" w:space="0" w:color="auto"/>
              <w:left w:val="nil"/>
              <w:bottom w:val="single" w:sz="4" w:space="0" w:color="auto"/>
              <w:right w:val="nil"/>
            </w:tcBorders>
            <w:shd w:val="clear" w:color="auto" w:fill="auto"/>
            <w:vAlign w:val="center"/>
            <w:hideMark/>
          </w:tcPr>
          <w:p w14:paraId="6C737D0A" w14:textId="3D5FB590"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Intertemporal optimization</w:t>
            </w:r>
          </w:p>
        </w:tc>
        <w:tc>
          <w:tcPr>
            <w:tcW w:w="1277" w:type="dxa"/>
            <w:tcBorders>
              <w:top w:val="single" w:sz="4" w:space="0" w:color="auto"/>
              <w:left w:val="nil"/>
              <w:bottom w:val="single" w:sz="4" w:space="0" w:color="auto"/>
              <w:right w:val="nil"/>
            </w:tcBorders>
            <w:shd w:val="clear" w:color="auto" w:fill="auto"/>
            <w:vAlign w:val="center"/>
            <w:hideMark/>
          </w:tcPr>
          <w:p w14:paraId="2590CA7E"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Intertemporal optimization</w:t>
            </w:r>
          </w:p>
        </w:tc>
        <w:tc>
          <w:tcPr>
            <w:tcW w:w="1307" w:type="dxa"/>
            <w:tcBorders>
              <w:top w:val="single" w:sz="4" w:space="0" w:color="auto"/>
              <w:left w:val="nil"/>
              <w:bottom w:val="single" w:sz="4" w:space="0" w:color="auto"/>
              <w:right w:val="nil"/>
            </w:tcBorders>
            <w:shd w:val="clear" w:color="auto" w:fill="auto"/>
            <w:vAlign w:val="center"/>
            <w:hideMark/>
          </w:tcPr>
          <w:p w14:paraId="3EB4FFF1" w14:textId="78F0B8B9"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Recursive dynamic</w:t>
            </w:r>
          </w:p>
        </w:tc>
        <w:tc>
          <w:tcPr>
            <w:tcW w:w="1307" w:type="dxa"/>
            <w:tcBorders>
              <w:top w:val="single" w:sz="4" w:space="0" w:color="auto"/>
              <w:left w:val="nil"/>
              <w:bottom w:val="single" w:sz="4" w:space="0" w:color="auto"/>
              <w:right w:val="nil"/>
            </w:tcBorders>
            <w:shd w:val="clear" w:color="auto" w:fill="auto"/>
            <w:vAlign w:val="center"/>
            <w:hideMark/>
          </w:tcPr>
          <w:p w14:paraId="40CB94EC" w14:textId="7918B75B"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Intertemporal optimization</w:t>
            </w:r>
          </w:p>
        </w:tc>
        <w:tc>
          <w:tcPr>
            <w:tcW w:w="1597" w:type="dxa"/>
            <w:tcBorders>
              <w:top w:val="single" w:sz="4" w:space="0" w:color="auto"/>
              <w:left w:val="nil"/>
              <w:bottom w:val="single" w:sz="4" w:space="0" w:color="auto"/>
              <w:right w:val="nil"/>
            </w:tcBorders>
            <w:shd w:val="clear" w:color="auto" w:fill="auto"/>
            <w:vAlign w:val="center"/>
            <w:hideMark/>
          </w:tcPr>
          <w:p w14:paraId="5D1CE970"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Recursive dynamic</w:t>
            </w:r>
          </w:p>
        </w:tc>
        <w:tc>
          <w:tcPr>
            <w:tcW w:w="1267" w:type="dxa"/>
            <w:tcBorders>
              <w:top w:val="single" w:sz="4" w:space="0" w:color="auto"/>
              <w:left w:val="nil"/>
              <w:bottom w:val="single" w:sz="4" w:space="0" w:color="auto"/>
              <w:right w:val="nil"/>
            </w:tcBorders>
            <w:shd w:val="clear" w:color="auto" w:fill="auto"/>
            <w:vAlign w:val="center"/>
            <w:hideMark/>
          </w:tcPr>
          <w:p w14:paraId="3934675F"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Recursive dynamic</w:t>
            </w:r>
          </w:p>
        </w:tc>
        <w:tc>
          <w:tcPr>
            <w:tcW w:w="1677" w:type="dxa"/>
            <w:tcBorders>
              <w:top w:val="single" w:sz="4" w:space="0" w:color="auto"/>
              <w:left w:val="nil"/>
              <w:bottom w:val="single" w:sz="4" w:space="0" w:color="auto"/>
              <w:right w:val="nil"/>
            </w:tcBorders>
            <w:shd w:val="clear" w:color="auto" w:fill="auto"/>
            <w:vAlign w:val="center"/>
            <w:hideMark/>
          </w:tcPr>
          <w:p w14:paraId="2A6E80C1"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Recursive dynamic</w:t>
            </w:r>
          </w:p>
        </w:tc>
        <w:tc>
          <w:tcPr>
            <w:tcW w:w="1267" w:type="dxa"/>
            <w:tcBorders>
              <w:top w:val="single" w:sz="4" w:space="0" w:color="auto"/>
              <w:left w:val="nil"/>
              <w:bottom w:val="single" w:sz="4" w:space="0" w:color="auto"/>
              <w:right w:val="single" w:sz="8" w:space="0" w:color="auto"/>
            </w:tcBorders>
            <w:shd w:val="clear" w:color="auto" w:fill="auto"/>
            <w:vAlign w:val="center"/>
            <w:hideMark/>
          </w:tcPr>
          <w:p w14:paraId="6C4E2C66"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Recursive dynamic</w:t>
            </w:r>
          </w:p>
        </w:tc>
      </w:tr>
      <w:tr w:rsidR="00D40C52" w:rsidRPr="00F36956" w14:paraId="51E88214" w14:textId="77777777" w:rsidTr="00507244">
        <w:trPr>
          <w:trHeight w:val="456"/>
        </w:trPr>
        <w:tc>
          <w:tcPr>
            <w:tcW w:w="1437" w:type="dxa"/>
            <w:tcBorders>
              <w:top w:val="nil"/>
              <w:left w:val="single" w:sz="8" w:space="0" w:color="auto"/>
              <w:bottom w:val="nil"/>
              <w:right w:val="nil"/>
            </w:tcBorders>
            <w:shd w:val="clear" w:color="auto" w:fill="auto"/>
            <w:vAlign w:val="center"/>
            <w:hideMark/>
          </w:tcPr>
          <w:p w14:paraId="3A2F90D0"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Modeled period</w:t>
            </w:r>
          </w:p>
        </w:tc>
        <w:tc>
          <w:tcPr>
            <w:tcW w:w="1437" w:type="dxa"/>
            <w:tcBorders>
              <w:top w:val="nil"/>
              <w:left w:val="nil"/>
              <w:bottom w:val="nil"/>
              <w:right w:val="nil"/>
            </w:tcBorders>
            <w:shd w:val="clear" w:color="auto" w:fill="auto"/>
            <w:vAlign w:val="center"/>
            <w:hideMark/>
          </w:tcPr>
          <w:p w14:paraId="4DD34418"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Until 2050</w:t>
            </w:r>
          </w:p>
        </w:tc>
        <w:tc>
          <w:tcPr>
            <w:tcW w:w="1597" w:type="dxa"/>
            <w:tcBorders>
              <w:top w:val="nil"/>
              <w:left w:val="nil"/>
              <w:bottom w:val="nil"/>
              <w:right w:val="nil"/>
            </w:tcBorders>
            <w:vAlign w:val="center"/>
          </w:tcPr>
          <w:p w14:paraId="0EBDC2B5" w14:textId="0E241262"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Until 2100</w:t>
            </w:r>
          </w:p>
        </w:tc>
        <w:tc>
          <w:tcPr>
            <w:tcW w:w="1597" w:type="dxa"/>
            <w:tcBorders>
              <w:top w:val="nil"/>
              <w:left w:val="nil"/>
              <w:bottom w:val="nil"/>
              <w:right w:val="nil"/>
            </w:tcBorders>
            <w:shd w:val="clear" w:color="auto" w:fill="auto"/>
            <w:vAlign w:val="center"/>
            <w:hideMark/>
          </w:tcPr>
          <w:p w14:paraId="3CE81FF7" w14:textId="77FF0DB5"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Until 2100</w:t>
            </w:r>
          </w:p>
        </w:tc>
        <w:tc>
          <w:tcPr>
            <w:tcW w:w="1277" w:type="dxa"/>
            <w:tcBorders>
              <w:top w:val="nil"/>
              <w:left w:val="nil"/>
              <w:bottom w:val="nil"/>
              <w:right w:val="nil"/>
            </w:tcBorders>
            <w:shd w:val="clear" w:color="auto" w:fill="auto"/>
            <w:vAlign w:val="center"/>
            <w:hideMark/>
          </w:tcPr>
          <w:p w14:paraId="301F1901"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Until 2050</w:t>
            </w:r>
          </w:p>
        </w:tc>
        <w:tc>
          <w:tcPr>
            <w:tcW w:w="1307" w:type="dxa"/>
            <w:tcBorders>
              <w:top w:val="nil"/>
              <w:left w:val="nil"/>
              <w:bottom w:val="nil"/>
              <w:right w:val="nil"/>
            </w:tcBorders>
            <w:shd w:val="clear" w:color="auto" w:fill="auto"/>
            <w:vAlign w:val="center"/>
            <w:hideMark/>
          </w:tcPr>
          <w:p w14:paraId="340EFFC6" w14:textId="3887CF78"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Until 2100</w:t>
            </w:r>
          </w:p>
        </w:tc>
        <w:tc>
          <w:tcPr>
            <w:tcW w:w="1307" w:type="dxa"/>
            <w:tcBorders>
              <w:top w:val="nil"/>
              <w:left w:val="nil"/>
              <w:bottom w:val="nil"/>
              <w:right w:val="nil"/>
            </w:tcBorders>
            <w:shd w:val="clear" w:color="auto" w:fill="auto"/>
            <w:vAlign w:val="center"/>
            <w:hideMark/>
          </w:tcPr>
          <w:p w14:paraId="3E77228D"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Until 2100</w:t>
            </w:r>
          </w:p>
        </w:tc>
        <w:tc>
          <w:tcPr>
            <w:tcW w:w="1597" w:type="dxa"/>
            <w:tcBorders>
              <w:top w:val="nil"/>
              <w:left w:val="nil"/>
              <w:bottom w:val="nil"/>
              <w:right w:val="nil"/>
            </w:tcBorders>
            <w:shd w:val="clear" w:color="auto" w:fill="auto"/>
            <w:vAlign w:val="center"/>
            <w:hideMark/>
          </w:tcPr>
          <w:p w14:paraId="7B7549F8"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Until 2100</w:t>
            </w:r>
          </w:p>
        </w:tc>
        <w:tc>
          <w:tcPr>
            <w:tcW w:w="1267" w:type="dxa"/>
            <w:tcBorders>
              <w:top w:val="nil"/>
              <w:left w:val="nil"/>
              <w:bottom w:val="nil"/>
              <w:right w:val="nil"/>
            </w:tcBorders>
            <w:shd w:val="clear" w:color="auto" w:fill="auto"/>
            <w:vAlign w:val="center"/>
            <w:hideMark/>
          </w:tcPr>
          <w:p w14:paraId="5DA3ABA0"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Until 2100</w:t>
            </w:r>
          </w:p>
        </w:tc>
        <w:tc>
          <w:tcPr>
            <w:tcW w:w="1677" w:type="dxa"/>
            <w:tcBorders>
              <w:top w:val="nil"/>
              <w:left w:val="nil"/>
              <w:bottom w:val="nil"/>
              <w:right w:val="nil"/>
            </w:tcBorders>
            <w:shd w:val="clear" w:color="auto" w:fill="auto"/>
            <w:vAlign w:val="center"/>
            <w:hideMark/>
          </w:tcPr>
          <w:p w14:paraId="6AFBEEC4"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Until 2100</w:t>
            </w:r>
          </w:p>
        </w:tc>
        <w:tc>
          <w:tcPr>
            <w:tcW w:w="1267" w:type="dxa"/>
            <w:tcBorders>
              <w:top w:val="nil"/>
              <w:left w:val="nil"/>
              <w:bottom w:val="nil"/>
              <w:right w:val="single" w:sz="8" w:space="0" w:color="auto"/>
            </w:tcBorders>
            <w:shd w:val="clear" w:color="auto" w:fill="auto"/>
            <w:vAlign w:val="center"/>
            <w:hideMark/>
          </w:tcPr>
          <w:p w14:paraId="5E03C6A5"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Until 2100</w:t>
            </w:r>
          </w:p>
        </w:tc>
      </w:tr>
      <w:tr w:rsidR="00D40C52" w:rsidRPr="00F36956" w14:paraId="5E183909" w14:textId="77777777" w:rsidTr="00507244">
        <w:trPr>
          <w:trHeight w:val="912"/>
        </w:trPr>
        <w:tc>
          <w:tcPr>
            <w:tcW w:w="1437" w:type="dxa"/>
            <w:tcBorders>
              <w:top w:val="single" w:sz="4" w:space="0" w:color="auto"/>
              <w:left w:val="single" w:sz="8" w:space="0" w:color="auto"/>
              <w:bottom w:val="single" w:sz="4" w:space="0" w:color="auto"/>
              <w:right w:val="nil"/>
            </w:tcBorders>
            <w:shd w:val="clear" w:color="auto" w:fill="auto"/>
            <w:vAlign w:val="center"/>
            <w:hideMark/>
          </w:tcPr>
          <w:p w14:paraId="5FD326CF"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 xml:space="preserve">1st Generation Feedstock </w:t>
            </w:r>
          </w:p>
        </w:tc>
        <w:tc>
          <w:tcPr>
            <w:tcW w:w="1437" w:type="dxa"/>
            <w:tcBorders>
              <w:top w:val="single" w:sz="4" w:space="0" w:color="auto"/>
              <w:left w:val="nil"/>
              <w:bottom w:val="single" w:sz="4" w:space="0" w:color="auto"/>
              <w:right w:val="nil"/>
            </w:tcBorders>
            <w:shd w:val="clear" w:color="auto" w:fill="auto"/>
            <w:vAlign w:val="center"/>
            <w:hideMark/>
          </w:tcPr>
          <w:p w14:paraId="4284C278"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Maize, sugarcane</w:t>
            </w:r>
          </w:p>
        </w:tc>
        <w:tc>
          <w:tcPr>
            <w:tcW w:w="1597" w:type="dxa"/>
            <w:tcBorders>
              <w:top w:val="single" w:sz="4" w:space="0" w:color="auto"/>
              <w:left w:val="nil"/>
              <w:bottom w:val="single" w:sz="4" w:space="0" w:color="auto"/>
              <w:right w:val="nil"/>
            </w:tcBorders>
            <w:vAlign w:val="center"/>
          </w:tcPr>
          <w:p w14:paraId="4A30AC74" w14:textId="18E1E42A"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None</w:t>
            </w:r>
          </w:p>
        </w:tc>
        <w:tc>
          <w:tcPr>
            <w:tcW w:w="1597" w:type="dxa"/>
            <w:tcBorders>
              <w:top w:val="single" w:sz="4" w:space="0" w:color="auto"/>
              <w:left w:val="nil"/>
              <w:bottom w:val="single" w:sz="4" w:space="0" w:color="auto"/>
              <w:right w:val="nil"/>
            </w:tcBorders>
            <w:shd w:val="clear" w:color="auto" w:fill="auto"/>
            <w:vAlign w:val="center"/>
            <w:hideMark/>
          </w:tcPr>
          <w:p w14:paraId="7A254550" w14:textId="20E3473D"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 xml:space="preserve">Maize, </w:t>
            </w:r>
            <w:proofErr w:type="spellStart"/>
            <w:r w:rsidRPr="00F36956">
              <w:rPr>
                <w:rFonts w:ascii="Arial" w:eastAsia="Times New Roman" w:hAnsi="Arial" w:cs="Arial"/>
                <w:color w:val="505050"/>
                <w:sz w:val="16"/>
                <w:szCs w:val="16"/>
              </w:rPr>
              <w:t>sugarcrops</w:t>
            </w:r>
            <w:proofErr w:type="spellEnd"/>
          </w:p>
        </w:tc>
        <w:tc>
          <w:tcPr>
            <w:tcW w:w="1277" w:type="dxa"/>
            <w:tcBorders>
              <w:top w:val="single" w:sz="4" w:space="0" w:color="auto"/>
              <w:left w:val="nil"/>
              <w:bottom w:val="single" w:sz="4" w:space="0" w:color="auto"/>
              <w:right w:val="nil"/>
            </w:tcBorders>
            <w:shd w:val="clear" w:color="auto" w:fill="auto"/>
            <w:vAlign w:val="center"/>
            <w:hideMark/>
          </w:tcPr>
          <w:p w14:paraId="02E11876"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Maize, sugarcane</w:t>
            </w:r>
          </w:p>
        </w:tc>
        <w:tc>
          <w:tcPr>
            <w:tcW w:w="1307" w:type="dxa"/>
            <w:tcBorders>
              <w:top w:val="single" w:sz="4" w:space="0" w:color="auto"/>
              <w:left w:val="nil"/>
              <w:bottom w:val="single" w:sz="4" w:space="0" w:color="auto"/>
              <w:right w:val="nil"/>
            </w:tcBorders>
            <w:shd w:val="clear" w:color="auto" w:fill="auto"/>
            <w:vAlign w:val="center"/>
            <w:hideMark/>
          </w:tcPr>
          <w:p w14:paraId="107406DD" w14:textId="45EB9A53"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xml:space="preserve"> Maize, </w:t>
            </w:r>
            <w:proofErr w:type="spellStart"/>
            <w:r w:rsidRPr="00F36956">
              <w:rPr>
                <w:rFonts w:ascii="Calibri" w:eastAsia="Times New Roman" w:hAnsi="Calibri" w:cs="Calibri"/>
                <w:color w:val="000000"/>
                <w:sz w:val="16"/>
                <w:szCs w:val="16"/>
              </w:rPr>
              <w:t>sugarcrops</w:t>
            </w:r>
            <w:proofErr w:type="spellEnd"/>
          </w:p>
        </w:tc>
        <w:tc>
          <w:tcPr>
            <w:tcW w:w="1307" w:type="dxa"/>
            <w:tcBorders>
              <w:top w:val="single" w:sz="4" w:space="0" w:color="auto"/>
              <w:left w:val="nil"/>
              <w:bottom w:val="single" w:sz="4" w:space="0" w:color="auto"/>
              <w:right w:val="nil"/>
            </w:tcBorders>
            <w:shd w:val="clear" w:color="auto" w:fill="auto"/>
            <w:vAlign w:val="center"/>
            <w:hideMark/>
          </w:tcPr>
          <w:p w14:paraId="4E381544" w14:textId="443F175E"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Maize, sugarcane, palm</w:t>
            </w:r>
          </w:p>
        </w:tc>
        <w:tc>
          <w:tcPr>
            <w:tcW w:w="1597" w:type="dxa"/>
            <w:tcBorders>
              <w:top w:val="single" w:sz="4" w:space="0" w:color="auto"/>
              <w:left w:val="nil"/>
              <w:bottom w:val="single" w:sz="4" w:space="0" w:color="auto"/>
              <w:right w:val="nil"/>
            </w:tcBorders>
            <w:shd w:val="clear" w:color="auto" w:fill="auto"/>
            <w:vAlign w:val="center"/>
            <w:hideMark/>
          </w:tcPr>
          <w:p w14:paraId="5894BF66"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Maize, sugar, soy, palm</w:t>
            </w:r>
          </w:p>
        </w:tc>
        <w:tc>
          <w:tcPr>
            <w:tcW w:w="1267" w:type="dxa"/>
            <w:tcBorders>
              <w:top w:val="single" w:sz="4" w:space="0" w:color="auto"/>
              <w:left w:val="nil"/>
              <w:bottom w:val="single" w:sz="4" w:space="0" w:color="auto"/>
              <w:right w:val="nil"/>
            </w:tcBorders>
            <w:shd w:val="clear" w:color="auto" w:fill="auto"/>
            <w:vAlign w:val="center"/>
            <w:hideMark/>
          </w:tcPr>
          <w:p w14:paraId="5D7F82E5" w14:textId="5A1DB75B"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In Brazil: Soybean and sugarcane</w:t>
            </w:r>
          </w:p>
        </w:tc>
        <w:tc>
          <w:tcPr>
            <w:tcW w:w="1677" w:type="dxa"/>
            <w:tcBorders>
              <w:top w:val="single" w:sz="4" w:space="0" w:color="auto"/>
              <w:left w:val="nil"/>
              <w:bottom w:val="single" w:sz="4" w:space="0" w:color="auto"/>
              <w:right w:val="nil"/>
            </w:tcBorders>
            <w:shd w:val="clear" w:color="auto" w:fill="auto"/>
            <w:vAlign w:val="center"/>
            <w:hideMark/>
          </w:tcPr>
          <w:p w14:paraId="7FCD7908"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 xml:space="preserve">Maize, </w:t>
            </w:r>
            <w:proofErr w:type="spellStart"/>
            <w:r w:rsidRPr="00F36956">
              <w:rPr>
                <w:rFonts w:ascii="Arial" w:eastAsia="Times New Roman" w:hAnsi="Arial" w:cs="Arial"/>
                <w:color w:val="505050"/>
                <w:sz w:val="16"/>
                <w:szCs w:val="16"/>
              </w:rPr>
              <w:t>sugarcrops</w:t>
            </w:r>
            <w:proofErr w:type="spellEnd"/>
          </w:p>
        </w:tc>
        <w:tc>
          <w:tcPr>
            <w:tcW w:w="1267" w:type="dxa"/>
            <w:tcBorders>
              <w:top w:val="single" w:sz="4" w:space="0" w:color="auto"/>
              <w:left w:val="nil"/>
              <w:bottom w:val="single" w:sz="4" w:space="0" w:color="auto"/>
              <w:right w:val="single" w:sz="8" w:space="0" w:color="auto"/>
            </w:tcBorders>
            <w:shd w:val="clear" w:color="auto" w:fill="auto"/>
            <w:vAlign w:val="center"/>
            <w:hideMark/>
          </w:tcPr>
          <w:p w14:paraId="08A9330D" w14:textId="7777777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p>
        </w:tc>
      </w:tr>
      <w:tr w:rsidR="00D40C52" w:rsidRPr="00F36956" w14:paraId="71B6A4D9" w14:textId="77777777" w:rsidTr="00507244">
        <w:trPr>
          <w:trHeight w:val="912"/>
        </w:trPr>
        <w:tc>
          <w:tcPr>
            <w:tcW w:w="1437" w:type="dxa"/>
            <w:tcBorders>
              <w:top w:val="nil"/>
              <w:left w:val="single" w:sz="8" w:space="0" w:color="auto"/>
              <w:bottom w:val="nil"/>
              <w:right w:val="nil"/>
            </w:tcBorders>
            <w:shd w:val="clear" w:color="auto" w:fill="auto"/>
            <w:vAlign w:val="center"/>
            <w:hideMark/>
          </w:tcPr>
          <w:p w14:paraId="6250FAC4"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2nd Generation Feedstock</w:t>
            </w:r>
          </w:p>
        </w:tc>
        <w:tc>
          <w:tcPr>
            <w:tcW w:w="1437" w:type="dxa"/>
            <w:tcBorders>
              <w:top w:val="nil"/>
              <w:left w:val="nil"/>
              <w:bottom w:val="nil"/>
              <w:right w:val="nil"/>
            </w:tcBorders>
            <w:shd w:val="clear" w:color="auto" w:fill="auto"/>
            <w:vAlign w:val="center"/>
            <w:hideMark/>
          </w:tcPr>
          <w:p w14:paraId="57B10BA4"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Switchgrass</w:t>
            </w:r>
          </w:p>
        </w:tc>
        <w:tc>
          <w:tcPr>
            <w:tcW w:w="1597" w:type="dxa"/>
            <w:tcBorders>
              <w:top w:val="nil"/>
              <w:left w:val="nil"/>
              <w:bottom w:val="nil"/>
              <w:right w:val="nil"/>
            </w:tcBorders>
            <w:vAlign w:val="center"/>
          </w:tcPr>
          <w:p w14:paraId="72BBC587" w14:textId="2CFAD954"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Lignocellulosic crops (switchgrass, eucalyptus), managed forest, residues</w:t>
            </w:r>
          </w:p>
        </w:tc>
        <w:tc>
          <w:tcPr>
            <w:tcW w:w="1597" w:type="dxa"/>
            <w:tcBorders>
              <w:top w:val="nil"/>
              <w:left w:val="nil"/>
              <w:bottom w:val="nil"/>
              <w:right w:val="nil"/>
            </w:tcBorders>
            <w:shd w:val="clear" w:color="auto" w:fill="auto"/>
            <w:vAlign w:val="center"/>
            <w:hideMark/>
          </w:tcPr>
          <w:p w14:paraId="3E1875A2" w14:textId="4854A7F2"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Woody, Grassy</w:t>
            </w:r>
          </w:p>
        </w:tc>
        <w:tc>
          <w:tcPr>
            <w:tcW w:w="1277" w:type="dxa"/>
            <w:tcBorders>
              <w:top w:val="nil"/>
              <w:left w:val="nil"/>
              <w:bottom w:val="nil"/>
              <w:right w:val="nil"/>
            </w:tcBorders>
            <w:shd w:val="clear" w:color="auto" w:fill="auto"/>
            <w:vAlign w:val="center"/>
            <w:hideMark/>
          </w:tcPr>
          <w:p w14:paraId="4B65A6A3"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Switchgrass</w:t>
            </w:r>
          </w:p>
        </w:tc>
        <w:tc>
          <w:tcPr>
            <w:tcW w:w="1307" w:type="dxa"/>
            <w:tcBorders>
              <w:top w:val="nil"/>
              <w:left w:val="nil"/>
              <w:bottom w:val="nil"/>
              <w:right w:val="nil"/>
            </w:tcBorders>
            <w:shd w:val="clear" w:color="auto" w:fill="auto"/>
            <w:vAlign w:val="center"/>
            <w:hideMark/>
          </w:tcPr>
          <w:p w14:paraId="15B68C71" w14:textId="569B740F"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Switchgrass</w:t>
            </w:r>
          </w:p>
        </w:tc>
        <w:tc>
          <w:tcPr>
            <w:tcW w:w="1307" w:type="dxa"/>
            <w:tcBorders>
              <w:top w:val="nil"/>
              <w:left w:val="nil"/>
              <w:bottom w:val="nil"/>
              <w:right w:val="nil"/>
            </w:tcBorders>
            <w:shd w:val="clear" w:color="auto" w:fill="auto"/>
            <w:vAlign w:val="center"/>
            <w:hideMark/>
          </w:tcPr>
          <w:p w14:paraId="17367AA2" w14:textId="3D879E52"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 xml:space="preserve">Switchgrass, </w:t>
            </w:r>
            <w:r w:rsidRPr="00F36956">
              <w:rPr>
                <w:rFonts w:ascii="Arial" w:eastAsia="Times New Roman" w:hAnsi="Arial" w:cs="Arial"/>
                <w:i/>
                <w:color w:val="505050"/>
                <w:sz w:val="16"/>
                <w:szCs w:val="16"/>
              </w:rPr>
              <w:t>Miscanthus</w:t>
            </w:r>
          </w:p>
        </w:tc>
        <w:tc>
          <w:tcPr>
            <w:tcW w:w="1597" w:type="dxa"/>
            <w:tcBorders>
              <w:top w:val="nil"/>
              <w:left w:val="nil"/>
              <w:bottom w:val="nil"/>
              <w:right w:val="nil"/>
            </w:tcBorders>
            <w:shd w:val="clear" w:color="auto" w:fill="auto"/>
            <w:vAlign w:val="center"/>
            <w:hideMark/>
          </w:tcPr>
          <w:p w14:paraId="200B5971"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Switchgrass, short rotation woody</w:t>
            </w:r>
          </w:p>
        </w:tc>
        <w:tc>
          <w:tcPr>
            <w:tcW w:w="1267" w:type="dxa"/>
            <w:tcBorders>
              <w:top w:val="nil"/>
              <w:left w:val="nil"/>
              <w:bottom w:val="nil"/>
              <w:right w:val="nil"/>
            </w:tcBorders>
            <w:shd w:val="clear" w:color="auto" w:fill="auto"/>
            <w:vAlign w:val="center"/>
            <w:hideMark/>
          </w:tcPr>
          <w:p w14:paraId="6E730D8E" w14:textId="781E6EE3"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Eucalyptus (woody), Miscanthus (grassy)</w:t>
            </w:r>
          </w:p>
        </w:tc>
        <w:tc>
          <w:tcPr>
            <w:tcW w:w="1677" w:type="dxa"/>
            <w:tcBorders>
              <w:top w:val="nil"/>
              <w:left w:val="nil"/>
              <w:bottom w:val="nil"/>
              <w:right w:val="nil"/>
            </w:tcBorders>
            <w:shd w:val="clear" w:color="auto" w:fill="auto"/>
            <w:vAlign w:val="center"/>
            <w:hideMark/>
          </w:tcPr>
          <w:p w14:paraId="4EDBE1B1"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Eucalyptus (woody), Miscanthus (grassy)</w:t>
            </w:r>
          </w:p>
        </w:tc>
        <w:tc>
          <w:tcPr>
            <w:tcW w:w="1267" w:type="dxa"/>
            <w:tcBorders>
              <w:top w:val="nil"/>
              <w:left w:val="nil"/>
              <w:bottom w:val="nil"/>
              <w:right w:val="single" w:sz="8" w:space="0" w:color="auto"/>
            </w:tcBorders>
            <w:shd w:val="clear" w:color="auto" w:fill="auto"/>
            <w:vAlign w:val="center"/>
            <w:hideMark/>
          </w:tcPr>
          <w:p w14:paraId="646E2CB9" w14:textId="7777777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p>
        </w:tc>
      </w:tr>
      <w:tr w:rsidR="00D40C52" w:rsidRPr="00F36956" w14:paraId="049A9FE4" w14:textId="77777777" w:rsidTr="00507244">
        <w:trPr>
          <w:trHeight w:val="972"/>
        </w:trPr>
        <w:tc>
          <w:tcPr>
            <w:tcW w:w="1437" w:type="dxa"/>
            <w:vMerge w:val="restart"/>
            <w:tcBorders>
              <w:top w:val="single" w:sz="4" w:space="0" w:color="auto"/>
              <w:left w:val="single" w:sz="8" w:space="0" w:color="auto"/>
              <w:bottom w:val="single" w:sz="4" w:space="0" w:color="000000"/>
              <w:right w:val="nil"/>
            </w:tcBorders>
            <w:shd w:val="clear" w:color="auto" w:fill="auto"/>
            <w:vAlign w:val="center"/>
            <w:hideMark/>
          </w:tcPr>
          <w:p w14:paraId="06DF0B67"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Modelled bioenergy technologies</w:t>
            </w:r>
          </w:p>
        </w:tc>
        <w:tc>
          <w:tcPr>
            <w:tcW w:w="1437" w:type="dxa"/>
            <w:tcBorders>
              <w:top w:val="single" w:sz="4" w:space="0" w:color="auto"/>
              <w:left w:val="nil"/>
              <w:bottom w:val="nil"/>
              <w:right w:val="nil"/>
            </w:tcBorders>
            <w:shd w:val="clear" w:color="auto" w:fill="auto"/>
            <w:vAlign w:val="center"/>
            <w:hideMark/>
          </w:tcPr>
          <w:p w14:paraId="35C5178E" w14:textId="02689929"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Conventional ethanol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597" w:type="dxa"/>
            <w:tcBorders>
              <w:top w:val="single" w:sz="4" w:space="0" w:color="auto"/>
              <w:left w:val="nil"/>
              <w:bottom w:val="nil"/>
              <w:right w:val="nil"/>
            </w:tcBorders>
            <w:vAlign w:val="center"/>
          </w:tcPr>
          <w:p w14:paraId="15A6E030" w14:textId="2E703C9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Cellulosic biofuel</w:t>
            </w:r>
          </w:p>
        </w:tc>
        <w:tc>
          <w:tcPr>
            <w:tcW w:w="1597" w:type="dxa"/>
            <w:tcBorders>
              <w:top w:val="single" w:sz="4" w:space="0" w:color="auto"/>
              <w:left w:val="nil"/>
              <w:bottom w:val="nil"/>
              <w:right w:val="nil"/>
            </w:tcBorders>
            <w:shd w:val="clear" w:color="auto" w:fill="auto"/>
            <w:vAlign w:val="center"/>
            <w:hideMark/>
          </w:tcPr>
          <w:p w14:paraId="652571B5" w14:textId="39842FD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Heat, Hydrogen</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r w:rsidRPr="00F36956">
              <w:rPr>
                <w:rFonts w:ascii="Calibri" w:eastAsia="Times New Roman" w:hAnsi="Calibri" w:cs="Calibri"/>
                <w:color w:val="000000"/>
                <w:sz w:val="16"/>
                <w:szCs w:val="16"/>
              </w:rPr>
              <w:t xml:space="preserve"> </w:t>
            </w:r>
            <w:r w:rsidRPr="00F36956">
              <w:rPr>
                <w:rFonts w:ascii="Arial" w:eastAsia="Times New Roman" w:hAnsi="Arial" w:cs="Arial"/>
                <w:color w:val="505050"/>
                <w:sz w:val="16"/>
                <w:szCs w:val="16"/>
              </w:rPr>
              <w:t>Conventional ethanol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77" w:type="dxa"/>
            <w:tcBorders>
              <w:top w:val="single" w:sz="4" w:space="0" w:color="auto"/>
              <w:left w:val="nil"/>
              <w:bottom w:val="nil"/>
              <w:right w:val="nil"/>
            </w:tcBorders>
            <w:shd w:val="clear" w:color="auto" w:fill="auto"/>
            <w:vAlign w:val="center"/>
            <w:hideMark/>
          </w:tcPr>
          <w:p w14:paraId="688825C3" w14:textId="7214B6D5"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Hydrogen</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r w:rsidRPr="00F36956">
              <w:rPr>
                <w:rFonts w:ascii="Calibri" w:eastAsia="Times New Roman" w:hAnsi="Calibri" w:cs="Calibri"/>
                <w:color w:val="000000"/>
                <w:sz w:val="16"/>
                <w:szCs w:val="16"/>
              </w:rPr>
              <w:t xml:space="preserve"> </w:t>
            </w:r>
            <w:r w:rsidRPr="00F36956">
              <w:rPr>
                <w:rFonts w:ascii="Arial" w:eastAsia="Times New Roman" w:hAnsi="Arial" w:cs="Arial"/>
                <w:color w:val="505050"/>
                <w:sz w:val="16"/>
                <w:szCs w:val="16"/>
              </w:rPr>
              <w:t>Conventional ethanol,</w:t>
            </w:r>
          </w:p>
        </w:tc>
        <w:tc>
          <w:tcPr>
            <w:tcW w:w="1307" w:type="dxa"/>
            <w:vMerge w:val="restart"/>
            <w:tcBorders>
              <w:top w:val="single" w:sz="4" w:space="0" w:color="auto"/>
              <w:left w:val="nil"/>
              <w:bottom w:val="single" w:sz="4" w:space="0" w:color="000000"/>
              <w:right w:val="nil"/>
            </w:tcBorders>
            <w:shd w:val="clear" w:color="auto" w:fill="auto"/>
            <w:vAlign w:val="center"/>
            <w:hideMark/>
          </w:tcPr>
          <w:p w14:paraId="7F328395" w14:textId="77777777" w:rsidR="00D40C52" w:rsidRPr="00F36956" w:rsidRDefault="00D40C52" w:rsidP="00D40C52">
            <w:pPr>
              <w:spacing w:after="0" w:line="240" w:lineRule="auto"/>
              <w:jc w:val="center"/>
              <w:rPr>
                <w:rFonts w:ascii="Times New Roman" w:eastAsia="Times New Roman" w:hAnsi="Times New Roman" w:cs="Times New Roman"/>
                <w:color w:val="000000"/>
                <w:sz w:val="16"/>
                <w:szCs w:val="16"/>
              </w:rPr>
            </w:pPr>
            <w:r w:rsidRPr="00F36956">
              <w:rPr>
                <w:rFonts w:ascii="Times New Roman" w:eastAsia="Times New Roman" w:hAnsi="Times New Roman" w:cs="Times New Roman"/>
                <w:color w:val="000000"/>
                <w:sz w:val="16"/>
                <w:szCs w:val="16"/>
              </w:rPr>
              <w:t> Cellulosic biofuel</w:t>
            </w:r>
          </w:p>
          <w:p w14:paraId="4FEEFA2B" w14:textId="77777777" w:rsidR="00D40C52" w:rsidRPr="00F36956" w:rsidRDefault="00D40C52" w:rsidP="00D40C52">
            <w:pPr>
              <w:spacing w:after="0" w:line="240" w:lineRule="auto"/>
              <w:jc w:val="center"/>
              <w:rPr>
                <w:rFonts w:ascii="Times New Roman" w:eastAsia="Times New Roman" w:hAnsi="Times New Roman" w:cs="Times New Roman"/>
                <w:color w:val="000000"/>
                <w:sz w:val="16"/>
                <w:szCs w:val="16"/>
              </w:rPr>
            </w:pPr>
          </w:p>
          <w:p w14:paraId="1E001406" w14:textId="49790579" w:rsidR="00D40C52" w:rsidRPr="00F36956" w:rsidRDefault="00D40C52" w:rsidP="00D40C52">
            <w:pPr>
              <w:spacing w:after="0" w:line="240" w:lineRule="auto"/>
              <w:jc w:val="center"/>
              <w:rPr>
                <w:rFonts w:ascii="Times New Roman" w:eastAsia="Times New Roman" w:hAnsi="Times New Roman" w:cs="Times New Roman"/>
                <w:color w:val="000000"/>
                <w:sz w:val="16"/>
                <w:szCs w:val="16"/>
              </w:rPr>
            </w:pPr>
            <w:r w:rsidRPr="00F36956">
              <w:rPr>
                <w:rFonts w:ascii="Times New Roman" w:eastAsia="Times New Roman" w:hAnsi="Times New Roman" w:cs="Times New Roman"/>
                <w:color w:val="000000"/>
                <w:sz w:val="16"/>
                <w:szCs w:val="16"/>
              </w:rPr>
              <w:t>100% bioelectricity</w:t>
            </w:r>
            <w:r w:rsidR="00590B39">
              <w:rPr>
                <w:rFonts w:ascii="Arial" w:eastAsia="Times New Roman" w:hAnsi="Arial" w:cs="Arial"/>
                <w:color w:val="505050"/>
                <w:sz w:val="18"/>
                <w:szCs w:val="18"/>
              </w:rPr>
              <w:t xml:space="preserve"> (+)</w:t>
            </w:r>
          </w:p>
          <w:p w14:paraId="4A1D9117" w14:textId="7A8C4B93" w:rsidR="00D40C52" w:rsidRPr="00F36956" w:rsidRDefault="00D40C52" w:rsidP="00D40C52">
            <w:pPr>
              <w:spacing w:after="0" w:line="240" w:lineRule="auto"/>
              <w:jc w:val="center"/>
              <w:rPr>
                <w:rFonts w:ascii="Times New Roman" w:eastAsia="Times New Roman" w:hAnsi="Times New Roman" w:cs="Times New Roman"/>
                <w:color w:val="000000"/>
                <w:sz w:val="16"/>
                <w:szCs w:val="16"/>
              </w:rPr>
            </w:pPr>
          </w:p>
        </w:tc>
        <w:tc>
          <w:tcPr>
            <w:tcW w:w="1307" w:type="dxa"/>
            <w:tcBorders>
              <w:top w:val="single" w:sz="4" w:space="0" w:color="auto"/>
              <w:left w:val="nil"/>
              <w:bottom w:val="nil"/>
              <w:right w:val="nil"/>
            </w:tcBorders>
            <w:shd w:val="clear" w:color="auto" w:fill="auto"/>
            <w:vAlign w:val="center"/>
            <w:hideMark/>
          </w:tcPr>
          <w:p w14:paraId="6B5404BB"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Heat, Hydrogen,</w:t>
            </w:r>
            <w:r w:rsidRPr="00F36956">
              <w:rPr>
                <w:rFonts w:ascii="Calibri" w:eastAsia="Times New Roman" w:hAnsi="Calibri" w:cs="Calibri"/>
                <w:color w:val="000000"/>
                <w:sz w:val="16"/>
                <w:szCs w:val="16"/>
              </w:rPr>
              <w:t xml:space="preserve"> </w:t>
            </w:r>
            <w:r w:rsidRPr="00F36956">
              <w:rPr>
                <w:rFonts w:ascii="Arial" w:eastAsia="Times New Roman" w:hAnsi="Arial" w:cs="Arial"/>
                <w:color w:val="505050"/>
                <w:sz w:val="16"/>
                <w:szCs w:val="16"/>
              </w:rPr>
              <w:t>Conventional ethanol,</w:t>
            </w:r>
          </w:p>
        </w:tc>
        <w:tc>
          <w:tcPr>
            <w:tcW w:w="1597" w:type="dxa"/>
            <w:tcBorders>
              <w:top w:val="single" w:sz="4" w:space="0" w:color="auto"/>
              <w:left w:val="nil"/>
              <w:bottom w:val="nil"/>
              <w:right w:val="nil"/>
            </w:tcBorders>
            <w:shd w:val="clear" w:color="auto" w:fill="auto"/>
            <w:vAlign w:val="center"/>
            <w:hideMark/>
          </w:tcPr>
          <w:p w14:paraId="114670EC"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Biogas,</w:t>
            </w:r>
          </w:p>
        </w:tc>
        <w:tc>
          <w:tcPr>
            <w:tcW w:w="1267" w:type="dxa"/>
            <w:vMerge w:val="restart"/>
            <w:tcBorders>
              <w:top w:val="single" w:sz="4" w:space="0" w:color="auto"/>
              <w:left w:val="nil"/>
              <w:bottom w:val="single" w:sz="4" w:space="0" w:color="000000"/>
              <w:right w:val="nil"/>
            </w:tcBorders>
            <w:shd w:val="clear" w:color="auto" w:fill="auto"/>
            <w:vAlign w:val="center"/>
            <w:hideMark/>
          </w:tcPr>
          <w:p w14:paraId="6426DF88" w14:textId="1BD8E9B9"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Cellulosic biofuel</w:t>
            </w:r>
          </w:p>
          <w:p w14:paraId="6B8B23D0" w14:textId="77777777" w:rsidR="00D40C52" w:rsidRPr="00F36956" w:rsidRDefault="00D40C52" w:rsidP="00D40C52">
            <w:pPr>
              <w:spacing w:after="0" w:line="240" w:lineRule="auto"/>
              <w:jc w:val="center"/>
              <w:rPr>
                <w:rFonts w:ascii="Arial" w:eastAsia="Times New Roman" w:hAnsi="Arial" w:cs="Arial"/>
                <w:color w:val="505050"/>
                <w:sz w:val="16"/>
                <w:szCs w:val="16"/>
              </w:rPr>
            </w:pPr>
          </w:p>
          <w:p w14:paraId="460D4D8B" w14:textId="4B9CE160"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Hydrogen</w:t>
            </w:r>
            <w:r w:rsidR="00590B39">
              <w:rPr>
                <w:rFonts w:ascii="Arial" w:eastAsia="Times New Roman" w:hAnsi="Arial" w:cs="Arial"/>
                <w:color w:val="505050"/>
                <w:sz w:val="18"/>
                <w:szCs w:val="18"/>
              </w:rPr>
              <w:t xml:space="preserve"> (+)</w:t>
            </w:r>
          </w:p>
          <w:p w14:paraId="4D34BBD1" w14:textId="77777777" w:rsidR="00D40C52" w:rsidRPr="00F36956" w:rsidRDefault="00D40C52" w:rsidP="00D40C52">
            <w:pPr>
              <w:spacing w:after="0" w:line="240" w:lineRule="auto"/>
              <w:jc w:val="center"/>
              <w:rPr>
                <w:rFonts w:ascii="Arial" w:eastAsia="Times New Roman" w:hAnsi="Arial" w:cs="Arial"/>
                <w:color w:val="505050"/>
                <w:sz w:val="16"/>
                <w:szCs w:val="16"/>
              </w:rPr>
            </w:pPr>
          </w:p>
          <w:p w14:paraId="1A66BEDE" w14:textId="164C9B74"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100% bioelectricity</w:t>
            </w:r>
            <w:r w:rsidR="00590B39">
              <w:rPr>
                <w:rFonts w:ascii="Arial" w:eastAsia="Times New Roman" w:hAnsi="Arial" w:cs="Arial"/>
                <w:color w:val="505050"/>
                <w:sz w:val="18"/>
                <w:szCs w:val="18"/>
              </w:rPr>
              <w:t xml:space="preserve"> (+)</w:t>
            </w:r>
          </w:p>
          <w:p w14:paraId="28517796" w14:textId="77777777" w:rsidR="00D40C52" w:rsidRPr="00F36956" w:rsidRDefault="00D40C52" w:rsidP="00D40C52">
            <w:pPr>
              <w:spacing w:after="0" w:line="240" w:lineRule="auto"/>
              <w:jc w:val="center"/>
              <w:rPr>
                <w:rFonts w:ascii="Arial" w:eastAsia="Times New Roman" w:hAnsi="Arial" w:cs="Arial"/>
                <w:color w:val="505050"/>
                <w:sz w:val="16"/>
                <w:szCs w:val="16"/>
              </w:rPr>
            </w:pPr>
          </w:p>
          <w:p w14:paraId="5666D24B" w14:textId="584493B4"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Conventional ethanol and biodiesel (exogenous)</w:t>
            </w:r>
          </w:p>
        </w:tc>
        <w:tc>
          <w:tcPr>
            <w:tcW w:w="1677" w:type="dxa"/>
            <w:tcBorders>
              <w:top w:val="single" w:sz="4" w:space="0" w:color="auto"/>
              <w:left w:val="nil"/>
              <w:bottom w:val="nil"/>
              <w:right w:val="nil"/>
            </w:tcBorders>
            <w:shd w:val="clear" w:color="auto" w:fill="auto"/>
            <w:vAlign w:val="center"/>
            <w:hideMark/>
          </w:tcPr>
          <w:p w14:paraId="419E68CE" w14:textId="65CD915F"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Heat, Hydrogen</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r w:rsidRPr="00F36956">
              <w:rPr>
                <w:rFonts w:ascii="Calibri" w:eastAsia="Times New Roman" w:hAnsi="Calibri" w:cs="Calibri"/>
                <w:color w:val="000000"/>
                <w:sz w:val="16"/>
                <w:szCs w:val="16"/>
              </w:rPr>
              <w:t xml:space="preserve"> </w:t>
            </w:r>
            <w:r w:rsidRPr="00F36956">
              <w:rPr>
                <w:rFonts w:ascii="Arial" w:eastAsia="Times New Roman" w:hAnsi="Arial" w:cs="Arial"/>
                <w:color w:val="505050"/>
                <w:sz w:val="16"/>
                <w:szCs w:val="16"/>
              </w:rPr>
              <w:t>Conventional ethanol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67" w:type="dxa"/>
            <w:tcBorders>
              <w:top w:val="single" w:sz="4" w:space="0" w:color="auto"/>
              <w:left w:val="nil"/>
              <w:bottom w:val="nil"/>
              <w:right w:val="single" w:sz="8" w:space="0" w:color="auto"/>
            </w:tcBorders>
            <w:shd w:val="clear" w:color="auto" w:fill="auto"/>
            <w:vAlign w:val="center"/>
            <w:hideMark/>
          </w:tcPr>
          <w:p w14:paraId="75276D57" w14:textId="46259DDA"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Heat, Hydrogen</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r w:rsidRPr="00F36956">
              <w:rPr>
                <w:rFonts w:ascii="Calibri" w:eastAsia="Times New Roman" w:hAnsi="Calibri" w:cs="Calibri"/>
                <w:color w:val="000000"/>
                <w:sz w:val="16"/>
                <w:szCs w:val="16"/>
              </w:rPr>
              <w:t xml:space="preserve"> </w:t>
            </w:r>
            <w:r w:rsidRPr="00F36956">
              <w:rPr>
                <w:rFonts w:ascii="Arial" w:eastAsia="Times New Roman" w:hAnsi="Arial" w:cs="Arial"/>
                <w:color w:val="505050"/>
                <w:sz w:val="16"/>
                <w:szCs w:val="16"/>
              </w:rPr>
              <w:t>Conventional ethanol,</w:t>
            </w:r>
          </w:p>
        </w:tc>
      </w:tr>
      <w:tr w:rsidR="00D40C52" w:rsidRPr="00F36956" w14:paraId="01E9A50D" w14:textId="77777777" w:rsidTr="00507244">
        <w:trPr>
          <w:trHeight w:val="456"/>
        </w:trPr>
        <w:tc>
          <w:tcPr>
            <w:tcW w:w="1437" w:type="dxa"/>
            <w:vMerge/>
            <w:tcBorders>
              <w:top w:val="single" w:sz="4" w:space="0" w:color="auto"/>
              <w:left w:val="single" w:sz="8" w:space="0" w:color="auto"/>
              <w:bottom w:val="single" w:sz="4" w:space="0" w:color="000000"/>
              <w:right w:val="nil"/>
            </w:tcBorders>
            <w:vAlign w:val="center"/>
            <w:hideMark/>
          </w:tcPr>
          <w:p w14:paraId="3AF495EA" w14:textId="77777777" w:rsidR="00D40C52" w:rsidRPr="00F36956" w:rsidRDefault="00D40C52" w:rsidP="00D40C52">
            <w:pPr>
              <w:spacing w:after="0" w:line="240" w:lineRule="auto"/>
              <w:rPr>
                <w:rFonts w:ascii="Arial" w:eastAsia="Times New Roman" w:hAnsi="Arial" w:cs="Arial"/>
                <w:b/>
                <w:bCs/>
                <w:color w:val="505050"/>
                <w:sz w:val="16"/>
                <w:szCs w:val="16"/>
              </w:rPr>
            </w:pPr>
          </w:p>
        </w:tc>
        <w:tc>
          <w:tcPr>
            <w:tcW w:w="1437" w:type="dxa"/>
            <w:tcBorders>
              <w:top w:val="nil"/>
              <w:left w:val="nil"/>
              <w:bottom w:val="nil"/>
              <w:right w:val="nil"/>
            </w:tcBorders>
            <w:shd w:val="clear" w:color="auto" w:fill="auto"/>
            <w:vAlign w:val="center"/>
            <w:hideMark/>
          </w:tcPr>
          <w:p w14:paraId="542812AA" w14:textId="144B483A"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Cellulosic biofuel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597" w:type="dxa"/>
            <w:tcBorders>
              <w:top w:val="nil"/>
              <w:left w:val="nil"/>
              <w:bottom w:val="nil"/>
              <w:right w:val="nil"/>
            </w:tcBorders>
            <w:vAlign w:val="center"/>
          </w:tcPr>
          <w:p w14:paraId="22D134DD" w14:textId="27646780"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100% bioelectricity</w:t>
            </w:r>
            <w:r w:rsidR="00590B39">
              <w:rPr>
                <w:rFonts w:ascii="Arial" w:eastAsia="Times New Roman" w:hAnsi="Arial" w:cs="Arial"/>
                <w:color w:val="505050"/>
                <w:sz w:val="18"/>
                <w:szCs w:val="18"/>
              </w:rPr>
              <w:t xml:space="preserve"> (+)</w:t>
            </w:r>
          </w:p>
          <w:p w14:paraId="4EE5CB1D" w14:textId="77777777" w:rsidR="00D40C52" w:rsidRPr="00F36956" w:rsidRDefault="00D40C52" w:rsidP="00507244">
            <w:pPr>
              <w:spacing w:after="0" w:line="240" w:lineRule="auto"/>
              <w:jc w:val="center"/>
              <w:rPr>
                <w:rFonts w:ascii="Arial" w:eastAsia="Times New Roman" w:hAnsi="Arial" w:cs="Arial"/>
                <w:color w:val="505050"/>
                <w:sz w:val="16"/>
                <w:szCs w:val="16"/>
              </w:rPr>
            </w:pPr>
          </w:p>
          <w:p w14:paraId="3B4B184A" w14:textId="77777777" w:rsidR="00D40C52" w:rsidRPr="00F36956" w:rsidRDefault="00D40C52" w:rsidP="00507244">
            <w:pPr>
              <w:spacing w:after="0" w:line="240" w:lineRule="auto"/>
              <w:jc w:val="center"/>
              <w:rPr>
                <w:rFonts w:ascii="Arial" w:eastAsia="Times New Roman" w:hAnsi="Arial" w:cs="Arial"/>
                <w:color w:val="505050"/>
                <w:sz w:val="16"/>
                <w:szCs w:val="16"/>
              </w:rPr>
            </w:pPr>
          </w:p>
        </w:tc>
        <w:tc>
          <w:tcPr>
            <w:tcW w:w="1597" w:type="dxa"/>
            <w:tcBorders>
              <w:top w:val="nil"/>
              <w:left w:val="nil"/>
              <w:bottom w:val="nil"/>
              <w:right w:val="nil"/>
            </w:tcBorders>
            <w:shd w:val="clear" w:color="auto" w:fill="auto"/>
            <w:vAlign w:val="center"/>
            <w:hideMark/>
          </w:tcPr>
          <w:p w14:paraId="2060E9BD" w14:textId="01162554"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Cellulosic biofuel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77" w:type="dxa"/>
            <w:tcBorders>
              <w:top w:val="nil"/>
              <w:left w:val="nil"/>
              <w:bottom w:val="nil"/>
              <w:right w:val="nil"/>
            </w:tcBorders>
            <w:shd w:val="clear" w:color="auto" w:fill="auto"/>
            <w:vAlign w:val="center"/>
            <w:hideMark/>
          </w:tcPr>
          <w:p w14:paraId="40F3B34E"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Cellulosic biofuel,</w:t>
            </w:r>
          </w:p>
        </w:tc>
        <w:tc>
          <w:tcPr>
            <w:tcW w:w="1307" w:type="dxa"/>
            <w:vMerge/>
            <w:tcBorders>
              <w:top w:val="single" w:sz="4" w:space="0" w:color="auto"/>
              <w:left w:val="nil"/>
              <w:bottom w:val="single" w:sz="4" w:space="0" w:color="000000"/>
              <w:right w:val="nil"/>
            </w:tcBorders>
            <w:vAlign w:val="center"/>
            <w:hideMark/>
          </w:tcPr>
          <w:p w14:paraId="6032814A" w14:textId="77777777" w:rsidR="00D40C52" w:rsidRPr="00F36956" w:rsidRDefault="00D40C52" w:rsidP="00D40C52">
            <w:pPr>
              <w:spacing w:after="0" w:line="240" w:lineRule="auto"/>
              <w:rPr>
                <w:rFonts w:ascii="Times New Roman" w:eastAsia="Times New Roman" w:hAnsi="Times New Roman" w:cs="Times New Roman"/>
                <w:color w:val="000000"/>
                <w:sz w:val="16"/>
                <w:szCs w:val="16"/>
              </w:rPr>
            </w:pPr>
          </w:p>
        </w:tc>
        <w:tc>
          <w:tcPr>
            <w:tcW w:w="1307" w:type="dxa"/>
            <w:tcBorders>
              <w:top w:val="nil"/>
              <w:left w:val="nil"/>
              <w:bottom w:val="nil"/>
              <w:right w:val="nil"/>
            </w:tcBorders>
            <w:shd w:val="clear" w:color="auto" w:fill="auto"/>
            <w:vAlign w:val="center"/>
            <w:hideMark/>
          </w:tcPr>
          <w:p w14:paraId="0C96D871"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Cellulosic biofuel,</w:t>
            </w:r>
          </w:p>
        </w:tc>
        <w:tc>
          <w:tcPr>
            <w:tcW w:w="1597" w:type="dxa"/>
            <w:tcBorders>
              <w:top w:val="nil"/>
              <w:left w:val="nil"/>
              <w:bottom w:val="nil"/>
              <w:right w:val="nil"/>
            </w:tcBorders>
            <w:shd w:val="clear" w:color="auto" w:fill="auto"/>
            <w:vAlign w:val="center"/>
            <w:hideMark/>
          </w:tcPr>
          <w:p w14:paraId="11FA1163" w14:textId="0A107AD1"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Hydrogen</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67" w:type="dxa"/>
            <w:vMerge/>
            <w:tcBorders>
              <w:top w:val="single" w:sz="4" w:space="0" w:color="auto"/>
              <w:left w:val="nil"/>
              <w:bottom w:val="single" w:sz="4" w:space="0" w:color="000000"/>
              <w:right w:val="nil"/>
            </w:tcBorders>
            <w:vAlign w:val="center"/>
            <w:hideMark/>
          </w:tcPr>
          <w:p w14:paraId="4179CE7E" w14:textId="77777777" w:rsidR="00D40C52" w:rsidRPr="00F36956" w:rsidRDefault="00D40C52" w:rsidP="00D40C52">
            <w:pPr>
              <w:spacing w:after="0" w:line="240" w:lineRule="auto"/>
              <w:rPr>
                <w:rFonts w:ascii="Arial" w:eastAsia="Times New Roman" w:hAnsi="Arial" w:cs="Arial"/>
                <w:color w:val="505050"/>
                <w:sz w:val="16"/>
                <w:szCs w:val="16"/>
              </w:rPr>
            </w:pPr>
          </w:p>
        </w:tc>
        <w:tc>
          <w:tcPr>
            <w:tcW w:w="1677" w:type="dxa"/>
            <w:tcBorders>
              <w:top w:val="nil"/>
              <w:left w:val="nil"/>
              <w:bottom w:val="nil"/>
              <w:right w:val="nil"/>
            </w:tcBorders>
            <w:shd w:val="clear" w:color="auto" w:fill="auto"/>
            <w:vAlign w:val="center"/>
            <w:hideMark/>
          </w:tcPr>
          <w:p w14:paraId="78F39535" w14:textId="7A41F56B"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Cellulosic biofuel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67" w:type="dxa"/>
            <w:tcBorders>
              <w:top w:val="nil"/>
              <w:left w:val="nil"/>
              <w:bottom w:val="nil"/>
              <w:right w:val="single" w:sz="8" w:space="0" w:color="auto"/>
            </w:tcBorders>
            <w:shd w:val="clear" w:color="auto" w:fill="auto"/>
            <w:vAlign w:val="center"/>
            <w:hideMark/>
          </w:tcPr>
          <w:p w14:paraId="33AFFF80" w14:textId="7C07A56E"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Cellulosic biofuel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r>
      <w:tr w:rsidR="00D40C52" w:rsidRPr="00F36956" w14:paraId="0E748136" w14:textId="77777777" w:rsidTr="00507244">
        <w:trPr>
          <w:trHeight w:val="684"/>
        </w:trPr>
        <w:tc>
          <w:tcPr>
            <w:tcW w:w="1437" w:type="dxa"/>
            <w:vMerge/>
            <w:tcBorders>
              <w:top w:val="single" w:sz="4" w:space="0" w:color="auto"/>
              <w:left w:val="single" w:sz="8" w:space="0" w:color="auto"/>
              <w:bottom w:val="single" w:sz="4" w:space="0" w:color="000000"/>
              <w:right w:val="nil"/>
            </w:tcBorders>
            <w:vAlign w:val="center"/>
            <w:hideMark/>
          </w:tcPr>
          <w:p w14:paraId="7B6D8523" w14:textId="77777777" w:rsidR="00D40C52" w:rsidRPr="00F36956" w:rsidRDefault="00D40C52" w:rsidP="00D40C52">
            <w:pPr>
              <w:spacing w:after="0" w:line="240" w:lineRule="auto"/>
              <w:rPr>
                <w:rFonts w:ascii="Arial" w:eastAsia="Times New Roman" w:hAnsi="Arial" w:cs="Arial"/>
                <w:b/>
                <w:bCs/>
                <w:color w:val="505050"/>
                <w:sz w:val="16"/>
                <w:szCs w:val="16"/>
              </w:rPr>
            </w:pPr>
          </w:p>
        </w:tc>
        <w:tc>
          <w:tcPr>
            <w:tcW w:w="1437" w:type="dxa"/>
            <w:tcBorders>
              <w:top w:val="nil"/>
              <w:left w:val="nil"/>
              <w:bottom w:val="nil"/>
              <w:right w:val="nil"/>
            </w:tcBorders>
            <w:shd w:val="clear" w:color="auto" w:fill="auto"/>
            <w:vAlign w:val="center"/>
            <w:hideMark/>
          </w:tcPr>
          <w:p w14:paraId="3399905F" w14:textId="23E73203"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100% bioelectricity</w:t>
            </w:r>
            <w:r w:rsidR="00590B39">
              <w:rPr>
                <w:rFonts w:ascii="Arial" w:eastAsia="Times New Roman" w:hAnsi="Arial" w:cs="Arial"/>
                <w:color w:val="505050"/>
                <w:sz w:val="18"/>
                <w:szCs w:val="18"/>
              </w:rPr>
              <w:t xml:space="preserve"> (+)</w:t>
            </w:r>
          </w:p>
        </w:tc>
        <w:tc>
          <w:tcPr>
            <w:tcW w:w="1597" w:type="dxa"/>
            <w:tcBorders>
              <w:top w:val="nil"/>
              <w:left w:val="nil"/>
              <w:bottom w:val="nil"/>
              <w:right w:val="nil"/>
            </w:tcBorders>
            <w:vAlign w:val="center"/>
          </w:tcPr>
          <w:p w14:paraId="60AE06A7"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Heat</w:t>
            </w:r>
          </w:p>
          <w:p w14:paraId="0F421CD2" w14:textId="77777777" w:rsidR="00D40C52" w:rsidRPr="00F36956" w:rsidRDefault="00D40C52" w:rsidP="00507244">
            <w:pPr>
              <w:spacing w:after="0" w:line="240" w:lineRule="auto"/>
              <w:jc w:val="center"/>
              <w:rPr>
                <w:rFonts w:ascii="Arial" w:eastAsia="Times New Roman" w:hAnsi="Arial" w:cs="Arial"/>
                <w:color w:val="505050"/>
                <w:sz w:val="16"/>
                <w:szCs w:val="16"/>
              </w:rPr>
            </w:pPr>
          </w:p>
          <w:p w14:paraId="65B003D2" w14:textId="76586A32" w:rsidR="00D40C52" w:rsidRPr="00F36956" w:rsidRDefault="00D40C52" w:rsidP="00507244">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Biogas</w:t>
            </w:r>
          </w:p>
        </w:tc>
        <w:tc>
          <w:tcPr>
            <w:tcW w:w="1597" w:type="dxa"/>
            <w:tcBorders>
              <w:top w:val="nil"/>
              <w:left w:val="nil"/>
              <w:bottom w:val="nil"/>
              <w:right w:val="nil"/>
            </w:tcBorders>
            <w:shd w:val="clear" w:color="auto" w:fill="auto"/>
            <w:vAlign w:val="center"/>
            <w:hideMark/>
          </w:tcPr>
          <w:p w14:paraId="25445246" w14:textId="164D42F5"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Biodiesel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 FT Diesel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77" w:type="dxa"/>
            <w:tcBorders>
              <w:top w:val="nil"/>
              <w:left w:val="nil"/>
              <w:bottom w:val="nil"/>
              <w:right w:val="nil"/>
            </w:tcBorders>
            <w:shd w:val="clear" w:color="auto" w:fill="auto"/>
            <w:vAlign w:val="center"/>
            <w:hideMark/>
          </w:tcPr>
          <w:p w14:paraId="4914FF07"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Biodiesel,</w:t>
            </w:r>
          </w:p>
        </w:tc>
        <w:tc>
          <w:tcPr>
            <w:tcW w:w="1307" w:type="dxa"/>
            <w:vMerge/>
            <w:tcBorders>
              <w:top w:val="single" w:sz="4" w:space="0" w:color="auto"/>
              <w:left w:val="nil"/>
              <w:bottom w:val="single" w:sz="4" w:space="0" w:color="000000"/>
              <w:right w:val="nil"/>
            </w:tcBorders>
            <w:vAlign w:val="center"/>
            <w:hideMark/>
          </w:tcPr>
          <w:p w14:paraId="458880D7" w14:textId="77777777" w:rsidR="00D40C52" w:rsidRPr="00F36956" w:rsidRDefault="00D40C52" w:rsidP="00D40C52">
            <w:pPr>
              <w:spacing w:after="0" w:line="240" w:lineRule="auto"/>
              <w:rPr>
                <w:rFonts w:ascii="Times New Roman" w:eastAsia="Times New Roman" w:hAnsi="Times New Roman" w:cs="Times New Roman"/>
                <w:color w:val="000000"/>
                <w:sz w:val="16"/>
                <w:szCs w:val="16"/>
              </w:rPr>
            </w:pPr>
          </w:p>
        </w:tc>
        <w:tc>
          <w:tcPr>
            <w:tcW w:w="1307" w:type="dxa"/>
            <w:tcBorders>
              <w:top w:val="nil"/>
              <w:left w:val="nil"/>
              <w:bottom w:val="nil"/>
              <w:right w:val="nil"/>
            </w:tcBorders>
            <w:shd w:val="clear" w:color="auto" w:fill="auto"/>
            <w:vAlign w:val="center"/>
            <w:hideMark/>
          </w:tcPr>
          <w:p w14:paraId="20C39505"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Biodiesel,</w:t>
            </w:r>
          </w:p>
        </w:tc>
        <w:tc>
          <w:tcPr>
            <w:tcW w:w="1597" w:type="dxa"/>
            <w:tcBorders>
              <w:top w:val="nil"/>
              <w:left w:val="nil"/>
              <w:bottom w:val="nil"/>
              <w:right w:val="nil"/>
            </w:tcBorders>
            <w:shd w:val="clear" w:color="auto" w:fill="auto"/>
            <w:vAlign w:val="center"/>
            <w:hideMark/>
          </w:tcPr>
          <w:p w14:paraId="0A389D4A" w14:textId="348F29CE"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Cellulosic biofuel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67" w:type="dxa"/>
            <w:vMerge/>
            <w:tcBorders>
              <w:top w:val="single" w:sz="4" w:space="0" w:color="auto"/>
              <w:left w:val="nil"/>
              <w:bottom w:val="single" w:sz="4" w:space="0" w:color="000000"/>
              <w:right w:val="nil"/>
            </w:tcBorders>
            <w:vAlign w:val="center"/>
            <w:hideMark/>
          </w:tcPr>
          <w:p w14:paraId="38F6C366" w14:textId="77777777" w:rsidR="00D40C52" w:rsidRPr="00F36956" w:rsidRDefault="00D40C52" w:rsidP="00D40C52">
            <w:pPr>
              <w:spacing w:after="0" w:line="240" w:lineRule="auto"/>
              <w:rPr>
                <w:rFonts w:ascii="Arial" w:eastAsia="Times New Roman" w:hAnsi="Arial" w:cs="Arial"/>
                <w:color w:val="505050"/>
                <w:sz w:val="16"/>
                <w:szCs w:val="16"/>
              </w:rPr>
            </w:pPr>
          </w:p>
        </w:tc>
        <w:tc>
          <w:tcPr>
            <w:tcW w:w="1677" w:type="dxa"/>
            <w:tcBorders>
              <w:top w:val="nil"/>
              <w:left w:val="nil"/>
              <w:bottom w:val="nil"/>
              <w:right w:val="nil"/>
            </w:tcBorders>
            <w:shd w:val="clear" w:color="auto" w:fill="auto"/>
            <w:vAlign w:val="center"/>
            <w:hideMark/>
          </w:tcPr>
          <w:p w14:paraId="6DB2FDA3" w14:textId="58B02DE3"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Biodiesel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 FT Diesel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67" w:type="dxa"/>
            <w:tcBorders>
              <w:top w:val="nil"/>
              <w:left w:val="nil"/>
              <w:bottom w:val="nil"/>
              <w:right w:val="single" w:sz="8" w:space="0" w:color="auto"/>
            </w:tcBorders>
            <w:shd w:val="clear" w:color="auto" w:fill="auto"/>
            <w:vAlign w:val="center"/>
            <w:hideMark/>
          </w:tcPr>
          <w:p w14:paraId="06B95167"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Biodiesel,</w:t>
            </w:r>
          </w:p>
        </w:tc>
      </w:tr>
      <w:tr w:rsidR="00D40C52" w:rsidRPr="00F36956" w14:paraId="20B1AC4B" w14:textId="77777777" w:rsidTr="00507244">
        <w:trPr>
          <w:trHeight w:val="1368"/>
        </w:trPr>
        <w:tc>
          <w:tcPr>
            <w:tcW w:w="1437" w:type="dxa"/>
            <w:vMerge/>
            <w:tcBorders>
              <w:top w:val="single" w:sz="4" w:space="0" w:color="auto"/>
              <w:left w:val="single" w:sz="8" w:space="0" w:color="auto"/>
              <w:bottom w:val="single" w:sz="4" w:space="0" w:color="000000"/>
              <w:right w:val="nil"/>
            </w:tcBorders>
            <w:vAlign w:val="center"/>
            <w:hideMark/>
          </w:tcPr>
          <w:p w14:paraId="268DAF37" w14:textId="77777777" w:rsidR="00D40C52" w:rsidRPr="00F36956" w:rsidRDefault="00D40C52" w:rsidP="00D40C52">
            <w:pPr>
              <w:spacing w:after="0" w:line="240" w:lineRule="auto"/>
              <w:rPr>
                <w:rFonts w:ascii="Arial" w:eastAsia="Times New Roman" w:hAnsi="Arial" w:cs="Arial"/>
                <w:b/>
                <w:bCs/>
                <w:color w:val="505050"/>
                <w:sz w:val="16"/>
                <w:szCs w:val="16"/>
              </w:rPr>
            </w:pPr>
          </w:p>
        </w:tc>
        <w:tc>
          <w:tcPr>
            <w:tcW w:w="1437" w:type="dxa"/>
            <w:tcBorders>
              <w:top w:val="nil"/>
              <w:left w:val="nil"/>
              <w:bottom w:val="nil"/>
              <w:right w:val="nil"/>
            </w:tcBorders>
            <w:shd w:val="clear" w:color="auto" w:fill="auto"/>
            <w:vAlign w:val="center"/>
            <w:hideMark/>
          </w:tcPr>
          <w:p w14:paraId="2487861B" w14:textId="77777777" w:rsidR="00D40C52" w:rsidRPr="00F36956" w:rsidRDefault="00D40C52" w:rsidP="00D40C52">
            <w:pPr>
              <w:spacing w:after="0" w:line="240" w:lineRule="auto"/>
              <w:jc w:val="center"/>
              <w:rPr>
                <w:rFonts w:ascii="Arial" w:eastAsia="Times New Roman" w:hAnsi="Arial" w:cs="Arial"/>
                <w:color w:val="505050"/>
                <w:sz w:val="16"/>
                <w:szCs w:val="16"/>
              </w:rPr>
            </w:pPr>
          </w:p>
        </w:tc>
        <w:tc>
          <w:tcPr>
            <w:tcW w:w="1597" w:type="dxa"/>
            <w:tcBorders>
              <w:top w:val="nil"/>
              <w:left w:val="nil"/>
              <w:bottom w:val="nil"/>
              <w:right w:val="nil"/>
            </w:tcBorders>
            <w:vAlign w:val="center"/>
          </w:tcPr>
          <w:p w14:paraId="151A04A7" w14:textId="77777777" w:rsidR="00D40C52" w:rsidRPr="00F36956" w:rsidRDefault="00D40C52" w:rsidP="00D40C52">
            <w:pPr>
              <w:spacing w:after="0" w:line="240" w:lineRule="auto"/>
              <w:jc w:val="center"/>
              <w:rPr>
                <w:rFonts w:ascii="Arial" w:eastAsia="Times New Roman" w:hAnsi="Arial" w:cs="Arial"/>
                <w:color w:val="505050"/>
                <w:sz w:val="16"/>
                <w:szCs w:val="16"/>
              </w:rPr>
            </w:pPr>
          </w:p>
        </w:tc>
        <w:tc>
          <w:tcPr>
            <w:tcW w:w="1597" w:type="dxa"/>
            <w:tcBorders>
              <w:top w:val="nil"/>
              <w:left w:val="nil"/>
              <w:bottom w:val="nil"/>
              <w:right w:val="nil"/>
            </w:tcBorders>
            <w:shd w:val="clear" w:color="auto" w:fill="auto"/>
            <w:vAlign w:val="center"/>
            <w:hideMark/>
          </w:tcPr>
          <w:p w14:paraId="7E308B54" w14:textId="5605F711"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Thermochemical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77" w:type="dxa"/>
            <w:tcBorders>
              <w:top w:val="nil"/>
              <w:left w:val="nil"/>
              <w:bottom w:val="nil"/>
              <w:right w:val="nil"/>
            </w:tcBorders>
            <w:shd w:val="clear" w:color="auto" w:fill="auto"/>
            <w:vAlign w:val="center"/>
            <w:hideMark/>
          </w:tcPr>
          <w:p w14:paraId="275E0755"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BTL, FT-synthetic,</w:t>
            </w:r>
          </w:p>
        </w:tc>
        <w:tc>
          <w:tcPr>
            <w:tcW w:w="1307" w:type="dxa"/>
            <w:vMerge/>
            <w:tcBorders>
              <w:top w:val="single" w:sz="4" w:space="0" w:color="auto"/>
              <w:left w:val="nil"/>
              <w:bottom w:val="single" w:sz="4" w:space="0" w:color="000000"/>
              <w:right w:val="nil"/>
            </w:tcBorders>
            <w:vAlign w:val="center"/>
            <w:hideMark/>
          </w:tcPr>
          <w:p w14:paraId="5D4C1E6B" w14:textId="77777777" w:rsidR="00D40C52" w:rsidRPr="00F36956" w:rsidRDefault="00D40C52" w:rsidP="00D40C52">
            <w:pPr>
              <w:spacing w:after="0" w:line="240" w:lineRule="auto"/>
              <w:rPr>
                <w:rFonts w:ascii="Times New Roman" w:eastAsia="Times New Roman" w:hAnsi="Times New Roman" w:cs="Times New Roman"/>
                <w:color w:val="000000"/>
                <w:sz w:val="16"/>
                <w:szCs w:val="16"/>
              </w:rPr>
            </w:pPr>
          </w:p>
        </w:tc>
        <w:tc>
          <w:tcPr>
            <w:tcW w:w="1307" w:type="dxa"/>
            <w:tcBorders>
              <w:top w:val="nil"/>
              <w:left w:val="nil"/>
              <w:bottom w:val="nil"/>
              <w:right w:val="nil"/>
            </w:tcBorders>
            <w:shd w:val="clear" w:color="auto" w:fill="auto"/>
            <w:vAlign w:val="center"/>
            <w:hideMark/>
          </w:tcPr>
          <w:p w14:paraId="4C37E735" w14:textId="37614B24"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100% bioelectricity (IGCC and combustion)</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597" w:type="dxa"/>
            <w:tcBorders>
              <w:top w:val="nil"/>
              <w:left w:val="nil"/>
              <w:bottom w:val="nil"/>
              <w:right w:val="nil"/>
            </w:tcBorders>
            <w:shd w:val="clear" w:color="auto" w:fill="auto"/>
            <w:vAlign w:val="center"/>
            <w:hideMark/>
          </w:tcPr>
          <w:p w14:paraId="17ADAB28"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Biodiesel,</w:t>
            </w:r>
          </w:p>
        </w:tc>
        <w:tc>
          <w:tcPr>
            <w:tcW w:w="1267" w:type="dxa"/>
            <w:vMerge/>
            <w:tcBorders>
              <w:top w:val="single" w:sz="4" w:space="0" w:color="auto"/>
              <w:left w:val="nil"/>
              <w:bottom w:val="single" w:sz="4" w:space="0" w:color="000000"/>
              <w:right w:val="nil"/>
            </w:tcBorders>
            <w:vAlign w:val="center"/>
            <w:hideMark/>
          </w:tcPr>
          <w:p w14:paraId="7C8BDB45" w14:textId="77777777" w:rsidR="00D40C52" w:rsidRPr="00F36956" w:rsidRDefault="00D40C52" w:rsidP="00D40C52">
            <w:pPr>
              <w:spacing w:after="0" w:line="240" w:lineRule="auto"/>
              <w:rPr>
                <w:rFonts w:ascii="Arial" w:eastAsia="Times New Roman" w:hAnsi="Arial" w:cs="Arial"/>
                <w:color w:val="505050"/>
                <w:sz w:val="16"/>
                <w:szCs w:val="16"/>
              </w:rPr>
            </w:pPr>
          </w:p>
        </w:tc>
        <w:tc>
          <w:tcPr>
            <w:tcW w:w="1677" w:type="dxa"/>
            <w:tcBorders>
              <w:top w:val="nil"/>
              <w:left w:val="nil"/>
              <w:bottom w:val="nil"/>
              <w:right w:val="nil"/>
            </w:tcBorders>
            <w:shd w:val="clear" w:color="auto" w:fill="auto"/>
            <w:vAlign w:val="center"/>
            <w:hideMark/>
          </w:tcPr>
          <w:p w14:paraId="1C67D9AF" w14:textId="605FE41D"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Thermochemical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67" w:type="dxa"/>
            <w:tcBorders>
              <w:top w:val="nil"/>
              <w:left w:val="nil"/>
              <w:bottom w:val="nil"/>
              <w:right w:val="single" w:sz="8" w:space="0" w:color="auto"/>
            </w:tcBorders>
            <w:shd w:val="clear" w:color="auto" w:fill="auto"/>
            <w:vAlign w:val="center"/>
            <w:hideMark/>
          </w:tcPr>
          <w:p w14:paraId="05CB0E7D" w14:textId="77777777" w:rsidR="00D40C52"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100% bioelectricity (IGCC and combustion)</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p w14:paraId="5716CC8A" w14:textId="043D66C5" w:rsidR="00590B39" w:rsidRPr="00F36956" w:rsidRDefault="00590B39" w:rsidP="00D40C52">
            <w:pPr>
              <w:spacing w:after="0" w:line="240" w:lineRule="auto"/>
              <w:jc w:val="center"/>
              <w:rPr>
                <w:rFonts w:ascii="Arial" w:eastAsia="Times New Roman" w:hAnsi="Arial" w:cs="Arial"/>
                <w:color w:val="505050"/>
                <w:sz w:val="16"/>
                <w:szCs w:val="16"/>
              </w:rPr>
            </w:pPr>
            <w:r>
              <w:rPr>
                <w:rFonts w:ascii="Arial" w:eastAsia="Times New Roman" w:hAnsi="Arial" w:cs="Arial"/>
                <w:color w:val="505050"/>
                <w:sz w:val="16"/>
                <w:szCs w:val="16"/>
              </w:rPr>
              <w:t>Combined heat and power</w:t>
            </w:r>
            <w:r>
              <w:rPr>
                <w:rFonts w:ascii="Arial" w:eastAsia="Times New Roman" w:hAnsi="Arial" w:cs="Arial"/>
                <w:color w:val="505050"/>
                <w:sz w:val="18"/>
                <w:szCs w:val="18"/>
              </w:rPr>
              <w:t xml:space="preserve"> (+)</w:t>
            </w:r>
          </w:p>
        </w:tc>
      </w:tr>
      <w:tr w:rsidR="00D40C52" w:rsidRPr="00590B39" w14:paraId="1DE9AFD6" w14:textId="77777777" w:rsidTr="00507244">
        <w:trPr>
          <w:trHeight w:val="1596"/>
        </w:trPr>
        <w:tc>
          <w:tcPr>
            <w:tcW w:w="1437" w:type="dxa"/>
            <w:vMerge/>
            <w:tcBorders>
              <w:top w:val="single" w:sz="4" w:space="0" w:color="auto"/>
              <w:left w:val="single" w:sz="8" w:space="0" w:color="auto"/>
              <w:bottom w:val="single" w:sz="4" w:space="0" w:color="000000"/>
              <w:right w:val="nil"/>
            </w:tcBorders>
            <w:vAlign w:val="center"/>
            <w:hideMark/>
          </w:tcPr>
          <w:p w14:paraId="5B2B6AC6" w14:textId="77777777" w:rsidR="00D40C52" w:rsidRPr="00F36956" w:rsidRDefault="00D40C52" w:rsidP="00D40C52">
            <w:pPr>
              <w:spacing w:after="0" w:line="240" w:lineRule="auto"/>
              <w:rPr>
                <w:rFonts w:ascii="Arial" w:eastAsia="Times New Roman" w:hAnsi="Arial" w:cs="Arial"/>
                <w:b/>
                <w:bCs/>
                <w:color w:val="505050"/>
                <w:sz w:val="16"/>
                <w:szCs w:val="16"/>
              </w:rPr>
            </w:pPr>
          </w:p>
        </w:tc>
        <w:tc>
          <w:tcPr>
            <w:tcW w:w="1437" w:type="dxa"/>
            <w:tcBorders>
              <w:top w:val="nil"/>
              <w:left w:val="nil"/>
              <w:bottom w:val="nil"/>
              <w:right w:val="nil"/>
            </w:tcBorders>
            <w:shd w:val="clear" w:color="auto" w:fill="auto"/>
            <w:vAlign w:val="center"/>
            <w:hideMark/>
          </w:tcPr>
          <w:p w14:paraId="2BAC0A3E" w14:textId="77777777" w:rsidR="00D40C52" w:rsidRPr="00F36956" w:rsidRDefault="00D40C52" w:rsidP="00D40C52">
            <w:pPr>
              <w:spacing w:after="0" w:line="240" w:lineRule="auto"/>
              <w:jc w:val="center"/>
              <w:rPr>
                <w:rFonts w:ascii="Arial" w:eastAsia="Times New Roman" w:hAnsi="Arial" w:cs="Arial"/>
                <w:color w:val="505050"/>
                <w:sz w:val="16"/>
                <w:szCs w:val="16"/>
              </w:rPr>
            </w:pPr>
          </w:p>
        </w:tc>
        <w:tc>
          <w:tcPr>
            <w:tcW w:w="1597" w:type="dxa"/>
            <w:tcBorders>
              <w:top w:val="nil"/>
              <w:left w:val="nil"/>
              <w:bottom w:val="nil"/>
              <w:right w:val="nil"/>
            </w:tcBorders>
            <w:vAlign w:val="center"/>
          </w:tcPr>
          <w:p w14:paraId="578CC788" w14:textId="77777777" w:rsidR="00D40C52" w:rsidRPr="00F36956" w:rsidRDefault="00D40C52" w:rsidP="00D40C52">
            <w:pPr>
              <w:spacing w:after="0" w:line="240" w:lineRule="auto"/>
              <w:jc w:val="center"/>
              <w:rPr>
                <w:rFonts w:ascii="Arial" w:eastAsia="Times New Roman" w:hAnsi="Arial" w:cs="Arial"/>
                <w:color w:val="505050"/>
                <w:sz w:val="16"/>
                <w:szCs w:val="16"/>
              </w:rPr>
            </w:pPr>
          </w:p>
        </w:tc>
        <w:tc>
          <w:tcPr>
            <w:tcW w:w="1597" w:type="dxa"/>
            <w:tcBorders>
              <w:top w:val="nil"/>
              <w:left w:val="nil"/>
              <w:bottom w:val="nil"/>
              <w:right w:val="nil"/>
            </w:tcBorders>
            <w:shd w:val="clear" w:color="auto" w:fill="auto"/>
            <w:vAlign w:val="center"/>
            <w:hideMark/>
          </w:tcPr>
          <w:p w14:paraId="0211BDF9" w14:textId="7B0EC7A5"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100% bioelectricity</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 Cofired bioelectricity (30% w/ low-grade coal)</w:t>
            </w:r>
            <w:r w:rsidR="00590B39">
              <w:rPr>
                <w:rFonts w:ascii="Arial" w:eastAsia="Times New Roman" w:hAnsi="Arial" w:cs="Arial"/>
                <w:color w:val="505050"/>
                <w:sz w:val="18"/>
                <w:szCs w:val="18"/>
              </w:rPr>
              <w:t xml:space="preserve"> (+)</w:t>
            </w:r>
          </w:p>
        </w:tc>
        <w:tc>
          <w:tcPr>
            <w:tcW w:w="1277" w:type="dxa"/>
            <w:tcBorders>
              <w:top w:val="nil"/>
              <w:left w:val="nil"/>
              <w:bottom w:val="nil"/>
              <w:right w:val="nil"/>
            </w:tcBorders>
            <w:shd w:val="clear" w:color="auto" w:fill="auto"/>
            <w:vAlign w:val="center"/>
            <w:hideMark/>
          </w:tcPr>
          <w:p w14:paraId="7DB1BDF0" w14:textId="4D0B58B5"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100% bioelectricity</w:t>
            </w:r>
            <w:r w:rsidR="00590B39">
              <w:rPr>
                <w:rFonts w:ascii="Arial" w:eastAsia="Times New Roman" w:hAnsi="Arial" w:cs="Arial"/>
                <w:color w:val="505050"/>
                <w:sz w:val="18"/>
                <w:szCs w:val="18"/>
              </w:rPr>
              <w:t xml:space="preserve"> (+)</w:t>
            </w:r>
          </w:p>
        </w:tc>
        <w:tc>
          <w:tcPr>
            <w:tcW w:w="1307" w:type="dxa"/>
            <w:vMerge/>
            <w:tcBorders>
              <w:top w:val="single" w:sz="4" w:space="0" w:color="auto"/>
              <w:left w:val="nil"/>
              <w:bottom w:val="single" w:sz="4" w:space="0" w:color="000000"/>
              <w:right w:val="nil"/>
            </w:tcBorders>
            <w:vAlign w:val="center"/>
            <w:hideMark/>
          </w:tcPr>
          <w:p w14:paraId="26D0A125" w14:textId="77777777" w:rsidR="00D40C52" w:rsidRPr="00F36956" w:rsidRDefault="00D40C52" w:rsidP="00D40C52">
            <w:pPr>
              <w:spacing w:after="0" w:line="240" w:lineRule="auto"/>
              <w:rPr>
                <w:rFonts w:ascii="Times New Roman" w:eastAsia="Times New Roman" w:hAnsi="Times New Roman" w:cs="Times New Roman"/>
                <w:color w:val="000000"/>
                <w:sz w:val="16"/>
                <w:szCs w:val="16"/>
              </w:rPr>
            </w:pPr>
          </w:p>
        </w:tc>
        <w:tc>
          <w:tcPr>
            <w:tcW w:w="1307" w:type="dxa"/>
            <w:tcBorders>
              <w:top w:val="nil"/>
              <w:left w:val="nil"/>
              <w:bottom w:val="nil"/>
              <w:right w:val="nil"/>
            </w:tcBorders>
            <w:shd w:val="clear" w:color="auto" w:fill="auto"/>
            <w:vAlign w:val="center"/>
            <w:hideMark/>
          </w:tcPr>
          <w:p w14:paraId="2CC2C3B6" w14:textId="7777777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BTL,</w:t>
            </w:r>
          </w:p>
        </w:tc>
        <w:tc>
          <w:tcPr>
            <w:tcW w:w="1597" w:type="dxa"/>
            <w:tcBorders>
              <w:top w:val="nil"/>
              <w:left w:val="nil"/>
              <w:bottom w:val="nil"/>
              <w:right w:val="nil"/>
            </w:tcBorders>
            <w:shd w:val="clear" w:color="auto" w:fill="auto"/>
            <w:vAlign w:val="center"/>
            <w:hideMark/>
          </w:tcPr>
          <w:p w14:paraId="46DAEA98" w14:textId="6812780A"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Thermochemical</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67" w:type="dxa"/>
            <w:vMerge/>
            <w:tcBorders>
              <w:top w:val="single" w:sz="4" w:space="0" w:color="auto"/>
              <w:left w:val="nil"/>
              <w:bottom w:val="single" w:sz="4" w:space="0" w:color="000000"/>
              <w:right w:val="nil"/>
            </w:tcBorders>
            <w:vAlign w:val="center"/>
            <w:hideMark/>
          </w:tcPr>
          <w:p w14:paraId="57669C03" w14:textId="77777777" w:rsidR="00D40C52" w:rsidRPr="00F36956" w:rsidRDefault="00D40C52" w:rsidP="00D40C52">
            <w:pPr>
              <w:spacing w:after="0" w:line="240" w:lineRule="auto"/>
              <w:rPr>
                <w:rFonts w:ascii="Arial" w:eastAsia="Times New Roman" w:hAnsi="Arial" w:cs="Arial"/>
                <w:color w:val="505050"/>
                <w:sz w:val="16"/>
                <w:szCs w:val="16"/>
              </w:rPr>
            </w:pPr>
          </w:p>
        </w:tc>
        <w:tc>
          <w:tcPr>
            <w:tcW w:w="1677" w:type="dxa"/>
            <w:tcBorders>
              <w:top w:val="nil"/>
              <w:left w:val="nil"/>
              <w:bottom w:val="nil"/>
              <w:right w:val="nil"/>
            </w:tcBorders>
            <w:shd w:val="clear" w:color="auto" w:fill="auto"/>
            <w:vAlign w:val="center"/>
            <w:hideMark/>
          </w:tcPr>
          <w:p w14:paraId="167C1448" w14:textId="053D71A8"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100% bioelectricity</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 polythene</w:t>
            </w:r>
          </w:p>
        </w:tc>
        <w:tc>
          <w:tcPr>
            <w:tcW w:w="1267" w:type="dxa"/>
            <w:tcBorders>
              <w:top w:val="nil"/>
              <w:left w:val="nil"/>
              <w:bottom w:val="nil"/>
              <w:right w:val="single" w:sz="8" w:space="0" w:color="auto"/>
            </w:tcBorders>
            <w:shd w:val="clear" w:color="auto" w:fill="auto"/>
            <w:vAlign w:val="center"/>
            <w:hideMark/>
          </w:tcPr>
          <w:p w14:paraId="3122C4EE" w14:textId="7777777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p>
        </w:tc>
      </w:tr>
      <w:tr w:rsidR="00D40C52" w:rsidRPr="00F36956" w14:paraId="652838A0" w14:textId="77777777" w:rsidTr="00507244">
        <w:trPr>
          <w:trHeight w:val="684"/>
        </w:trPr>
        <w:tc>
          <w:tcPr>
            <w:tcW w:w="1437" w:type="dxa"/>
            <w:vMerge/>
            <w:tcBorders>
              <w:top w:val="single" w:sz="4" w:space="0" w:color="auto"/>
              <w:left w:val="single" w:sz="8" w:space="0" w:color="auto"/>
              <w:bottom w:val="single" w:sz="4" w:space="0" w:color="000000"/>
              <w:right w:val="nil"/>
            </w:tcBorders>
            <w:vAlign w:val="center"/>
            <w:hideMark/>
          </w:tcPr>
          <w:p w14:paraId="290B6243" w14:textId="77777777" w:rsidR="00D40C52" w:rsidRPr="003373EC" w:rsidRDefault="00D40C52" w:rsidP="00D40C52">
            <w:pPr>
              <w:spacing w:after="0" w:line="240" w:lineRule="auto"/>
              <w:rPr>
                <w:rFonts w:ascii="Arial" w:eastAsia="Times New Roman" w:hAnsi="Arial" w:cs="Arial"/>
                <w:b/>
                <w:bCs/>
                <w:color w:val="505050"/>
                <w:sz w:val="16"/>
                <w:szCs w:val="16"/>
              </w:rPr>
            </w:pPr>
          </w:p>
        </w:tc>
        <w:tc>
          <w:tcPr>
            <w:tcW w:w="1437" w:type="dxa"/>
            <w:tcBorders>
              <w:top w:val="nil"/>
              <w:left w:val="nil"/>
              <w:bottom w:val="nil"/>
              <w:right w:val="nil"/>
            </w:tcBorders>
            <w:shd w:val="clear" w:color="auto" w:fill="auto"/>
            <w:vAlign w:val="center"/>
            <w:hideMark/>
          </w:tcPr>
          <w:p w14:paraId="34C55CB0" w14:textId="77777777" w:rsidR="00D40C52" w:rsidRPr="003373EC" w:rsidRDefault="00D40C52" w:rsidP="00D40C52">
            <w:pPr>
              <w:spacing w:after="0" w:line="240" w:lineRule="auto"/>
              <w:rPr>
                <w:rFonts w:ascii="Calibri" w:eastAsia="Times New Roman" w:hAnsi="Calibri" w:cs="Calibri"/>
                <w:color w:val="000000"/>
                <w:sz w:val="16"/>
                <w:szCs w:val="16"/>
              </w:rPr>
            </w:pPr>
          </w:p>
        </w:tc>
        <w:tc>
          <w:tcPr>
            <w:tcW w:w="1597" w:type="dxa"/>
            <w:tcBorders>
              <w:top w:val="nil"/>
              <w:left w:val="nil"/>
              <w:bottom w:val="nil"/>
              <w:right w:val="nil"/>
            </w:tcBorders>
            <w:vAlign w:val="center"/>
          </w:tcPr>
          <w:p w14:paraId="09249EA9" w14:textId="77777777" w:rsidR="00D40C52" w:rsidRPr="003373EC" w:rsidRDefault="00D40C52" w:rsidP="00507244">
            <w:pPr>
              <w:spacing w:after="0" w:line="240" w:lineRule="auto"/>
              <w:jc w:val="center"/>
              <w:rPr>
                <w:rFonts w:ascii="Times New Roman" w:eastAsia="Times New Roman" w:hAnsi="Times New Roman" w:cs="Times New Roman"/>
                <w:sz w:val="16"/>
                <w:szCs w:val="16"/>
              </w:rPr>
            </w:pPr>
          </w:p>
        </w:tc>
        <w:tc>
          <w:tcPr>
            <w:tcW w:w="1597" w:type="dxa"/>
            <w:tcBorders>
              <w:top w:val="nil"/>
              <w:left w:val="nil"/>
              <w:bottom w:val="nil"/>
              <w:right w:val="nil"/>
            </w:tcBorders>
            <w:shd w:val="clear" w:color="auto" w:fill="auto"/>
            <w:vAlign w:val="center"/>
            <w:hideMark/>
          </w:tcPr>
          <w:p w14:paraId="12819632" w14:textId="4ECF7E14" w:rsidR="00D40C52" w:rsidRPr="003373EC" w:rsidRDefault="00D40C52" w:rsidP="00D40C52">
            <w:pPr>
              <w:spacing w:after="0" w:line="240" w:lineRule="auto"/>
              <w:rPr>
                <w:rFonts w:ascii="Times New Roman" w:eastAsia="Times New Roman" w:hAnsi="Times New Roman" w:cs="Times New Roman"/>
                <w:sz w:val="16"/>
                <w:szCs w:val="16"/>
              </w:rPr>
            </w:pPr>
          </w:p>
        </w:tc>
        <w:tc>
          <w:tcPr>
            <w:tcW w:w="1277" w:type="dxa"/>
            <w:tcBorders>
              <w:top w:val="nil"/>
              <w:left w:val="nil"/>
              <w:bottom w:val="nil"/>
              <w:right w:val="nil"/>
            </w:tcBorders>
            <w:shd w:val="clear" w:color="auto" w:fill="auto"/>
            <w:vAlign w:val="center"/>
            <w:hideMark/>
          </w:tcPr>
          <w:p w14:paraId="106BAFDE" w14:textId="77777777" w:rsidR="00D40C52" w:rsidRPr="003373EC" w:rsidRDefault="00D40C52" w:rsidP="00D40C52">
            <w:pPr>
              <w:spacing w:after="0" w:line="240" w:lineRule="auto"/>
              <w:rPr>
                <w:rFonts w:ascii="Times New Roman" w:eastAsia="Times New Roman" w:hAnsi="Times New Roman" w:cs="Times New Roman"/>
                <w:sz w:val="16"/>
                <w:szCs w:val="16"/>
              </w:rPr>
            </w:pPr>
          </w:p>
        </w:tc>
        <w:tc>
          <w:tcPr>
            <w:tcW w:w="1307" w:type="dxa"/>
            <w:vMerge/>
            <w:tcBorders>
              <w:top w:val="single" w:sz="4" w:space="0" w:color="auto"/>
              <w:left w:val="nil"/>
              <w:bottom w:val="single" w:sz="4" w:space="0" w:color="000000"/>
              <w:right w:val="nil"/>
            </w:tcBorders>
            <w:vAlign w:val="center"/>
            <w:hideMark/>
          </w:tcPr>
          <w:p w14:paraId="0E4697DE" w14:textId="77777777" w:rsidR="00D40C52" w:rsidRPr="003373EC" w:rsidRDefault="00D40C52" w:rsidP="00D40C52">
            <w:pPr>
              <w:spacing w:after="0" w:line="240" w:lineRule="auto"/>
              <w:rPr>
                <w:rFonts w:ascii="Times New Roman" w:eastAsia="Times New Roman" w:hAnsi="Times New Roman" w:cs="Times New Roman"/>
                <w:color w:val="000000"/>
                <w:sz w:val="16"/>
                <w:szCs w:val="16"/>
              </w:rPr>
            </w:pPr>
          </w:p>
        </w:tc>
        <w:tc>
          <w:tcPr>
            <w:tcW w:w="1307" w:type="dxa"/>
            <w:tcBorders>
              <w:top w:val="nil"/>
              <w:left w:val="nil"/>
              <w:bottom w:val="nil"/>
              <w:right w:val="nil"/>
            </w:tcBorders>
            <w:shd w:val="clear" w:color="auto" w:fill="auto"/>
            <w:vAlign w:val="center"/>
            <w:hideMark/>
          </w:tcPr>
          <w:p w14:paraId="453CC650" w14:textId="77777777" w:rsidR="00D40C52" w:rsidRPr="003373EC" w:rsidRDefault="00D40C52" w:rsidP="00D40C52">
            <w:pPr>
              <w:spacing w:after="0" w:line="240" w:lineRule="auto"/>
              <w:jc w:val="center"/>
              <w:rPr>
                <w:rFonts w:ascii="Times New Roman" w:eastAsia="Times New Roman" w:hAnsi="Times New Roman" w:cs="Times New Roman"/>
                <w:sz w:val="16"/>
                <w:szCs w:val="16"/>
              </w:rPr>
            </w:pPr>
          </w:p>
        </w:tc>
        <w:tc>
          <w:tcPr>
            <w:tcW w:w="1597" w:type="dxa"/>
            <w:tcBorders>
              <w:top w:val="nil"/>
              <w:left w:val="nil"/>
              <w:bottom w:val="nil"/>
              <w:right w:val="nil"/>
            </w:tcBorders>
            <w:shd w:val="clear" w:color="auto" w:fill="auto"/>
            <w:vAlign w:val="center"/>
            <w:hideMark/>
          </w:tcPr>
          <w:p w14:paraId="4790BA69" w14:textId="38EFD74D" w:rsidR="00D40C52" w:rsidRPr="00F36956" w:rsidRDefault="00D40C52" w:rsidP="00D40C52">
            <w:pPr>
              <w:spacing w:after="0" w:line="240" w:lineRule="auto"/>
              <w:jc w:val="center"/>
              <w:rPr>
                <w:rFonts w:ascii="Arial" w:eastAsia="Times New Roman" w:hAnsi="Arial" w:cs="Arial"/>
                <w:color w:val="505050"/>
                <w:sz w:val="16"/>
                <w:szCs w:val="16"/>
              </w:rPr>
            </w:pPr>
            <w:r w:rsidRPr="003373EC">
              <w:rPr>
                <w:rFonts w:ascii="Arial" w:eastAsia="Times New Roman" w:hAnsi="Arial" w:cs="Arial"/>
                <w:color w:val="505050"/>
                <w:sz w:val="16"/>
                <w:szCs w:val="16"/>
              </w:rPr>
              <w:t>100% bioelectricity</w:t>
            </w:r>
            <w:r w:rsidR="00590B39">
              <w:rPr>
                <w:rFonts w:ascii="Arial" w:eastAsia="Times New Roman" w:hAnsi="Arial" w:cs="Arial"/>
                <w:color w:val="505050"/>
                <w:sz w:val="18"/>
                <w:szCs w:val="18"/>
              </w:rPr>
              <w:t xml:space="preserve"> (+)</w:t>
            </w:r>
            <w:r w:rsidRPr="00F36956">
              <w:rPr>
                <w:rFonts w:ascii="Arial" w:eastAsia="Times New Roman" w:hAnsi="Arial" w:cs="Arial"/>
                <w:color w:val="505050"/>
                <w:sz w:val="16"/>
                <w:szCs w:val="16"/>
              </w:rPr>
              <w:t>,</w:t>
            </w:r>
          </w:p>
        </w:tc>
        <w:tc>
          <w:tcPr>
            <w:tcW w:w="1267" w:type="dxa"/>
            <w:vMerge/>
            <w:tcBorders>
              <w:top w:val="single" w:sz="4" w:space="0" w:color="auto"/>
              <w:left w:val="nil"/>
              <w:bottom w:val="single" w:sz="4" w:space="0" w:color="000000"/>
              <w:right w:val="nil"/>
            </w:tcBorders>
            <w:vAlign w:val="center"/>
            <w:hideMark/>
          </w:tcPr>
          <w:p w14:paraId="164C35B3" w14:textId="77777777" w:rsidR="00D40C52" w:rsidRPr="00F36956" w:rsidRDefault="00D40C52" w:rsidP="00D40C52">
            <w:pPr>
              <w:spacing w:after="0" w:line="240" w:lineRule="auto"/>
              <w:rPr>
                <w:rFonts w:ascii="Arial" w:eastAsia="Times New Roman" w:hAnsi="Arial" w:cs="Arial"/>
                <w:color w:val="505050"/>
                <w:sz w:val="16"/>
                <w:szCs w:val="16"/>
              </w:rPr>
            </w:pPr>
          </w:p>
        </w:tc>
        <w:tc>
          <w:tcPr>
            <w:tcW w:w="1677" w:type="dxa"/>
            <w:tcBorders>
              <w:top w:val="nil"/>
              <w:left w:val="nil"/>
              <w:bottom w:val="nil"/>
              <w:right w:val="nil"/>
            </w:tcBorders>
            <w:shd w:val="clear" w:color="auto" w:fill="auto"/>
            <w:vAlign w:val="center"/>
            <w:hideMark/>
          </w:tcPr>
          <w:p w14:paraId="04B4C88E" w14:textId="77777777" w:rsidR="00D40C52" w:rsidRPr="00F36956" w:rsidRDefault="00D40C52" w:rsidP="00D40C52">
            <w:pPr>
              <w:spacing w:after="0" w:line="240" w:lineRule="auto"/>
              <w:jc w:val="center"/>
              <w:rPr>
                <w:rFonts w:ascii="Arial" w:eastAsia="Times New Roman" w:hAnsi="Arial" w:cs="Arial"/>
                <w:color w:val="505050"/>
                <w:sz w:val="16"/>
                <w:szCs w:val="16"/>
              </w:rPr>
            </w:pPr>
          </w:p>
        </w:tc>
        <w:tc>
          <w:tcPr>
            <w:tcW w:w="1267" w:type="dxa"/>
            <w:tcBorders>
              <w:top w:val="nil"/>
              <w:left w:val="nil"/>
              <w:bottom w:val="nil"/>
              <w:right w:val="single" w:sz="8" w:space="0" w:color="auto"/>
            </w:tcBorders>
            <w:shd w:val="clear" w:color="auto" w:fill="auto"/>
            <w:vAlign w:val="center"/>
            <w:hideMark/>
          </w:tcPr>
          <w:p w14:paraId="267EAFBA" w14:textId="7777777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p>
        </w:tc>
      </w:tr>
      <w:tr w:rsidR="00D40C52" w:rsidRPr="00F36956" w14:paraId="49B73DD8" w14:textId="77777777" w:rsidTr="00507244">
        <w:trPr>
          <w:trHeight w:val="288"/>
        </w:trPr>
        <w:tc>
          <w:tcPr>
            <w:tcW w:w="1437" w:type="dxa"/>
            <w:vMerge/>
            <w:tcBorders>
              <w:top w:val="single" w:sz="4" w:space="0" w:color="auto"/>
              <w:left w:val="single" w:sz="8" w:space="0" w:color="auto"/>
              <w:bottom w:val="single" w:sz="4" w:space="0" w:color="000000"/>
              <w:right w:val="nil"/>
            </w:tcBorders>
            <w:vAlign w:val="center"/>
            <w:hideMark/>
          </w:tcPr>
          <w:p w14:paraId="53114BF5" w14:textId="77777777" w:rsidR="00D40C52" w:rsidRPr="00F36956" w:rsidRDefault="00D40C52" w:rsidP="00D40C52">
            <w:pPr>
              <w:spacing w:after="0" w:line="240" w:lineRule="auto"/>
              <w:rPr>
                <w:rFonts w:ascii="Arial" w:eastAsia="Times New Roman" w:hAnsi="Arial" w:cs="Arial"/>
                <w:b/>
                <w:bCs/>
                <w:color w:val="505050"/>
                <w:sz w:val="16"/>
                <w:szCs w:val="16"/>
              </w:rPr>
            </w:pPr>
          </w:p>
        </w:tc>
        <w:tc>
          <w:tcPr>
            <w:tcW w:w="1437" w:type="dxa"/>
            <w:tcBorders>
              <w:top w:val="nil"/>
              <w:left w:val="nil"/>
              <w:bottom w:val="single" w:sz="4" w:space="0" w:color="auto"/>
              <w:right w:val="nil"/>
            </w:tcBorders>
            <w:shd w:val="clear" w:color="auto" w:fill="auto"/>
            <w:vAlign w:val="center"/>
            <w:hideMark/>
          </w:tcPr>
          <w:p w14:paraId="599BDD2E" w14:textId="7777777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p>
        </w:tc>
        <w:tc>
          <w:tcPr>
            <w:tcW w:w="1597" w:type="dxa"/>
            <w:tcBorders>
              <w:top w:val="nil"/>
              <w:left w:val="nil"/>
              <w:bottom w:val="single" w:sz="4" w:space="0" w:color="auto"/>
              <w:right w:val="nil"/>
            </w:tcBorders>
            <w:vAlign w:val="center"/>
          </w:tcPr>
          <w:p w14:paraId="338AECBB" w14:textId="77777777" w:rsidR="00D40C52" w:rsidRPr="00F36956" w:rsidRDefault="00D40C52" w:rsidP="00507244">
            <w:pPr>
              <w:spacing w:after="0" w:line="240" w:lineRule="auto"/>
              <w:jc w:val="center"/>
              <w:rPr>
                <w:rFonts w:ascii="Calibri" w:eastAsia="Times New Roman" w:hAnsi="Calibri" w:cs="Calibri"/>
                <w:color w:val="000000"/>
                <w:sz w:val="16"/>
                <w:szCs w:val="16"/>
              </w:rPr>
            </w:pPr>
          </w:p>
        </w:tc>
        <w:tc>
          <w:tcPr>
            <w:tcW w:w="1597" w:type="dxa"/>
            <w:tcBorders>
              <w:top w:val="nil"/>
              <w:left w:val="nil"/>
              <w:bottom w:val="single" w:sz="4" w:space="0" w:color="auto"/>
              <w:right w:val="nil"/>
            </w:tcBorders>
            <w:shd w:val="clear" w:color="auto" w:fill="auto"/>
            <w:vAlign w:val="center"/>
            <w:hideMark/>
          </w:tcPr>
          <w:p w14:paraId="4B810C1F" w14:textId="5CE76141"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p>
        </w:tc>
        <w:tc>
          <w:tcPr>
            <w:tcW w:w="1277" w:type="dxa"/>
            <w:tcBorders>
              <w:top w:val="nil"/>
              <w:left w:val="nil"/>
              <w:bottom w:val="single" w:sz="4" w:space="0" w:color="auto"/>
              <w:right w:val="nil"/>
            </w:tcBorders>
            <w:shd w:val="clear" w:color="auto" w:fill="auto"/>
            <w:vAlign w:val="center"/>
            <w:hideMark/>
          </w:tcPr>
          <w:p w14:paraId="30BAD602" w14:textId="7777777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p>
        </w:tc>
        <w:tc>
          <w:tcPr>
            <w:tcW w:w="1307" w:type="dxa"/>
            <w:vMerge/>
            <w:tcBorders>
              <w:top w:val="single" w:sz="4" w:space="0" w:color="auto"/>
              <w:left w:val="nil"/>
              <w:bottom w:val="single" w:sz="4" w:space="0" w:color="000000"/>
              <w:right w:val="nil"/>
            </w:tcBorders>
            <w:vAlign w:val="center"/>
            <w:hideMark/>
          </w:tcPr>
          <w:p w14:paraId="0AB0CEEA" w14:textId="77777777" w:rsidR="00D40C52" w:rsidRPr="00F36956" w:rsidRDefault="00D40C52" w:rsidP="00D40C52">
            <w:pPr>
              <w:spacing w:after="0" w:line="240" w:lineRule="auto"/>
              <w:rPr>
                <w:rFonts w:ascii="Times New Roman" w:eastAsia="Times New Roman" w:hAnsi="Times New Roman" w:cs="Times New Roman"/>
                <w:color w:val="000000"/>
                <w:sz w:val="16"/>
                <w:szCs w:val="16"/>
              </w:rPr>
            </w:pPr>
          </w:p>
        </w:tc>
        <w:tc>
          <w:tcPr>
            <w:tcW w:w="1307" w:type="dxa"/>
            <w:tcBorders>
              <w:top w:val="nil"/>
              <w:left w:val="nil"/>
              <w:bottom w:val="single" w:sz="4" w:space="0" w:color="auto"/>
              <w:right w:val="nil"/>
            </w:tcBorders>
            <w:shd w:val="clear" w:color="auto" w:fill="auto"/>
            <w:vAlign w:val="center"/>
            <w:hideMark/>
          </w:tcPr>
          <w:p w14:paraId="3BFEA5B9" w14:textId="7777777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p>
        </w:tc>
        <w:tc>
          <w:tcPr>
            <w:tcW w:w="1597" w:type="dxa"/>
            <w:tcBorders>
              <w:top w:val="nil"/>
              <w:left w:val="nil"/>
              <w:bottom w:val="single" w:sz="4" w:space="0" w:color="auto"/>
              <w:right w:val="nil"/>
            </w:tcBorders>
            <w:shd w:val="clear" w:color="auto" w:fill="auto"/>
            <w:vAlign w:val="center"/>
            <w:hideMark/>
          </w:tcPr>
          <w:p w14:paraId="33288552"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Solids</w:t>
            </w:r>
          </w:p>
        </w:tc>
        <w:tc>
          <w:tcPr>
            <w:tcW w:w="1267" w:type="dxa"/>
            <w:vMerge/>
            <w:tcBorders>
              <w:top w:val="single" w:sz="4" w:space="0" w:color="auto"/>
              <w:left w:val="nil"/>
              <w:bottom w:val="single" w:sz="4" w:space="0" w:color="000000"/>
              <w:right w:val="nil"/>
            </w:tcBorders>
            <w:vAlign w:val="center"/>
            <w:hideMark/>
          </w:tcPr>
          <w:p w14:paraId="348F6FD5" w14:textId="77777777" w:rsidR="00D40C52" w:rsidRPr="00F36956" w:rsidRDefault="00D40C52" w:rsidP="00D40C52">
            <w:pPr>
              <w:spacing w:after="0" w:line="240" w:lineRule="auto"/>
              <w:rPr>
                <w:rFonts w:ascii="Arial" w:eastAsia="Times New Roman" w:hAnsi="Arial" w:cs="Arial"/>
                <w:color w:val="505050"/>
                <w:sz w:val="16"/>
                <w:szCs w:val="16"/>
              </w:rPr>
            </w:pPr>
          </w:p>
        </w:tc>
        <w:tc>
          <w:tcPr>
            <w:tcW w:w="1677" w:type="dxa"/>
            <w:tcBorders>
              <w:top w:val="nil"/>
              <w:left w:val="nil"/>
              <w:bottom w:val="single" w:sz="4" w:space="0" w:color="auto"/>
              <w:right w:val="nil"/>
            </w:tcBorders>
            <w:shd w:val="clear" w:color="auto" w:fill="auto"/>
            <w:vAlign w:val="center"/>
            <w:hideMark/>
          </w:tcPr>
          <w:p w14:paraId="7DC21E6F" w14:textId="7777777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p>
        </w:tc>
        <w:tc>
          <w:tcPr>
            <w:tcW w:w="1267" w:type="dxa"/>
            <w:tcBorders>
              <w:top w:val="nil"/>
              <w:left w:val="nil"/>
              <w:bottom w:val="single" w:sz="4" w:space="0" w:color="auto"/>
              <w:right w:val="single" w:sz="8" w:space="0" w:color="auto"/>
            </w:tcBorders>
            <w:shd w:val="clear" w:color="auto" w:fill="auto"/>
            <w:vAlign w:val="center"/>
            <w:hideMark/>
          </w:tcPr>
          <w:p w14:paraId="1B168349" w14:textId="7777777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p>
        </w:tc>
      </w:tr>
      <w:tr w:rsidR="00D40C52" w:rsidRPr="00F36956" w14:paraId="2FEDA96B" w14:textId="77777777" w:rsidTr="00507244">
        <w:trPr>
          <w:trHeight w:val="1140"/>
        </w:trPr>
        <w:tc>
          <w:tcPr>
            <w:tcW w:w="1437" w:type="dxa"/>
            <w:tcBorders>
              <w:top w:val="nil"/>
              <w:left w:val="single" w:sz="8" w:space="0" w:color="auto"/>
              <w:bottom w:val="nil"/>
              <w:right w:val="nil"/>
            </w:tcBorders>
            <w:shd w:val="clear" w:color="auto" w:fill="auto"/>
            <w:vAlign w:val="center"/>
            <w:hideMark/>
          </w:tcPr>
          <w:p w14:paraId="15CC5566"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Residue availability</w:t>
            </w:r>
          </w:p>
        </w:tc>
        <w:tc>
          <w:tcPr>
            <w:tcW w:w="1437" w:type="dxa"/>
            <w:tcBorders>
              <w:top w:val="nil"/>
              <w:left w:val="nil"/>
              <w:bottom w:val="nil"/>
              <w:right w:val="nil"/>
            </w:tcBorders>
            <w:shd w:val="clear" w:color="auto" w:fill="auto"/>
            <w:vAlign w:val="center"/>
            <w:hideMark/>
          </w:tcPr>
          <w:p w14:paraId="5AF4D9EF"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Forestry and Agricultural</w:t>
            </w:r>
          </w:p>
        </w:tc>
        <w:tc>
          <w:tcPr>
            <w:tcW w:w="1597" w:type="dxa"/>
            <w:tcBorders>
              <w:top w:val="nil"/>
              <w:left w:val="nil"/>
              <w:bottom w:val="nil"/>
              <w:right w:val="nil"/>
            </w:tcBorders>
            <w:vAlign w:val="center"/>
          </w:tcPr>
          <w:p w14:paraId="24590487" w14:textId="38EEEC10"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Forestry, Agricultural, food residues, and MSW</w:t>
            </w:r>
          </w:p>
        </w:tc>
        <w:tc>
          <w:tcPr>
            <w:tcW w:w="1597" w:type="dxa"/>
            <w:tcBorders>
              <w:top w:val="nil"/>
              <w:left w:val="nil"/>
              <w:bottom w:val="nil"/>
              <w:right w:val="nil"/>
            </w:tcBorders>
            <w:shd w:val="clear" w:color="auto" w:fill="auto"/>
            <w:vAlign w:val="center"/>
            <w:hideMark/>
          </w:tcPr>
          <w:p w14:paraId="7E598248" w14:textId="73A88DE8"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Forestry and agricultural</w:t>
            </w:r>
          </w:p>
        </w:tc>
        <w:tc>
          <w:tcPr>
            <w:tcW w:w="1277" w:type="dxa"/>
            <w:tcBorders>
              <w:top w:val="nil"/>
              <w:left w:val="nil"/>
              <w:bottom w:val="nil"/>
              <w:right w:val="nil"/>
            </w:tcBorders>
            <w:shd w:val="clear" w:color="auto" w:fill="auto"/>
            <w:vAlign w:val="center"/>
            <w:hideMark/>
          </w:tcPr>
          <w:p w14:paraId="4AE809E7"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Forestry and Agricultural</w:t>
            </w:r>
          </w:p>
        </w:tc>
        <w:tc>
          <w:tcPr>
            <w:tcW w:w="1307" w:type="dxa"/>
            <w:tcBorders>
              <w:top w:val="nil"/>
              <w:left w:val="nil"/>
              <w:bottom w:val="nil"/>
              <w:right w:val="nil"/>
            </w:tcBorders>
            <w:shd w:val="clear" w:color="auto" w:fill="auto"/>
            <w:vAlign w:val="center"/>
            <w:hideMark/>
          </w:tcPr>
          <w:p w14:paraId="42D0C599" w14:textId="040CD9D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Forest residues</w:t>
            </w:r>
          </w:p>
        </w:tc>
        <w:tc>
          <w:tcPr>
            <w:tcW w:w="1307" w:type="dxa"/>
            <w:tcBorders>
              <w:top w:val="nil"/>
              <w:left w:val="nil"/>
              <w:bottom w:val="nil"/>
              <w:right w:val="nil"/>
            </w:tcBorders>
            <w:shd w:val="clear" w:color="auto" w:fill="auto"/>
            <w:vAlign w:val="center"/>
            <w:hideMark/>
          </w:tcPr>
          <w:p w14:paraId="5E3960E3"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forest residues, food residues, and MSW</w:t>
            </w:r>
          </w:p>
        </w:tc>
        <w:tc>
          <w:tcPr>
            <w:tcW w:w="1597" w:type="dxa"/>
            <w:tcBorders>
              <w:top w:val="nil"/>
              <w:left w:val="nil"/>
              <w:bottom w:val="nil"/>
              <w:right w:val="nil"/>
            </w:tcBorders>
            <w:shd w:val="clear" w:color="auto" w:fill="auto"/>
            <w:vAlign w:val="center"/>
            <w:hideMark/>
          </w:tcPr>
          <w:p w14:paraId="5A46CA4B"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Forestry and Agricultural</w:t>
            </w:r>
          </w:p>
        </w:tc>
        <w:tc>
          <w:tcPr>
            <w:tcW w:w="1267" w:type="dxa"/>
            <w:tcBorders>
              <w:top w:val="nil"/>
              <w:left w:val="nil"/>
              <w:bottom w:val="nil"/>
              <w:right w:val="nil"/>
            </w:tcBorders>
            <w:shd w:val="clear" w:color="auto" w:fill="auto"/>
            <w:vAlign w:val="center"/>
            <w:hideMark/>
          </w:tcPr>
          <w:p w14:paraId="68CB7350" w14:textId="6BD01EF0"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Forestry and Agricultural</w:t>
            </w:r>
          </w:p>
        </w:tc>
        <w:tc>
          <w:tcPr>
            <w:tcW w:w="1677" w:type="dxa"/>
            <w:tcBorders>
              <w:top w:val="nil"/>
              <w:left w:val="nil"/>
              <w:bottom w:val="nil"/>
              <w:right w:val="nil"/>
            </w:tcBorders>
            <w:shd w:val="clear" w:color="auto" w:fill="auto"/>
            <w:vAlign w:val="center"/>
            <w:hideMark/>
          </w:tcPr>
          <w:p w14:paraId="6013BC9F"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Forestry and Agricultural</w:t>
            </w:r>
          </w:p>
        </w:tc>
        <w:tc>
          <w:tcPr>
            <w:tcW w:w="1267" w:type="dxa"/>
            <w:tcBorders>
              <w:top w:val="nil"/>
              <w:left w:val="nil"/>
              <w:bottom w:val="nil"/>
              <w:right w:val="single" w:sz="8" w:space="0" w:color="auto"/>
            </w:tcBorders>
            <w:shd w:val="clear" w:color="auto" w:fill="auto"/>
            <w:vAlign w:val="center"/>
            <w:hideMark/>
          </w:tcPr>
          <w:p w14:paraId="70380390" w14:textId="2BED1EB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r w:rsidR="008320F2">
              <w:rPr>
                <w:rFonts w:ascii="Calibri" w:eastAsia="Times New Roman" w:hAnsi="Calibri" w:cs="Calibri"/>
                <w:color w:val="000000"/>
                <w:sz w:val="16"/>
                <w:szCs w:val="16"/>
              </w:rPr>
              <w:t>Forestry</w:t>
            </w:r>
          </w:p>
        </w:tc>
      </w:tr>
      <w:tr w:rsidR="00D40C52" w:rsidRPr="00F36956" w14:paraId="485C6B31" w14:textId="77777777" w:rsidTr="00507244">
        <w:trPr>
          <w:trHeight w:val="1368"/>
        </w:trPr>
        <w:tc>
          <w:tcPr>
            <w:tcW w:w="1437" w:type="dxa"/>
            <w:tcBorders>
              <w:top w:val="single" w:sz="4" w:space="0" w:color="auto"/>
              <w:left w:val="single" w:sz="8" w:space="0" w:color="auto"/>
              <w:bottom w:val="single" w:sz="4" w:space="0" w:color="auto"/>
              <w:right w:val="nil"/>
            </w:tcBorders>
            <w:shd w:val="clear" w:color="auto" w:fill="auto"/>
            <w:vAlign w:val="center"/>
            <w:hideMark/>
          </w:tcPr>
          <w:p w14:paraId="4B893C52"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Cropland</w:t>
            </w:r>
          </w:p>
        </w:tc>
        <w:tc>
          <w:tcPr>
            <w:tcW w:w="1437" w:type="dxa"/>
            <w:tcBorders>
              <w:top w:val="single" w:sz="4" w:space="0" w:color="auto"/>
              <w:left w:val="nil"/>
              <w:bottom w:val="single" w:sz="4" w:space="0" w:color="auto"/>
              <w:right w:val="nil"/>
            </w:tcBorders>
            <w:shd w:val="clear" w:color="auto" w:fill="auto"/>
            <w:vAlign w:val="center"/>
            <w:hideMark/>
          </w:tcPr>
          <w:p w14:paraId="6ADBF672" w14:textId="4C203D2D"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rice, wheat, other grains, sugar crops, oil crops and other crops</w:t>
            </w:r>
          </w:p>
        </w:tc>
        <w:tc>
          <w:tcPr>
            <w:tcW w:w="1597" w:type="dxa"/>
            <w:tcBorders>
              <w:top w:val="single" w:sz="4" w:space="0" w:color="auto"/>
              <w:left w:val="nil"/>
              <w:bottom w:val="single" w:sz="4" w:space="0" w:color="auto"/>
              <w:right w:val="nil"/>
            </w:tcBorders>
            <w:vAlign w:val="center"/>
          </w:tcPr>
          <w:p w14:paraId="1C39E0D4" w14:textId="40E2EADE"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Cereals, roots, sugarcane, other crops</w:t>
            </w:r>
          </w:p>
        </w:tc>
        <w:tc>
          <w:tcPr>
            <w:tcW w:w="1597" w:type="dxa"/>
            <w:tcBorders>
              <w:top w:val="single" w:sz="4" w:space="0" w:color="auto"/>
              <w:left w:val="nil"/>
              <w:bottom w:val="single" w:sz="4" w:space="0" w:color="auto"/>
              <w:right w:val="nil"/>
            </w:tcBorders>
            <w:shd w:val="clear" w:color="auto" w:fill="auto"/>
            <w:vAlign w:val="center"/>
            <w:hideMark/>
          </w:tcPr>
          <w:p w14:paraId="138A5965" w14:textId="060F83A4"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Agriculture</w:t>
            </w:r>
          </w:p>
        </w:tc>
        <w:tc>
          <w:tcPr>
            <w:tcW w:w="1277" w:type="dxa"/>
            <w:tcBorders>
              <w:top w:val="single" w:sz="4" w:space="0" w:color="auto"/>
              <w:left w:val="nil"/>
              <w:bottom w:val="single" w:sz="4" w:space="0" w:color="auto"/>
              <w:right w:val="nil"/>
            </w:tcBorders>
            <w:shd w:val="clear" w:color="auto" w:fill="auto"/>
            <w:vAlign w:val="center"/>
            <w:hideMark/>
          </w:tcPr>
          <w:p w14:paraId="3D943369"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Cereals, sugarcane, oil palm, other</w:t>
            </w:r>
          </w:p>
        </w:tc>
        <w:tc>
          <w:tcPr>
            <w:tcW w:w="1307" w:type="dxa"/>
            <w:tcBorders>
              <w:top w:val="single" w:sz="4" w:space="0" w:color="auto"/>
              <w:left w:val="nil"/>
              <w:bottom w:val="single" w:sz="4" w:space="0" w:color="auto"/>
              <w:right w:val="nil"/>
            </w:tcBorders>
            <w:shd w:val="clear" w:color="auto" w:fill="auto"/>
            <w:vAlign w:val="center"/>
            <w:hideMark/>
          </w:tcPr>
          <w:p w14:paraId="79851410" w14:textId="733C360B"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xml:space="preserve"> Rice, wheat, coarse grains, oil seeds, </w:t>
            </w:r>
            <w:proofErr w:type="gramStart"/>
            <w:r w:rsidRPr="00F36956">
              <w:rPr>
                <w:rFonts w:ascii="Calibri" w:eastAsia="Times New Roman" w:hAnsi="Calibri" w:cs="Calibri"/>
                <w:color w:val="000000"/>
                <w:sz w:val="16"/>
                <w:szCs w:val="16"/>
              </w:rPr>
              <w:t>fruits</w:t>
            </w:r>
            <w:proofErr w:type="gramEnd"/>
            <w:r w:rsidRPr="00F36956">
              <w:rPr>
                <w:rFonts w:ascii="Calibri" w:eastAsia="Times New Roman" w:hAnsi="Calibri" w:cs="Calibri"/>
                <w:color w:val="000000"/>
                <w:sz w:val="16"/>
                <w:szCs w:val="16"/>
              </w:rPr>
              <w:t xml:space="preserve"> and vegetables, plant-based </w:t>
            </w:r>
            <w:proofErr w:type="spellStart"/>
            <w:r w:rsidRPr="00F36956">
              <w:rPr>
                <w:rFonts w:ascii="Calibri" w:eastAsia="Times New Roman" w:hAnsi="Calibri" w:cs="Calibri"/>
                <w:color w:val="000000"/>
                <w:sz w:val="16"/>
                <w:szCs w:val="16"/>
              </w:rPr>
              <w:t>fibres</w:t>
            </w:r>
            <w:proofErr w:type="spellEnd"/>
            <w:r w:rsidRPr="00F36956">
              <w:rPr>
                <w:rFonts w:ascii="Calibri" w:eastAsia="Times New Roman" w:hAnsi="Calibri" w:cs="Calibri"/>
                <w:color w:val="000000"/>
                <w:sz w:val="16"/>
                <w:szCs w:val="16"/>
              </w:rPr>
              <w:t>, other crops, energy crops</w:t>
            </w:r>
          </w:p>
        </w:tc>
        <w:tc>
          <w:tcPr>
            <w:tcW w:w="1307" w:type="dxa"/>
            <w:tcBorders>
              <w:top w:val="single" w:sz="4" w:space="0" w:color="auto"/>
              <w:left w:val="nil"/>
              <w:bottom w:val="single" w:sz="4" w:space="0" w:color="auto"/>
              <w:right w:val="nil"/>
            </w:tcBorders>
            <w:shd w:val="clear" w:color="auto" w:fill="auto"/>
            <w:vAlign w:val="center"/>
            <w:hideMark/>
          </w:tcPr>
          <w:p w14:paraId="015FB09D"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 xml:space="preserve">wheat, rice, other cereal, energy crops </w:t>
            </w:r>
          </w:p>
        </w:tc>
        <w:tc>
          <w:tcPr>
            <w:tcW w:w="1597" w:type="dxa"/>
            <w:tcBorders>
              <w:top w:val="single" w:sz="4" w:space="0" w:color="auto"/>
              <w:left w:val="nil"/>
              <w:bottom w:val="single" w:sz="4" w:space="0" w:color="auto"/>
              <w:right w:val="nil"/>
            </w:tcBorders>
            <w:shd w:val="clear" w:color="auto" w:fill="auto"/>
            <w:vAlign w:val="center"/>
            <w:hideMark/>
          </w:tcPr>
          <w:p w14:paraId="4F0721D2"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Corn, sugar, soy, palm, rice, wheat, other grain, root/tuber</w:t>
            </w:r>
          </w:p>
        </w:tc>
        <w:tc>
          <w:tcPr>
            <w:tcW w:w="1267" w:type="dxa"/>
            <w:tcBorders>
              <w:top w:val="single" w:sz="4" w:space="0" w:color="auto"/>
              <w:left w:val="nil"/>
              <w:bottom w:val="single" w:sz="4" w:space="0" w:color="auto"/>
              <w:right w:val="nil"/>
            </w:tcBorders>
            <w:shd w:val="clear" w:color="auto" w:fill="auto"/>
            <w:vAlign w:val="center"/>
            <w:hideMark/>
          </w:tcPr>
          <w:p w14:paraId="5FA94443" w14:textId="19D66902"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Agriculture</w:t>
            </w:r>
          </w:p>
        </w:tc>
        <w:tc>
          <w:tcPr>
            <w:tcW w:w="1677" w:type="dxa"/>
            <w:tcBorders>
              <w:top w:val="single" w:sz="4" w:space="0" w:color="auto"/>
              <w:left w:val="nil"/>
              <w:bottom w:val="single" w:sz="4" w:space="0" w:color="auto"/>
              <w:right w:val="nil"/>
            </w:tcBorders>
            <w:shd w:val="clear" w:color="auto" w:fill="auto"/>
            <w:vAlign w:val="center"/>
            <w:hideMark/>
          </w:tcPr>
          <w:p w14:paraId="7BACB4E0" w14:textId="7A4C4862"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Agriculture</w:t>
            </w:r>
            <w:r w:rsidR="008320F2">
              <w:rPr>
                <w:rFonts w:ascii="Arial" w:eastAsia="Times New Roman" w:hAnsi="Arial" w:cs="Arial"/>
                <w:color w:val="505050"/>
                <w:sz w:val="16"/>
                <w:szCs w:val="16"/>
              </w:rPr>
              <w:t xml:space="preserve"> (28 crops)</w:t>
            </w:r>
          </w:p>
        </w:tc>
        <w:tc>
          <w:tcPr>
            <w:tcW w:w="1267" w:type="dxa"/>
            <w:tcBorders>
              <w:top w:val="single" w:sz="4" w:space="0" w:color="auto"/>
              <w:left w:val="nil"/>
              <w:bottom w:val="single" w:sz="4" w:space="0" w:color="auto"/>
              <w:right w:val="single" w:sz="8" w:space="0" w:color="auto"/>
            </w:tcBorders>
            <w:shd w:val="clear" w:color="auto" w:fill="auto"/>
            <w:vAlign w:val="center"/>
            <w:hideMark/>
          </w:tcPr>
          <w:p w14:paraId="2BA3DCDA" w14:textId="6E8C8707"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r w:rsidR="008320F2">
              <w:rPr>
                <w:rFonts w:ascii="Calibri" w:eastAsia="Times New Roman" w:hAnsi="Calibri" w:cs="Calibri"/>
                <w:color w:val="000000"/>
                <w:sz w:val="16"/>
                <w:szCs w:val="16"/>
              </w:rPr>
              <w:t>Agriculture</w:t>
            </w:r>
          </w:p>
        </w:tc>
      </w:tr>
      <w:tr w:rsidR="00D40C52" w:rsidRPr="00F36956" w14:paraId="6CE9FDE7" w14:textId="77777777" w:rsidTr="00507244">
        <w:trPr>
          <w:trHeight w:val="8190"/>
        </w:trPr>
        <w:tc>
          <w:tcPr>
            <w:tcW w:w="1437" w:type="dxa"/>
            <w:tcBorders>
              <w:top w:val="nil"/>
              <w:left w:val="single" w:sz="8" w:space="0" w:color="auto"/>
              <w:bottom w:val="single" w:sz="4" w:space="0" w:color="auto"/>
              <w:right w:val="nil"/>
            </w:tcBorders>
            <w:shd w:val="clear" w:color="auto" w:fill="auto"/>
            <w:vAlign w:val="center"/>
            <w:hideMark/>
          </w:tcPr>
          <w:p w14:paraId="1C890208"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Other Land Cover Types</w:t>
            </w:r>
          </w:p>
        </w:tc>
        <w:tc>
          <w:tcPr>
            <w:tcW w:w="1437" w:type="dxa"/>
            <w:tcBorders>
              <w:top w:val="nil"/>
              <w:left w:val="nil"/>
              <w:bottom w:val="single" w:sz="4" w:space="0" w:color="auto"/>
              <w:right w:val="nil"/>
            </w:tcBorders>
            <w:shd w:val="clear" w:color="auto" w:fill="auto"/>
            <w:vAlign w:val="center"/>
            <w:hideMark/>
          </w:tcPr>
          <w:p w14:paraId="4F1FAE78"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pastures, forests, grassland, other natural land, built-up</w:t>
            </w:r>
          </w:p>
        </w:tc>
        <w:tc>
          <w:tcPr>
            <w:tcW w:w="1597" w:type="dxa"/>
            <w:tcBorders>
              <w:top w:val="nil"/>
              <w:left w:val="nil"/>
              <w:bottom w:val="single" w:sz="4" w:space="0" w:color="auto"/>
              <w:right w:val="nil"/>
            </w:tcBorders>
            <w:vAlign w:val="center"/>
          </w:tcPr>
          <w:p w14:paraId="1AD389D3" w14:textId="5C59244F"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Cropland (energy crops), pasture, forest (managed and natural), urban</w:t>
            </w:r>
          </w:p>
        </w:tc>
        <w:tc>
          <w:tcPr>
            <w:tcW w:w="1597" w:type="dxa"/>
            <w:tcBorders>
              <w:top w:val="nil"/>
              <w:left w:val="nil"/>
              <w:bottom w:val="single" w:sz="4" w:space="0" w:color="auto"/>
              <w:right w:val="nil"/>
            </w:tcBorders>
            <w:shd w:val="clear" w:color="auto" w:fill="auto"/>
            <w:vAlign w:val="center"/>
            <w:hideMark/>
          </w:tcPr>
          <w:p w14:paraId="0D7508F7" w14:textId="7372EBF8"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Cropland (food and energy), pasture, natural forest, other natural land, built-up area</w:t>
            </w:r>
          </w:p>
        </w:tc>
        <w:tc>
          <w:tcPr>
            <w:tcW w:w="1277" w:type="dxa"/>
            <w:tcBorders>
              <w:top w:val="nil"/>
              <w:left w:val="nil"/>
              <w:bottom w:val="single" w:sz="4" w:space="0" w:color="auto"/>
              <w:right w:val="nil"/>
            </w:tcBorders>
            <w:shd w:val="clear" w:color="auto" w:fill="auto"/>
            <w:vAlign w:val="center"/>
            <w:hideMark/>
          </w:tcPr>
          <w:p w14:paraId="5DE59743"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pastures, forests, grassland, fallow land, other land</w:t>
            </w:r>
          </w:p>
        </w:tc>
        <w:tc>
          <w:tcPr>
            <w:tcW w:w="1307" w:type="dxa"/>
            <w:tcBorders>
              <w:top w:val="nil"/>
              <w:left w:val="nil"/>
              <w:bottom w:val="single" w:sz="4" w:space="0" w:color="auto"/>
              <w:right w:val="nil"/>
            </w:tcBorders>
            <w:shd w:val="clear" w:color="auto" w:fill="auto"/>
            <w:vAlign w:val="center"/>
            <w:hideMark/>
          </w:tcPr>
          <w:p w14:paraId="4BE8D3A2" w14:textId="67F236B6"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Pasture, managed forest</w:t>
            </w:r>
          </w:p>
        </w:tc>
        <w:tc>
          <w:tcPr>
            <w:tcW w:w="1307" w:type="dxa"/>
            <w:tcBorders>
              <w:top w:val="nil"/>
              <w:left w:val="nil"/>
              <w:bottom w:val="single" w:sz="4" w:space="0" w:color="auto"/>
              <w:right w:val="nil"/>
            </w:tcBorders>
            <w:shd w:val="clear" w:color="auto" w:fill="auto"/>
            <w:vAlign w:val="center"/>
            <w:hideMark/>
          </w:tcPr>
          <w:p w14:paraId="3E0BD614" w14:textId="59D76DFD"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grassland, forest, other land, buil</w:t>
            </w:r>
            <w:r w:rsidR="00507244" w:rsidRPr="00F36956">
              <w:rPr>
                <w:rFonts w:ascii="Arial" w:eastAsia="Times New Roman" w:hAnsi="Arial" w:cs="Arial"/>
                <w:color w:val="505050"/>
                <w:sz w:val="16"/>
                <w:szCs w:val="16"/>
              </w:rPr>
              <w:t>t</w:t>
            </w:r>
            <w:r w:rsidRPr="00F36956">
              <w:rPr>
                <w:rFonts w:ascii="Arial" w:eastAsia="Times New Roman" w:hAnsi="Arial" w:cs="Arial"/>
                <w:color w:val="505050"/>
                <w:sz w:val="16"/>
                <w:szCs w:val="16"/>
              </w:rPr>
              <w:t>-up</w:t>
            </w:r>
          </w:p>
        </w:tc>
        <w:tc>
          <w:tcPr>
            <w:tcW w:w="1597" w:type="dxa"/>
            <w:tcBorders>
              <w:top w:val="nil"/>
              <w:left w:val="nil"/>
              <w:bottom w:val="single" w:sz="4" w:space="0" w:color="auto"/>
              <w:right w:val="nil"/>
            </w:tcBorders>
            <w:shd w:val="clear" w:color="auto" w:fill="auto"/>
            <w:vAlign w:val="center"/>
            <w:hideMark/>
          </w:tcPr>
          <w:p w14:paraId="67208A24"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pasture, forest, biomass (energy), desert, grass, other arable, shrubs, tundra, urban</w:t>
            </w:r>
          </w:p>
        </w:tc>
        <w:tc>
          <w:tcPr>
            <w:tcW w:w="1267" w:type="dxa"/>
            <w:tcBorders>
              <w:top w:val="nil"/>
              <w:left w:val="nil"/>
              <w:bottom w:val="single" w:sz="4" w:space="0" w:color="auto"/>
              <w:right w:val="nil"/>
            </w:tcBorders>
            <w:shd w:val="clear" w:color="auto" w:fill="auto"/>
            <w:vAlign w:val="center"/>
            <w:hideMark/>
          </w:tcPr>
          <w:p w14:paraId="66606EDA" w14:textId="4A70F665"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r w:rsidRPr="00F36956">
              <w:rPr>
                <w:rFonts w:ascii="Arial" w:eastAsia="Times New Roman" w:hAnsi="Arial" w:cs="Arial"/>
                <w:color w:val="505050"/>
                <w:sz w:val="16"/>
                <w:szCs w:val="16"/>
              </w:rPr>
              <w:t>pasture, forest, biomass (energy), other</w:t>
            </w:r>
          </w:p>
        </w:tc>
        <w:tc>
          <w:tcPr>
            <w:tcW w:w="1677" w:type="dxa"/>
            <w:tcBorders>
              <w:top w:val="nil"/>
              <w:left w:val="nil"/>
              <w:bottom w:val="single" w:sz="4" w:space="0" w:color="auto"/>
              <w:right w:val="nil"/>
            </w:tcBorders>
            <w:shd w:val="clear" w:color="auto" w:fill="auto"/>
            <w:vAlign w:val="center"/>
            <w:hideMark/>
          </w:tcPr>
          <w:p w14:paraId="1C8990FE"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Built up Area, Agriculture, Regrowth (abandoned), Extensive grassland, Regrowth forest (timber), Biofuel, Ice, Tundra, Wooded Tundra, Boreal forest, Cool conifer forest, temperate mixed forest, temperate deciduous forest, warm mixed forest, Grassland/steppe, Hot desert, Scrubland, Savannah, Tropical woodland, Tropical forest</w:t>
            </w:r>
          </w:p>
        </w:tc>
        <w:tc>
          <w:tcPr>
            <w:tcW w:w="1267" w:type="dxa"/>
            <w:tcBorders>
              <w:top w:val="nil"/>
              <w:left w:val="nil"/>
              <w:bottom w:val="single" w:sz="4" w:space="0" w:color="auto"/>
              <w:right w:val="single" w:sz="8" w:space="0" w:color="auto"/>
            </w:tcBorders>
            <w:shd w:val="clear" w:color="auto" w:fill="auto"/>
            <w:vAlign w:val="center"/>
            <w:hideMark/>
          </w:tcPr>
          <w:p w14:paraId="648C140C" w14:textId="69523535" w:rsidR="00D40C52" w:rsidRPr="00F36956" w:rsidRDefault="00D40C52" w:rsidP="00D40C52">
            <w:pPr>
              <w:spacing w:after="0" w:line="240" w:lineRule="auto"/>
              <w:rPr>
                <w:rFonts w:ascii="Calibri" w:eastAsia="Times New Roman" w:hAnsi="Calibri" w:cs="Calibri"/>
                <w:color w:val="000000"/>
                <w:sz w:val="16"/>
                <w:szCs w:val="16"/>
              </w:rPr>
            </w:pPr>
            <w:r w:rsidRPr="00F36956">
              <w:rPr>
                <w:rFonts w:ascii="Calibri" w:eastAsia="Times New Roman" w:hAnsi="Calibri" w:cs="Calibri"/>
                <w:color w:val="000000"/>
                <w:sz w:val="16"/>
                <w:szCs w:val="16"/>
              </w:rPr>
              <w:t> </w:t>
            </w:r>
            <w:r w:rsidR="008320F2">
              <w:rPr>
                <w:rFonts w:ascii="Calibri" w:eastAsia="Times New Roman" w:hAnsi="Calibri" w:cs="Calibri"/>
                <w:color w:val="000000"/>
              </w:rPr>
              <w:t>From GLOBIOM: Cropland (energy and non-energy), pasture, managed forest, natural forest, other natural land, urban</w:t>
            </w:r>
          </w:p>
        </w:tc>
      </w:tr>
      <w:tr w:rsidR="00D40C52" w:rsidRPr="00F36956" w14:paraId="369B3402" w14:textId="77777777" w:rsidTr="00507244">
        <w:trPr>
          <w:trHeight w:val="6156"/>
        </w:trPr>
        <w:tc>
          <w:tcPr>
            <w:tcW w:w="1437" w:type="dxa"/>
            <w:tcBorders>
              <w:top w:val="nil"/>
              <w:left w:val="single" w:sz="8" w:space="0" w:color="auto"/>
              <w:bottom w:val="nil"/>
              <w:right w:val="nil"/>
            </w:tcBorders>
            <w:shd w:val="clear" w:color="auto" w:fill="auto"/>
            <w:vAlign w:val="center"/>
            <w:hideMark/>
          </w:tcPr>
          <w:p w14:paraId="67BE762F"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lastRenderedPageBreak/>
              <w:t>Land Use intensification</w:t>
            </w:r>
          </w:p>
        </w:tc>
        <w:tc>
          <w:tcPr>
            <w:tcW w:w="1437" w:type="dxa"/>
            <w:tcBorders>
              <w:top w:val="nil"/>
              <w:left w:val="nil"/>
              <w:bottom w:val="nil"/>
              <w:right w:val="nil"/>
            </w:tcBorders>
            <w:shd w:val="clear" w:color="auto" w:fill="auto"/>
            <w:vAlign w:val="center"/>
            <w:hideMark/>
          </w:tcPr>
          <w:p w14:paraId="10C8DF3D" w14:textId="77777777" w:rsidR="00D40C52" w:rsidRPr="00F36956" w:rsidRDefault="00D40C52" w:rsidP="00D40C52">
            <w:pPr>
              <w:spacing w:after="0" w:line="240" w:lineRule="auto"/>
              <w:jc w:val="center"/>
              <w:rPr>
                <w:rFonts w:ascii="Arial" w:eastAsia="Times New Roman" w:hAnsi="Arial" w:cs="Arial"/>
                <w:color w:val="505050"/>
                <w:sz w:val="16"/>
                <w:szCs w:val="16"/>
              </w:rPr>
            </w:pPr>
            <w:proofErr w:type="gramStart"/>
            <w:r w:rsidRPr="00F36956">
              <w:rPr>
                <w:rFonts w:ascii="Arial" w:eastAsia="Times New Roman" w:hAnsi="Arial" w:cs="Arial"/>
                <w:color w:val="505050"/>
                <w:sz w:val="16"/>
                <w:szCs w:val="16"/>
              </w:rPr>
              <w:t>Yes;</w:t>
            </w:r>
            <w:proofErr w:type="gramEnd"/>
            <w:r w:rsidRPr="00F36956">
              <w:rPr>
                <w:rFonts w:ascii="Arial" w:eastAsia="Times New Roman" w:hAnsi="Arial" w:cs="Arial"/>
                <w:color w:val="505050"/>
                <w:sz w:val="16"/>
                <w:szCs w:val="16"/>
              </w:rPr>
              <w:t xml:space="preserve"> Price induced intensification and regional mix change through economic dynamics</w:t>
            </w:r>
          </w:p>
        </w:tc>
        <w:tc>
          <w:tcPr>
            <w:tcW w:w="1597" w:type="dxa"/>
            <w:tcBorders>
              <w:top w:val="nil"/>
              <w:left w:val="nil"/>
              <w:bottom w:val="nil"/>
              <w:right w:val="nil"/>
            </w:tcBorders>
            <w:vAlign w:val="center"/>
          </w:tcPr>
          <w:p w14:paraId="01EF1A87" w14:textId="62D2C67C"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Yes, Exogenous</w:t>
            </w:r>
          </w:p>
        </w:tc>
        <w:tc>
          <w:tcPr>
            <w:tcW w:w="1597" w:type="dxa"/>
            <w:tcBorders>
              <w:top w:val="nil"/>
              <w:left w:val="nil"/>
              <w:bottom w:val="nil"/>
              <w:right w:val="nil"/>
            </w:tcBorders>
            <w:shd w:val="clear" w:color="auto" w:fill="auto"/>
            <w:vAlign w:val="center"/>
            <w:hideMark/>
          </w:tcPr>
          <w:p w14:paraId="0528EBCC" w14:textId="405B198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 xml:space="preserve">Yes, both endogenous (competition) and </w:t>
            </w:r>
            <w:proofErr w:type="spellStart"/>
            <w:r w:rsidRPr="00F36956">
              <w:rPr>
                <w:rFonts w:ascii="Arial" w:eastAsia="Times New Roman" w:hAnsi="Arial" w:cs="Arial"/>
                <w:color w:val="505050"/>
                <w:sz w:val="16"/>
                <w:szCs w:val="16"/>
              </w:rPr>
              <w:t>exougenously</w:t>
            </w:r>
            <w:proofErr w:type="spellEnd"/>
            <w:r w:rsidRPr="00F36956">
              <w:rPr>
                <w:rFonts w:ascii="Arial" w:eastAsia="Times New Roman" w:hAnsi="Arial" w:cs="Arial"/>
                <w:color w:val="505050"/>
                <w:sz w:val="16"/>
                <w:szCs w:val="16"/>
              </w:rPr>
              <w:t xml:space="preserve"> (basic yield increase).</w:t>
            </w:r>
          </w:p>
        </w:tc>
        <w:tc>
          <w:tcPr>
            <w:tcW w:w="1277" w:type="dxa"/>
            <w:tcBorders>
              <w:top w:val="nil"/>
              <w:left w:val="nil"/>
              <w:bottom w:val="nil"/>
              <w:right w:val="nil"/>
            </w:tcBorders>
            <w:shd w:val="clear" w:color="auto" w:fill="auto"/>
            <w:vAlign w:val="center"/>
            <w:hideMark/>
          </w:tcPr>
          <w:p w14:paraId="0DEAB346"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 xml:space="preserve">Yes. Endogenous component - Crop growth model </w:t>
            </w:r>
            <w:proofErr w:type="gramStart"/>
            <w:r w:rsidRPr="00F36956">
              <w:rPr>
                <w:rFonts w:ascii="Arial" w:eastAsia="Times New Roman" w:hAnsi="Arial" w:cs="Arial"/>
                <w:color w:val="505050"/>
                <w:sz w:val="16"/>
                <w:szCs w:val="16"/>
              </w:rPr>
              <w:t>taking into account</w:t>
            </w:r>
            <w:proofErr w:type="gramEnd"/>
            <w:r w:rsidRPr="00F36956">
              <w:rPr>
                <w:rFonts w:ascii="Arial" w:eastAsia="Times New Roman" w:hAnsi="Arial" w:cs="Arial"/>
                <w:color w:val="505050"/>
                <w:sz w:val="16"/>
                <w:szCs w:val="16"/>
              </w:rPr>
              <w:t xml:space="preserve"> climate change (for both of edible and energy crops). Exogenous component - Management factor aimed to simulate improved management techniques (for edible crops).</w:t>
            </w:r>
          </w:p>
        </w:tc>
        <w:tc>
          <w:tcPr>
            <w:tcW w:w="1307" w:type="dxa"/>
            <w:tcBorders>
              <w:top w:val="nil"/>
              <w:left w:val="nil"/>
              <w:bottom w:val="nil"/>
              <w:right w:val="nil"/>
            </w:tcBorders>
            <w:shd w:val="clear" w:color="auto" w:fill="auto"/>
            <w:vAlign w:val="center"/>
            <w:hideMark/>
          </w:tcPr>
          <w:p w14:paraId="7FEC46D0" w14:textId="506A0917" w:rsidR="00D40C52" w:rsidRPr="00F36956" w:rsidRDefault="00D40C52" w:rsidP="00D40C52">
            <w:pPr>
              <w:spacing w:after="0" w:line="240" w:lineRule="auto"/>
              <w:jc w:val="center"/>
              <w:rPr>
                <w:rFonts w:ascii="Arial" w:eastAsia="Times New Roman" w:hAnsi="Arial" w:cs="Arial"/>
                <w:color w:val="505050"/>
                <w:sz w:val="16"/>
                <w:szCs w:val="16"/>
              </w:rPr>
            </w:pPr>
            <w:proofErr w:type="gramStart"/>
            <w:r w:rsidRPr="00F36956">
              <w:rPr>
                <w:rFonts w:ascii="Arial" w:eastAsia="Times New Roman" w:hAnsi="Arial" w:cs="Arial"/>
                <w:color w:val="505050"/>
                <w:sz w:val="16"/>
                <w:szCs w:val="16"/>
              </w:rPr>
              <w:t>Yes;</w:t>
            </w:r>
            <w:proofErr w:type="gramEnd"/>
            <w:r w:rsidRPr="00F36956">
              <w:rPr>
                <w:rFonts w:ascii="Arial" w:eastAsia="Times New Roman" w:hAnsi="Arial" w:cs="Arial"/>
                <w:color w:val="505050"/>
                <w:sz w:val="16"/>
                <w:szCs w:val="16"/>
              </w:rPr>
              <w:t xml:space="preserve"> Price induced intensification</w:t>
            </w:r>
          </w:p>
        </w:tc>
        <w:tc>
          <w:tcPr>
            <w:tcW w:w="1307" w:type="dxa"/>
            <w:tcBorders>
              <w:top w:val="nil"/>
              <w:left w:val="nil"/>
              <w:bottom w:val="nil"/>
              <w:right w:val="nil"/>
            </w:tcBorders>
            <w:shd w:val="clear" w:color="auto" w:fill="auto"/>
            <w:vAlign w:val="center"/>
            <w:hideMark/>
          </w:tcPr>
          <w:p w14:paraId="26659738" w14:textId="29E945E7" w:rsidR="00D40C52" w:rsidRPr="00F36956" w:rsidRDefault="00D40C52" w:rsidP="00D40C52">
            <w:pPr>
              <w:spacing w:after="0" w:line="240" w:lineRule="auto"/>
              <w:jc w:val="center"/>
              <w:rPr>
                <w:rFonts w:ascii="Times New Roman" w:eastAsia="Times New Roman" w:hAnsi="Times New Roman" w:cs="Times New Roman"/>
                <w:sz w:val="16"/>
                <w:szCs w:val="16"/>
              </w:rPr>
            </w:pPr>
            <w:proofErr w:type="gramStart"/>
            <w:r w:rsidRPr="00F36956">
              <w:rPr>
                <w:rFonts w:ascii="Arial" w:eastAsia="Times New Roman" w:hAnsi="Arial" w:cs="Arial"/>
                <w:color w:val="505050"/>
                <w:sz w:val="16"/>
                <w:szCs w:val="16"/>
              </w:rPr>
              <w:t>Yes;</w:t>
            </w:r>
            <w:proofErr w:type="gramEnd"/>
            <w:r w:rsidRPr="00F36956">
              <w:rPr>
                <w:rFonts w:ascii="Arial" w:eastAsia="Times New Roman" w:hAnsi="Arial" w:cs="Arial"/>
                <w:color w:val="505050"/>
                <w:sz w:val="16"/>
                <w:szCs w:val="16"/>
              </w:rPr>
              <w:t xml:space="preserve"> Price induced intensification and regional mix change through economic dynamics</w:t>
            </w:r>
          </w:p>
        </w:tc>
        <w:tc>
          <w:tcPr>
            <w:tcW w:w="1597" w:type="dxa"/>
            <w:tcBorders>
              <w:top w:val="nil"/>
              <w:left w:val="nil"/>
              <w:bottom w:val="nil"/>
              <w:right w:val="nil"/>
            </w:tcBorders>
            <w:shd w:val="clear" w:color="auto" w:fill="auto"/>
            <w:vAlign w:val="center"/>
            <w:hideMark/>
          </w:tcPr>
          <w:p w14:paraId="22670A59"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Indirect through changing the regional mix of crop production to higher yielding regions when demand for land increases</w:t>
            </w:r>
          </w:p>
        </w:tc>
        <w:tc>
          <w:tcPr>
            <w:tcW w:w="1267" w:type="dxa"/>
            <w:tcBorders>
              <w:top w:val="nil"/>
              <w:left w:val="nil"/>
              <w:bottom w:val="nil"/>
              <w:right w:val="nil"/>
            </w:tcBorders>
            <w:shd w:val="clear" w:color="auto" w:fill="auto"/>
            <w:vAlign w:val="center"/>
            <w:hideMark/>
          </w:tcPr>
          <w:p w14:paraId="6604CB5A"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Yes, land-fertilizer substitution and extensive-intensive livestock substitution</w:t>
            </w:r>
          </w:p>
        </w:tc>
        <w:tc>
          <w:tcPr>
            <w:tcW w:w="1677" w:type="dxa"/>
            <w:tcBorders>
              <w:top w:val="nil"/>
              <w:left w:val="nil"/>
              <w:bottom w:val="nil"/>
              <w:right w:val="nil"/>
            </w:tcBorders>
            <w:shd w:val="clear" w:color="auto" w:fill="auto"/>
            <w:vAlign w:val="center"/>
            <w:hideMark/>
          </w:tcPr>
          <w:p w14:paraId="60FA1F6C"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Endogenous - Increases in land prices lead to intensification. Exogenous, baseline increases in yields</w:t>
            </w:r>
          </w:p>
        </w:tc>
        <w:tc>
          <w:tcPr>
            <w:tcW w:w="1267" w:type="dxa"/>
            <w:tcBorders>
              <w:top w:val="nil"/>
              <w:left w:val="nil"/>
              <w:bottom w:val="nil"/>
              <w:right w:val="single" w:sz="8" w:space="0" w:color="auto"/>
            </w:tcBorders>
            <w:shd w:val="clear" w:color="auto" w:fill="auto"/>
            <w:vAlign w:val="center"/>
            <w:hideMark/>
          </w:tcPr>
          <w:p w14:paraId="7694695E"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No</w:t>
            </w:r>
          </w:p>
        </w:tc>
      </w:tr>
      <w:tr w:rsidR="00D40C52" w:rsidRPr="00F36956" w14:paraId="508A301A" w14:textId="77777777" w:rsidTr="00507244">
        <w:trPr>
          <w:trHeight w:val="2742"/>
        </w:trPr>
        <w:tc>
          <w:tcPr>
            <w:tcW w:w="1437" w:type="dxa"/>
            <w:tcBorders>
              <w:top w:val="single" w:sz="4" w:space="0" w:color="auto"/>
              <w:left w:val="single" w:sz="8" w:space="0" w:color="auto"/>
              <w:bottom w:val="single" w:sz="8" w:space="0" w:color="auto"/>
              <w:right w:val="nil"/>
            </w:tcBorders>
            <w:shd w:val="clear" w:color="auto" w:fill="auto"/>
            <w:vAlign w:val="center"/>
            <w:hideMark/>
          </w:tcPr>
          <w:p w14:paraId="7B270A1D" w14:textId="77777777" w:rsidR="00D40C52" w:rsidRPr="00F36956" w:rsidRDefault="00D40C52" w:rsidP="00D40C52">
            <w:pPr>
              <w:spacing w:after="0" w:line="240" w:lineRule="auto"/>
              <w:jc w:val="center"/>
              <w:rPr>
                <w:rFonts w:ascii="Arial" w:eastAsia="Times New Roman" w:hAnsi="Arial" w:cs="Arial"/>
                <w:b/>
                <w:bCs/>
                <w:color w:val="505050"/>
                <w:sz w:val="16"/>
                <w:szCs w:val="16"/>
              </w:rPr>
            </w:pPr>
            <w:r w:rsidRPr="00F36956">
              <w:rPr>
                <w:rFonts w:ascii="Arial" w:eastAsia="Times New Roman" w:hAnsi="Arial" w:cs="Arial"/>
                <w:b/>
                <w:bCs/>
                <w:color w:val="505050"/>
                <w:sz w:val="16"/>
                <w:szCs w:val="16"/>
              </w:rPr>
              <w:t>Land-use competition</w:t>
            </w:r>
          </w:p>
        </w:tc>
        <w:tc>
          <w:tcPr>
            <w:tcW w:w="1437" w:type="dxa"/>
            <w:tcBorders>
              <w:top w:val="single" w:sz="4" w:space="0" w:color="auto"/>
              <w:left w:val="nil"/>
              <w:bottom w:val="single" w:sz="8" w:space="0" w:color="auto"/>
              <w:right w:val="nil"/>
            </w:tcBorders>
            <w:shd w:val="clear" w:color="auto" w:fill="auto"/>
            <w:vAlign w:val="center"/>
            <w:hideMark/>
          </w:tcPr>
          <w:p w14:paraId="23BBEF20"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All cropland, biomass land, forest, pasture, and noncommercial lands are competed based on economics</w:t>
            </w:r>
          </w:p>
        </w:tc>
        <w:tc>
          <w:tcPr>
            <w:tcW w:w="1597" w:type="dxa"/>
            <w:tcBorders>
              <w:top w:val="single" w:sz="4" w:space="0" w:color="auto"/>
              <w:left w:val="nil"/>
              <w:bottom w:val="single" w:sz="8" w:space="0" w:color="auto"/>
              <w:right w:val="nil"/>
            </w:tcBorders>
            <w:vAlign w:val="center"/>
          </w:tcPr>
          <w:p w14:paraId="47C37DBC" w14:textId="4B157071"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Cereals compete with energy crops</w:t>
            </w:r>
          </w:p>
        </w:tc>
        <w:tc>
          <w:tcPr>
            <w:tcW w:w="1597" w:type="dxa"/>
            <w:tcBorders>
              <w:top w:val="single" w:sz="4" w:space="0" w:color="auto"/>
              <w:left w:val="nil"/>
              <w:bottom w:val="single" w:sz="8" w:space="0" w:color="auto"/>
              <w:right w:val="nil"/>
            </w:tcBorders>
            <w:shd w:val="clear" w:color="auto" w:fill="auto"/>
            <w:vAlign w:val="center"/>
            <w:hideMark/>
          </w:tcPr>
          <w:p w14:paraId="7BD16A60" w14:textId="4CD94F49"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cropland (food and bioenergy crops), pasture, forest</w:t>
            </w:r>
          </w:p>
        </w:tc>
        <w:tc>
          <w:tcPr>
            <w:tcW w:w="1277" w:type="dxa"/>
            <w:tcBorders>
              <w:top w:val="single" w:sz="4" w:space="0" w:color="auto"/>
              <w:left w:val="nil"/>
              <w:bottom w:val="single" w:sz="8" w:space="0" w:color="auto"/>
              <w:right w:val="nil"/>
            </w:tcBorders>
            <w:shd w:val="clear" w:color="auto" w:fill="auto"/>
            <w:vAlign w:val="center"/>
            <w:hideMark/>
          </w:tcPr>
          <w:p w14:paraId="2BEAD738"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Competition between energy crop production and afforestation</w:t>
            </w:r>
          </w:p>
        </w:tc>
        <w:tc>
          <w:tcPr>
            <w:tcW w:w="1307" w:type="dxa"/>
            <w:tcBorders>
              <w:top w:val="single" w:sz="4" w:space="0" w:color="auto"/>
              <w:left w:val="nil"/>
              <w:bottom w:val="single" w:sz="8" w:space="0" w:color="auto"/>
              <w:right w:val="nil"/>
            </w:tcBorders>
            <w:shd w:val="clear" w:color="auto" w:fill="auto"/>
            <w:vAlign w:val="center"/>
            <w:hideMark/>
          </w:tcPr>
          <w:p w14:paraId="6B4F3A03" w14:textId="5229C18D" w:rsidR="00D40C52" w:rsidRPr="00F36956" w:rsidRDefault="00D40C52" w:rsidP="00D40C52">
            <w:pPr>
              <w:spacing w:after="0" w:line="240" w:lineRule="auto"/>
              <w:jc w:val="center"/>
              <w:rPr>
                <w:rFonts w:ascii="Times New Roman" w:eastAsia="Times New Roman" w:hAnsi="Times New Roman" w:cs="Times New Roman"/>
                <w:color w:val="000000"/>
                <w:sz w:val="16"/>
                <w:szCs w:val="16"/>
              </w:rPr>
            </w:pPr>
            <w:r w:rsidRPr="00F36956">
              <w:rPr>
                <w:rFonts w:ascii="Times New Roman" w:eastAsia="Times New Roman" w:hAnsi="Times New Roman" w:cs="Times New Roman"/>
                <w:color w:val="000000"/>
                <w:sz w:val="16"/>
                <w:szCs w:val="16"/>
              </w:rPr>
              <w:t> </w:t>
            </w:r>
            <w:r w:rsidRPr="00F36956">
              <w:rPr>
                <w:rFonts w:ascii="Arial" w:eastAsia="Times New Roman" w:hAnsi="Arial" w:cs="Arial"/>
                <w:color w:val="505050"/>
                <w:sz w:val="16"/>
                <w:szCs w:val="16"/>
              </w:rPr>
              <w:t>Cropland (food and bioenergy crops), pasture, forest</w:t>
            </w:r>
          </w:p>
        </w:tc>
        <w:tc>
          <w:tcPr>
            <w:tcW w:w="1307" w:type="dxa"/>
            <w:tcBorders>
              <w:top w:val="single" w:sz="4" w:space="0" w:color="auto"/>
              <w:left w:val="nil"/>
              <w:bottom w:val="single" w:sz="8" w:space="0" w:color="auto"/>
              <w:right w:val="nil"/>
            </w:tcBorders>
            <w:shd w:val="clear" w:color="auto" w:fill="auto"/>
            <w:vAlign w:val="center"/>
            <w:hideMark/>
          </w:tcPr>
          <w:p w14:paraId="5971678B" w14:textId="01C8CDCB"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Cropland (food and bioenergy crops), pasture, forest </w:t>
            </w:r>
          </w:p>
        </w:tc>
        <w:tc>
          <w:tcPr>
            <w:tcW w:w="1597" w:type="dxa"/>
            <w:tcBorders>
              <w:top w:val="single" w:sz="4" w:space="0" w:color="auto"/>
              <w:left w:val="nil"/>
              <w:bottom w:val="single" w:sz="8" w:space="0" w:color="auto"/>
              <w:right w:val="nil"/>
            </w:tcBorders>
            <w:shd w:val="clear" w:color="auto" w:fill="auto"/>
            <w:vAlign w:val="center"/>
            <w:hideMark/>
          </w:tcPr>
          <w:p w14:paraId="6E9E3368"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All cropland, biomass land, forest, pasture, and noncommercial lands are competed based on economics</w:t>
            </w:r>
          </w:p>
        </w:tc>
        <w:tc>
          <w:tcPr>
            <w:tcW w:w="1267" w:type="dxa"/>
            <w:tcBorders>
              <w:top w:val="single" w:sz="4" w:space="0" w:color="auto"/>
              <w:left w:val="nil"/>
              <w:bottom w:val="single" w:sz="8" w:space="0" w:color="auto"/>
              <w:right w:val="nil"/>
            </w:tcBorders>
            <w:shd w:val="clear" w:color="auto" w:fill="auto"/>
            <w:vAlign w:val="center"/>
            <w:hideMark/>
          </w:tcPr>
          <w:p w14:paraId="46271CE9"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Cropland (food), bioenergy, pasture</w:t>
            </w:r>
          </w:p>
        </w:tc>
        <w:tc>
          <w:tcPr>
            <w:tcW w:w="1677" w:type="dxa"/>
            <w:tcBorders>
              <w:top w:val="single" w:sz="4" w:space="0" w:color="auto"/>
              <w:left w:val="nil"/>
              <w:bottom w:val="single" w:sz="8" w:space="0" w:color="auto"/>
              <w:right w:val="nil"/>
            </w:tcBorders>
            <w:shd w:val="clear" w:color="auto" w:fill="auto"/>
            <w:vAlign w:val="center"/>
            <w:hideMark/>
          </w:tcPr>
          <w:p w14:paraId="658CE17F" w14:textId="77777777" w:rsidR="00D40C52" w:rsidRPr="00F36956" w:rsidRDefault="00D40C52" w:rsidP="00D40C52">
            <w:pPr>
              <w:spacing w:after="0" w:line="240" w:lineRule="auto"/>
              <w:jc w:val="center"/>
              <w:rPr>
                <w:rFonts w:ascii="Arial" w:eastAsia="Times New Roman" w:hAnsi="Arial" w:cs="Arial"/>
                <w:color w:val="505050"/>
                <w:sz w:val="16"/>
                <w:szCs w:val="16"/>
              </w:rPr>
            </w:pPr>
            <w:r w:rsidRPr="00F36956">
              <w:rPr>
                <w:rFonts w:ascii="Arial" w:eastAsia="Times New Roman" w:hAnsi="Arial" w:cs="Arial"/>
                <w:color w:val="505050"/>
                <w:sz w:val="16"/>
                <w:szCs w:val="16"/>
              </w:rPr>
              <w:t>Cropland (food), pasture, forests. Bioenergy can be grown on remaining lands</w:t>
            </w:r>
          </w:p>
        </w:tc>
        <w:tc>
          <w:tcPr>
            <w:tcW w:w="1267" w:type="dxa"/>
            <w:tcBorders>
              <w:top w:val="single" w:sz="4" w:space="0" w:color="auto"/>
              <w:left w:val="nil"/>
              <w:bottom w:val="single" w:sz="8" w:space="0" w:color="auto"/>
              <w:right w:val="single" w:sz="8" w:space="0" w:color="auto"/>
            </w:tcBorders>
            <w:shd w:val="clear" w:color="auto" w:fill="auto"/>
            <w:vAlign w:val="center"/>
            <w:hideMark/>
          </w:tcPr>
          <w:p w14:paraId="68B3B095" w14:textId="3EFEADA0" w:rsidR="00D40C52" w:rsidRPr="00F36956" w:rsidRDefault="008320F2" w:rsidP="00D40C52">
            <w:pPr>
              <w:spacing w:after="0" w:line="240" w:lineRule="auto"/>
              <w:jc w:val="center"/>
              <w:rPr>
                <w:rFonts w:ascii="Arial" w:eastAsia="Times New Roman" w:hAnsi="Arial" w:cs="Arial"/>
                <w:color w:val="505050"/>
                <w:sz w:val="16"/>
                <w:szCs w:val="16"/>
              </w:rPr>
            </w:pPr>
            <w:r>
              <w:rPr>
                <w:rFonts w:ascii="Arial" w:eastAsia="Times New Roman" w:hAnsi="Arial" w:cs="Arial"/>
                <w:color w:val="505050"/>
                <w:sz w:val="18"/>
                <w:szCs w:val="18"/>
              </w:rPr>
              <w:t>Cropland (food and bioenergy), pasture, natural forest, other natural lands</w:t>
            </w:r>
            <w:r w:rsidR="00D40C52" w:rsidRPr="00F36956">
              <w:rPr>
                <w:rFonts w:ascii="Arial" w:eastAsia="Times New Roman" w:hAnsi="Arial" w:cs="Arial"/>
                <w:color w:val="505050"/>
                <w:sz w:val="16"/>
                <w:szCs w:val="16"/>
              </w:rPr>
              <w:t> </w:t>
            </w:r>
          </w:p>
        </w:tc>
      </w:tr>
    </w:tbl>
    <w:p w14:paraId="60642578" w14:textId="77777777" w:rsidR="00EC2FD2" w:rsidRDefault="00EC2FD2" w:rsidP="00EC2FD2">
      <w:pPr>
        <w:pStyle w:val="Caption"/>
        <w:keepNext/>
        <w:keepLines/>
        <w:jc w:val="center"/>
      </w:pPr>
    </w:p>
    <w:p w14:paraId="7CFE4621" w14:textId="77777777" w:rsidR="00EC2FD2" w:rsidRDefault="00EC2FD2" w:rsidP="00EC2FD2">
      <w:bookmarkStart w:id="1" w:name="scenario-choices"/>
      <w:bookmarkEnd w:id="1"/>
    </w:p>
    <w:p w14:paraId="41D56283" w14:textId="77777777" w:rsidR="00EC2FD2" w:rsidRPr="004721B8" w:rsidRDefault="00EC2FD2" w:rsidP="00EC2FD2"/>
    <w:p w14:paraId="3231259D" w14:textId="77777777" w:rsidR="00EC2FD2" w:rsidRDefault="00EC2FD2" w:rsidP="00EC2FD2">
      <w:pPr>
        <w:jc w:val="center"/>
      </w:pPr>
    </w:p>
    <w:p w14:paraId="227CD2B3" w14:textId="77777777" w:rsidR="00EC2FD2" w:rsidRDefault="00EC2FD2" w:rsidP="00EC2FD2">
      <w:pPr>
        <w:spacing w:line="259" w:lineRule="auto"/>
      </w:pPr>
      <w:r>
        <w:br w:type="page"/>
      </w:r>
    </w:p>
    <w:p w14:paraId="29ABEEA0" w14:textId="77777777" w:rsidR="00EC2FD2" w:rsidRDefault="00EC2FD2" w:rsidP="003373EC">
      <w:pPr>
        <w:pStyle w:val="Heading1"/>
      </w:pPr>
      <w:r>
        <w:lastRenderedPageBreak/>
        <w:t>Current trends in primary energy consumption</w:t>
      </w:r>
    </w:p>
    <w:p w14:paraId="43EE428C" w14:textId="77777777" w:rsidR="00EC2FD2" w:rsidRDefault="00EC2FD2" w:rsidP="00EC2FD2">
      <w:pPr>
        <w:jc w:val="center"/>
      </w:pPr>
      <w:r>
        <w:rPr>
          <w:noProof/>
          <w:lang w:val="fr-FR" w:eastAsia="fr-FR"/>
        </w:rPr>
        <w:drawing>
          <wp:inline distT="0" distB="0" distL="0" distR="0" wp14:anchorId="6E6D9AD3" wp14:editId="7DD98B62">
            <wp:extent cx="5760000" cy="6480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000" cy="6480000"/>
                    </a:xfrm>
                    <a:prstGeom prst="rect">
                      <a:avLst/>
                    </a:prstGeom>
                  </pic:spPr>
                </pic:pic>
              </a:graphicData>
            </a:graphic>
          </wp:inline>
        </w:drawing>
      </w:r>
    </w:p>
    <w:p w14:paraId="267BC735" w14:textId="6005E33C" w:rsidR="00EC2FD2" w:rsidRDefault="00EC2FD2" w:rsidP="00EC2FD2">
      <w:pPr>
        <w:pStyle w:val="Caption"/>
        <w:jc w:val="center"/>
      </w:pPr>
      <w:r>
        <w:t>Figure S</w:t>
      </w:r>
      <w:r w:rsidR="008A1875">
        <w:fldChar w:fldCharType="begin"/>
      </w:r>
      <w:r w:rsidR="008A1875">
        <w:instrText xml:space="preserve"> SEQ Figure \* ARABIC </w:instrText>
      </w:r>
      <w:r w:rsidR="008A1875">
        <w:fldChar w:fldCharType="separate"/>
      </w:r>
      <w:r w:rsidR="002B128D">
        <w:rPr>
          <w:noProof/>
        </w:rPr>
        <w:t>1</w:t>
      </w:r>
      <w:r w:rsidR="008A1875">
        <w:rPr>
          <w:noProof/>
        </w:rPr>
        <w:fldChar w:fldCharType="end"/>
      </w:r>
      <w:r>
        <w:t xml:space="preserve"> – Historical Primary Energy Consumption in Brazil from National Energy Balance (EPE, 2017)</w:t>
      </w:r>
    </w:p>
    <w:p w14:paraId="759607A1" w14:textId="77777777" w:rsidR="00EC2FD2" w:rsidRDefault="00EC2FD2" w:rsidP="00EC2FD2"/>
    <w:p w14:paraId="6F1F1E92" w14:textId="77777777" w:rsidR="00DE3AF0" w:rsidRDefault="00DE3AF0" w:rsidP="003373EC">
      <w:pPr>
        <w:pStyle w:val="Heading1"/>
      </w:pPr>
      <w:r>
        <w:lastRenderedPageBreak/>
        <w:t>Bioenergy consumption by carrier</w:t>
      </w:r>
    </w:p>
    <w:p w14:paraId="45CC5C15" w14:textId="43704DFC" w:rsidR="006110B8" w:rsidRDefault="004C2136" w:rsidP="006110B8">
      <w:pPr>
        <w:keepNext/>
      </w:pPr>
      <w:r>
        <w:rPr>
          <w:noProof/>
        </w:rPr>
        <w:drawing>
          <wp:inline distT="0" distB="0" distL="0" distR="0" wp14:anchorId="20C5CE38" wp14:editId="4BC7DFC1">
            <wp:extent cx="4800000" cy="7200000"/>
            <wp:effectExtent l="0" t="0" r="635"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800000" cy="7200000"/>
                    </a:xfrm>
                    <a:prstGeom prst="rect">
                      <a:avLst/>
                    </a:prstGeom>
                  </pic:spPr>
                </pic:pic>
              </a:graphicData>
            </a:graphic>
          </wp:inline>
        </w:drawing>
      </w:r>
    </w:p>
    <w:p w14:paraId="3CA0D2CE" w14:textId="1ACDF784" w:rsidR="00EC2FD2" w:rsidRDefault="006110B8" w:rsidP="006110B8">
      <w:pPr>
        <w:pStyle w:val="Caption"/>
        <w:keepNext/>
        <w:jc w:val="center"/>
      </w:pPr>
      <w:r>
        <w:t>Figure S</w:t>
      </w:r>
      <w:r w:rsidR="0088427A">
        <w:rPr>
          <w:noProof/>
        </w:rPr>
        <w:fldChar w:fldCharType="begin"/>
      </w:r>
      <w:r w:rsidR="0088427A">
        <w:rPr>
          <w:noProof/>
        </w:rPr>
        <w:instrText xml:space="preserve"> SEQ Figure \* ARABIC </w:instrText>
      </w:r>
      <w:r w:rsidR="0088427A">
        <w:rPr>
          <w:noProof/>
        </w:rPr>
        <w:fldChar w:fldCharType="separate"/>
      </w:r>
      <w:r w:rsidR="002B128D">
        <w:rPr>
          <w:noProof/>
        </w:rPr>
        <w:t>2</w:t>
      </w:r>
      <w:r w:rsidR="0088427A">
        <w:rPr>
          <w:noProof/>
        </w:rPr>
        <w:fldChar w:fldCharType="end"/>
      </w:r>
      <w:r>
        <w:t xml:space="preserve"> – Primary energy consumption (PEC) in Brazil</w:t>
      </w:r>
      <w:r w:rsidR="00E10D83">
        <w:tab/>
      </w:r>
    </w:p>
    <w:p w14:paraId="3933F6B9" w14:textId="77777777" w:rsidR="00EC2FD2" w:rsidRDefault="00EC2FD2" w:rsidP="00EC2FD2"/>
    <w:p w14:paraId="44B7979A" w14:textId="2871585A" w:rsidR="009B29A5" w:rsidRDefault="00F16393" w:rsidP="009B29A5">
      <w:pPr>
        <w:keepNext/>
      </w:pPr>
      <w:r>
        <w:rPr>
          <w:noProof/>
        </w:rPr>
        <w:lastRenderedPageBreak/>
        <w:drawing>
          <wp:inline distT="0" distB="0" distL="0" distR="0" wp14:anchorId="255BFEA1" wp14:editId="440F3180">
            <wp:extent cx="6400000" cy="7200000"/>
            <wp:effectExtent l="0" t="0" r="127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400000" cy="7200000"/>
                    </a:xfrm>
                    <a:prstGeom prst="rect">
                      <a:avLst/>
                    </a:prstGeom>
                  </pic:spPr>
                </pic:pic>
              </a:graphicData>
            </a:graphic>
          </wp:inline>
        </w:drawing>
      </w:r>
    </w:p>
    <w:p w14:paraId="523FBC7F" w14:textId="636A5DC6" w:rsidR="009B29A5" w:rsidRDefault="009B29A5" w:rsidP="009B29A5">
      <w:pPr>
        <w:pStyle w:val="Caption"/>
      </w:pPr>
      <w:bookmarkStart w:id="2" w:name="_Ref8501934"/>
      <w:r>
        <w:t>Figure S</w:t>
      </w:r>
      <w:r w:rsidR="008A1875">
        <w:fldChar w:fldCharType="begin"/>
      </w:r>
      <w:r w:rsidR="008A1875">
        <w:instrText xml:space="preserve"> SEQ Figure \* ARABIC </w:instrText>
      </w:r>
      <w:r w:rsidR="008A1875">
        <w:fldChar w:fldCharType="separate"/>
      </w:r>
      <w:r w:rsidR="002B128D">
        <w:rPr>
          <w:noProof/>
        </w:rPr>
        <w:t>3</w:t>
      </w:r>
      <w:r w:rsidR="008A1875">
        <w:rPr>
          <w:noProof/>
        </w:rPr>
        <w:fldChar w:fldCharType="end"/>
      </w:r>
      <w:bookmarkEnd w:id="2"/>
      <w:r>
        <w:t xml:space="preserve"> - bioenergy production in Brazil separated into bioelectricity, hydrogen, plus liquids divided into 1st generation biodiesel and ethanol, and 2nd generation ethanol.</w:t>
      </w:r>
      <w:r w:rsidR="00EC54D6">
        <w:t xml:space="preserve"> COFFEE did not report results for ethanol and biodiesel although they feature in the solution of the model.</w:t>
      </w:r>
    </w:p>
    <w:p w14:paraId="198CE07D" w14:textId="73454D69" w:rsidR="00EC2FD2" w:rsidRDefault="00EC2FD2" w:rsidP="00EC2FD2"/>
    <w:p w14:paraId="4C8CE79D" w14:textId="5891FF10" w:rsidR="00EC2FD2" w:rsidRDefault="009B29A5" w:rsidP="00EC2FD2">
      <w:r>
        <w:lastRenderedPageBreak/>
        <w:fldChar w:fldCharType="begin"/>
      </w:r>
      <w:r>
        <w:instrText xml:space="preserve"> REF _Ref8501934 \h </w:instrText>
      </w:r>
      <w:r>
        <w:fldChar w:fldCharType="separate"/>
      </w:r>
      <w:r w:rsidR="002B128D">
        <w:t>Figure S</w:t>
      </w:r>
      <w:r w:rsidR="002B128D">
        <w:rPr>
          <w:noProof/>
        </w:rPr>
        <w:t>3</w:t>
      </w:r>
      <w:r>
        <w:fldChar w:fldCharType="end"/>
      </w:r>
      <w:r>
        <w:t xml:space="preserve"> </w:t>
      </w:r>
      <w:r w:rsidR="00EC2FD2">
        <w:t>shows bioenergy consumption in Brazil, separated into bioelectricity, hydrogen, and liquids, with the latter further divided into 1</w:t>
      </w:r>
      <w:r w:rsidR="00EC2FD2" w:rsidRPr="00314279">
        <w:rPr>
          <w:vertAlign w:val="superscript"/>
        </w:rPr>
        <w:t>st</w:t>
      </w:r>
      <w:r w:rsidR="00EC2FD2">
        <w:t xml:space="preserve"> generation ethanol and biodiesel, and 2</w:t>
      </w:r>
      <w:r w:rsidR="00EC2FD2" w:rsidRPr="00314279">
        <w:rPr>
          <w:vertAlign w:val="superscript"/>
        </w:rPr>
        <w:t>nd</w:t>
      </w:r>
      <w:r w:rsidR="00EC2FD2">
        <w:t xml:space="preserve"> generation ethanol. As shown in </w:t>
      </w:r>
      <w:r w:rsidR="00EC2FD2" w:rsidRPr="00D31464">
        <w:t>Table</w:t>
      </w:r>
      <w:r w:rsidR="00EC2FD2">
        <w:t xml:space="preserve"> S1 and further explored in </w:t>
      </w:r>
      <w:r w:rsidR="00EA6B43" w:rsidRPr="00EA6B43">
        <w:t xml:space="preserve">Daioglou et al. </w:t>
      </w:r>
      <w:r w:rsidR="00EA6B43">
        <w:t>(</w:t>
      </w:r>
      <w:r w:rsidR="003373EC">
        <w:t>2020, this issue</w:t>
      </w:r>
      <w:r w:rsidR="00EA6B43" w:rsidRPr="00EA6B43">
        <w:t>)</w:t>
      </w:r>
      <w:r w:rsidR="003373EC">
        <w:t>. T</w:t>
      </w:r>
      <w:r w:rsidR="00EC2FD2">
        <w:t>here are differences in the technological options contained in each model, with some models not including 1</w:t>
      </w:r>
      <w:r w:rsidR="00EC2FD2" w:rsidRPr="00360658">
        <w:rPr>
          <w:vertAlign w:val="superscript"/>
        </w:rPr>
        <w:t>st</w:t>
      </w:r>
      <w:r w:rsidR="00EC2FD2">
        <w:t xml:space="preserve"> generation ethanol, for example. Among these are GCAM and IMACLIM, so that in the No Adv Fuel scenario in 2100, IMACLIM does not produce any modern bioenergy at all, while all the bioenergy production in GCAM is shifted to bioelectricity and hydrogen, leaving no bioliquids. On the other hand, DNE21+ does not implement any 2</w:t>
      </w:r>
      <w:r w:rsidR="00EC2FD2" w:rsidRPr="00763C2A">
        <w:rPr>
          <w:vertAlign w:val="superscript"/>
        </w:rPr>
        <w:t>nd</w:t>
      </w:r>
      <w:r w:rsidR="00EC2FD2">
        <w:t xml:space="preserve"> generation ethanol in Brazil region, although the model does have this option (Table S1). Instead DNE21+ has Brazil using a lot of bioelectricity in the Low-Full </w:t>
      </w:r>
      <w:r w:rsidR="00EA6B43">
        <w:t>scenario</w:t>
      </w:r>
      <w:r w:rsidR="00EC2FD2">
        <w:t>, all of which with CCS, so that in the No-BECCS scenario only 1</w:t>
      </w:r>
      <w:r w:rsidR="00EC2FD2" w:rsidRPr="003B7700">
        <w:rPr>
          <w:vertAlign w:val="superscript"/>
        </w:rPr>
        <w:t>st</w:t>
      </w:r>
      <w:r w:rsidR="00EC2FD2">
        <w:t xml:space="preserve"> generation biofuels are used. GRAPE also uses a lot of CCS in power generation, but in the No-BECCS scenario, it shifts to bioelectricity without CCS instead of biofuels. For a more detailed look at the reasons behind the different bioenergy choices models make, see Daioglou et al (</w:t>
      </w:r>
      <w:r w:rsidR="00F16393" w:rsidRPr="00F16393">
        <w:t>Daioglou et al., Bioenergy technologies in long-run climate change mitigation: Results from the EMF33 study, this issue, in preparation</w:t>
      </w:r>
      <w:r w:rsidR="00EC2FD2">
        <w:t>).</w:t>
      </w:r>
    </w:p>
    <w:p w14:paraId="56421406" w14:textId="77777777" w:rsidR="00EC2FD2" w:rsidRDefault="00EC2FD2" w:rsidP="00EC2FD2"/>
    <w:p w14:paraId="400700F2" w14:textId="77777777" w:rsidR="00EC2FD2" w:rsidRDefault="00EC2FD2" w:rsidP="00EC2FD2">
      <w:pPr>
        <w:keepNext/>
        <w:jc w:val="center"/>
      </w:pPr>
      <w:r>
        <w:rPr>
          <w:noProof/>
          <w:lang w:val="fr-FR" w:eastAsia="fr-FR"/>
        </w:rPr>
        <w:drawing>
          <wp:inline distT="0" distB="0" distL="0" distR="0" wp14:anchorId="28141834" wp14:editId="04B42B05">
            <wp:extent cx="4572000" cy="2743200"/>
            <wp:effectExtent l="0" t="0" r="0" b="0"/>
            <wp:docPr id="1" name="Chart 1">
              <a:extLst xmlns:a="http://schemas.openxmlformats.org/drawingml/2006/main">
                <a:ext uri="{FF2B5EF4-FFF2-40B4-BE49-F238E27FC236}">
                  <a16:creationId xmlns:a16="http://schemas.microsoft.com/office/drawing/2014/main" id="{88B91B8B-717B-4C42-BC92-4E4B9C1B03E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7BC2ACA" w14:textId="585816B5" w:rsidR="00EC2FD2" w:rsidRDefault="00EC2FD2" w:rsidP="00EC2FD2">
      <w:pPr>
        <w:pStyle w:val="Caption"/>
        <w:jc w:val="center"/>
      </w:pPr>
      <w:r>
        <w:t>Figure S</w:t>
      </w:r>
      <w:r w:rsidR="008A1875">
        <w:fldChar w:fldCharType="begin"/>
      </w:r>
      <w:r w:rsidR="008A1875">
        <w:instrText xml:space="preserve"> SEQ Figure \* ARABIC </w:instrText>
      </w:r>
      <w:r w:rsidR="008A1875">
        <w:fldChar w:fldCharType="separate"/>
      </w:r>
      <w:r w:rsidR="002B128D">
        <w:rPr>
          <w:noProof/>
        </w:rPr>
        <w:t>4</w:t>
      </w:r>
      <w:r w:rsidR="008A1875">
        <w:rPr>
          <w:noProof/>
        </w:rPr>
        <w:fldChar w:fldCharType="end"/>
      </w:r>
      <w:r>
        <w:t xml:space="preserve"> - Historic primary biomass consumption in Brazil</w:t>
      </w:r>
      <w:r>
        <w:br/>
        <w:t>Data source: National Energy Balance (EPE 2015)</w:t>
      </w:r>
    </w:p>
    <w:p w14:paraId="7307FBBC" w14:textId="2F6EC3EF" w:rsidR="00716E6D" w:rsidRDefault="00A63375" w:rsidP="003373EC">
      <w:pPr>
        <w:pStyle w:val="Heading1"/>
      </w:pPr>
      <w:r>
        <w:t>Land use and land use change</w:t>
      </w:r>
    </w:p>
    <w:p w14:paraId="475F8123" w14:textId="387DD4F0" w:rsidR="00A63375" w:rsidRDefault="00E324DC" w:rsidP="00C32B9B">
      <w:r>
        <w:t xml:space="preserve">The main </w:t>
      </w:r>
      <w:r w:rsidR="00983534">
        <w:t xml:space="preserve">publicly available land use maps for the whole of Brazil </w:t>
      </w:r>
      <w:r>
        <w:t>are the maps provided by CSR-UFMG</w:t>
      </w:r>
      <w:r>
        <w:rPr>
          <w:rStyle w:val="FootnoteReference"/>
        </w:rPr>
        <w:footnoteReference w:id="1"/>
      </w:r>
      <w:r>
        <w:t xml:space="preserve"> (SOARES-FILHO et al., 2016), by LAPIG</w:t>
      </w:r>
      <w:r>
        <w:rPr>
          <w:rStyle w:val="FootnoteReference"/>
        </w:rPr>
        <w:footnoteReference w:id="2"/>
      </w:r>
      <w:r>
        <w:t>, by IBGE</w:t>
      </w:r>
      <w:r>
        <w:rPr>
          <w:rStyle w:val="FootnoteReference"/>
        </w:rPr>
        <w:footnoteReference w:id="3"/>
      </w:r>
      <w:r>
        <w:t xml:space="preserve"> (IBGE, 2017b), and by </w:t>
      </w:r>
      <w:proofErr w:type="spellStart"/>
      <w:r>
        <w:t>mapBiomas</w:t>
      </w:r>
      <w:proofErr w:type="spellEnd"/>
      <w:r>
        <w:rPr>
          <w:rStyle w:val="FootnoteReference"/>
        </w:rPr>
        <w:footnoteReference w:id="4"/>
      </w:r>
      <w:r>
        <w:t xml:space="preserve">. </w:t>
      </w:r>
      <w:r w:rsidR="00983534">
        <w:t>T</w:t>
      </w:r>
      <w:r>
        <w:t>he CSR-UFMG map uso_da_terra_2013 (henceforth the CSR map) representing land use in 2013 as allocated by the land use model OTIMIZAGRO (SOARES-FILHO et al., 2016)</w:t>
      </w:r>
      <w:r w:rsidR="00983534">
        <w:t xml:space="preserve"> is the most disaggregated</w:t>
      </w:r>
      <w:r w:rsidR="00C32B9B">
        <w:t xml:space="preserve"> option and was </w:t>
      </w:r>
      <w:r w:rsidR="00C32B9B">
        <w:lastRenderedPageBreak/>
        <w:t xml:space="preserve">used to produce the historic land cover are plot in Figure 3 following methodology described in </w:t>
      </w:r>
      <w:r w:rsidR="00C32B9B">
        <w:fldChar w:fldCharType="begin" w:fldLock="1"/>
      </w:r>
      <w:r w:rsidR="00C32B9B">
        <w:instrText>ADDIN CSL_CITATION {"citationItems":[{"id":"ITEM-1","itemData":{"author":[{"dropping-particle":"","family":"Köberle","given":"Alexandre","non-dropping-particle":"","parse-names":false,"suffix":""}],"id":"ITEM-1","issued":{"date-parts":[["2018"]]},"publisher":"Federal University of Rio de Janeiro","title":"Implementation of Land Use in an Energy System Model to Study the Long-Term Impacts of Bioenergy in Brazil and its Sensitivity to the Choice of Agricultural Greenhouse Gas Emission Factors","type":"thesis"},"uris":["http://www.mendeley.com/documents/?uuid=0f80b1e2-13dd-40b1-b772-2d01bb424137"]}],"mendeley":{"formattedCitation":"(Köberle, 2018)","plainTextFormattedCitation":"(Köberle, 2018)"},"properties":{"noteIndex":0},"schema":"https://github.com/citation-style-language/schema/raw/master/csl-citation.json"}</w:instrText>
      </w:r>
      <w:r w:rsidR="00C32B9B">
        <w:fldChar w:fldCharType="separate"/>
      </w:r>
      <w:r w:rsidR="00C32B9B" w:rsidRPr="00C32B9B">
        <w:rPr>
          <w:noProof/>
        </w:rPr>
        <w:t>(Köberle, 2018)</w:t>
      </w:r>
      <w:r w:rsidR="00C32B9B">
        <w:fldChar w:fldCharType="end"/>
      </w:r>
      <w:r>
        <w:t xml:space="preserve">. </w:t>
      </w:r>
      <w:r w:rsidR="00C32B9B">
        <w:t>T</w:t>
      </w:r>
      <w:r w:rsidR="00A63375">
        <w:t>he CSR</w:t>
      </w:r>
      <w:r w:rsidR="00C32B9B">
        <w:t xml:space="preserve"> map</w:t>
      </w:r>
      <w:r w:rsidR="00A63375">
        <w:t xml:space="preserve"> land use classes are not </w:t>
      </w:r>
      <w:r w:rsidR="00C32B9B">
        <w:t>directly comparable</w:t>
      </w:r>
      <w:r w:rsidR="00A63375">
        <w:t xml:space="preserve"> to </w:t>
      </w:r>
      <w:r w:rsidR="00C32B9B">
        <w:t xml:space="preserve">those used in </w:t>
      </w:r>
      <w:r w:rsidR="00A63375">
        <w:t>other data sets like IBGE</w:t>
      </w:r>
      <w:r w:rsidR="00263C17">
        <w:rPr>
          <w:rStyle w:val="FootnoteReference"/>
        </w:rPr>
        <w:footnoteReference w:id="5"/>
      </w:r>
      <w:r w:rsidR="00A63375">
        <w:t xml:space="preserve"> and MAPBIOMAS</w:t>
      </w:r>
      <w:r w:rsidR="00263C17">
        <w:rPr>
          <w:rStyle w:val="FootnoteReference"/>
        </w:rPr>
        <w:footnoteReference w:id="6"/>
      </w:r>
      <w:r w:rsidR="00C32B9B">
        <w:t>. Each map</w:t>
      </w:r>
      <w:r w:rsidR="00A63375">
        <w:t xml:space="preserve"> classif</w:t>
      </w:r>
      <w:r w:rsidR="00C32B9B">
        <w:t>ies</w:t>
      </w:r>
      <w:r w:rsidR="00A63375">
        <w:t xml:space="preserve"> land cover types differently</w:t>
      </w:r>
      <w:r w:rsidR="00C32B9B">
        <w:t xml:space="preserve">, but the </w:t>
      </w:r>
      <w:r w:rsidR="00A63375">
        <w:t xml:space="preserve">classes in the different dataset overlap, </w:t>
      </w:r>
      <w:r w:rsidR="00C32B9B">
        <w:t>making</w:t>
      </w:r>
      <w:r w:rsidR="00A63375">
        <w:t xml:space="preserve"> comparison very challenging. For example, MAPBIOMAS classify </w:t>
      </w:r>
      <w:r w:rsidR="00C32B9B">
        <w:t xml:space="preserve">forests </w:t>
      </w:r>
      <w:r w:rsidR="00A63375">
        <w:t>into “Forest Formations” which also include “Savanna Formations”, while IBGE calls it “Forest Vegetation Savanna</w:t>
      </w:r>
      <w:r w:rsidR="00C32B9B">
        <w:t>s</w:t>
      </w:r>
      <w:r w:rsidR="00A63375">
        <w:t xml:space="preserve"> </w:t>
      </w:r>
      <w:r w:rsidR="00C32B9B">
        <w:t>in</w:t>
      </w:r>
      <w:r w:rsidR="00A63375">
        <w:t xml:space="preserve"> MAPBIOMAS </w:t>
      </w:r>
      <w:r w:rsidR="00C32B9B">
        <w:t>are</w:t>
      </w:r>
      <w:r w:rsidR="00A63375">
        <w:t xml:space="preserve"> a combination of “Savanna Formations” and “Grassland”, while </w:t>
      </w:r>
      <w:r w:rsidR="00C32B9B">
        <w:t xml:space="preserve">in </w:t>
      </w:r>
      <w:r w:rsidR="00A63375">
        <w:t xml:space="preserve">IBGE </w:t>
      </w:r>
      <w:r w:rsidR="00C32B9B">
        <w:t>they are</w:t>
      </w:r>
      <w:r w:rsidR="00A63375">
        <w:t xml:space="preserve"> “Field vegetation” and “Natural Pastures”. Cropland in both IBGE and MAPBIOMAS can be either purely agricultural or a “mosaic” of agriculture-pasture and agriculture-forest. </w:t>
      </w:r>
    </w:p>
    <w:p w14:paraId="32114319" w14:textId="77777777" w:rsidR="00263C17" w:rsidRDefault="00263C17" w:rsidP="00A63375"/>
    <w:p w14:paraId="6E74F81D" w14:textId="77777777" w:rsidR="00A63375" w:rsidRPr="00A63375" w:rsidRDefault="00A63375" w:rsidP="00A63375"/>
    <w:p w14:paraId="7F172200" w14:textId="18207237" w:rsidR="00C56690" w:rsidRDefault="002B128D" w:rsidP="003373EC">
      <w:pPr>
        <w:pStyle w:val="Heading1"/>
      </w:pPr>
      <w:r>
        <w:t>Emission Projections</w:t>
      </w:r>
    </w:p>
    <w:p w14:paraId="2A6FA55A" w14:textId="12DBE742" w:rsidR="002B128D" w:rsidRDefault="00D06648" w:rsidP="002B128D">
      <w:r>
        <w:t xml:space="preserve">Figure S5 shows projections of Brazilian </w:t>
      </w:r>
      <w:r w:rsidR="007B46D3">
        <w:t xml:space="preserve">and Global </w:t>
      </w:r>
      <w:r w:rsidR="007B46D3" w:rsidRPr="007B46D3">
        <w:t>CO</w:t>
      </w:r>
      <w:r w:rsidR="007B46D3" w:rsidRPr="007B46D3">
        <w:rPr>
          <w:vertAlign w:val="subscript"/>
        </w:rPr>
        <w:t>2</w:t>
      </w:r>
      <w:r w:rsidR="007B46D3">
        <w:t xml:space="preserve"> </w:t>
      </w:r>
      <w:r w:rsidRPr="007B46D3">
        <w:t>emissions</w:t>
      </w:r>
      <w:r>
        <w:t xml:space="preserve"> for the </w:t>
      </w:r>
      <w:proofErr w:type="spellStart"/>
      <w:r>
        <w:t>Mitig</w:t>
      </w:r>
      <w:proofErr w:type="spellEnd"/>
      <w:r>
        <w:t xml:space="preserve">-Full scenario, </w:t>
      </w:r>
      <w:r w:rsidR="007B46D3">
        <w:t>disaggregated</w:t>
      </w:r>
      <w:r>
        <w:t xml:space="preserve"> across the </w:t>
      </w:r>
      <w:r w:rsidR="007B46D3">
        <w:t>E</w:t>
      </w:r>
      <w:r>
        <w:t>nergy and AFOLU sectors. Also shown are the total emissions (Energy</w:t>
      </w:r>
      <w:r w:rsidR="006D5B23">
        <w:t xml:space="preserve"> </w:t>
      </w:r>
      <w:r>
        <w:t>+</w:t>
      </w:r>
      <w:r w:rsidR="006D5B23">
        <w:t xml:space="preserve"> </w:t>
      </w:r>
      <w:r>
        <w:t xml:space="preserve">AFOLU). As shown, a plethora of emission strategies for Brazil are selected across models. The first cleavage across model strategies concerns the role of Brazil in global carbon budgets. As shown, BET, COFFEE, DNE21+, and POLES project Brazil to be a major provider of </w:t>
      </w:r>
      <w:r w:rsidR="006253B4">
        <w:t xml:space="preserve">CDR, supplying &gt;10% of the required global net negative emissions by 2100. GCAM also does this </w:t>
      </w:r>
      <w:r w:rsidR="007B46D3">
        <w:t xml:space="preserve">early on via </w:t>
      </w:r>
      <w:r w:rsidR="006253B4">
        <w:t xml:space="preserve">the AFOLU sector </w:t>
      </w:r>
      <w:r w:rsidR="007B46D3">
        <w:t xml:space="preserve">with </w:t>
      </w:r>
      <w:r w:rsidR="006253B4">
        <w:t>aggressive afforestation. Another set of models (AIM/CGE), FARM, GRAPE, IMACLIM-NLU, and IMAGE depend less on net negative emissions, and so Brazil also plays a less important role here.</w:t>
      </w:r>
    </w:p>
    <w:p w14:paraId="2ABE1252" w14:textId="60FA8BA7" w:rsidR="006253B4" w:rsidRDefault="006253B4" w:rsidP="002B128D">
      <w:r>
        <w:t xml:space="preserve">The second cleavage concerns the relative importance of </w:t>
      </w:r>
      <w:r w:rsidR="007B46D3">
        <w:t xml:space="preserve">the AFOLU and Energy sectors in the </w:t>
      </w:r>
      <w:r>
        <w:t xml:space="preserve">mitigation (and CDR) </w:t>
      </w:r>
      <w:r w:rsidR="007B46D3">
        <w:t xml:space="preserve">of </w:t>
      </w:r>
      <w:r w:rsidR="00E21CA7">
        <w:t>Brazil</w:t>
      </w:r>
      <w:r w:rsidR="007B46D3">
        <w:t>ian emissions</w:t>
      </w:r>
      <w:r>
        <w:t>. For BET, COFFEE, DNE</w:t>
      </w:r>
      <w:r w:rsidR="00E21CA7">
        <w:t>21+</w:t>
      </w:r>
      <w:r>
        <w:t>,</w:t>
      </w:r>
      <w:r w:rsidR="00E21CA7">
        <w:t xml:space="preserve"> GRAPE, and to a lesser extent IMAGE and FARM, the energy system is the primary purveyor of emission mitigation and net negative emissions. These are models which project a significant amount of BECCS. On the other hand, AIM/CGE, GCAM and POLES show the AFOLU sector to provide most of the emission mitigation for Brazil, via afforestation and agricultural intensification.</w:t>
      </w:r>
    </w:p>
    <w:p w14:paraId="2EF31E16" w14:textId="28139A84" w:rsidR="007B46D3" w:rsidRDefault="007B46D3" w:rsidP="002B128D">
      <w:r>
        <w:t xml:space="preserve">The differences across model strategies are a combination of bioenergy technology availability and the modelled AFOLU mitigation strategies (see table </w:t>
      </w:r>
      <w:r w:rsidR="00FB7D8C">
        <w:t>S1</w:t>
      </w:r>
      <w:r>
        <w:t>). Furthermore, global and regional mitigation strategies depend upon the complex interactions between the modelled availability and relative costs of different mitigation options (including bioenergy, other renewables, and efficiency improvement), constraints on the speed of energy system transition, and the relative demand of different energy services (see table 2, and Daioglou et al. (2020)).</w:t>
      </w:r>
    </w:p>
    <w:p w14:paraId="41DD69F1" w14:textId="728AC99C" w:rsidR="002B128D" w:rsidRDefault="002B128D" w:rsidP="002B128D"/>
    <w:p w14:paraId="5165631A" w14:textId="0DDA3D5B" w:rsidR="002B128D" w:rsidRDefault="00275ED8" w:rsidP="007B46D3">
      <w:pPr>
        <w:spacing w:after="0"/>
      </w:pPr>
      <w:r>
        <w:rPr>
          <w:noProof/>
        </w:rPr>
        <w:lastRenderedPageBreak/>
        <w:drawing>
          <wp:inline distT="0" distB="0" distL="0" distR="0" wp14:anchorId="72031746" wp14:editId="237A1B8F">
            <wp:extent cx="9086850" cy="4543425"/>
            <wp:effectExtent l="0" t="0" r="0" b="9525"/>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line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9093360" cy="4546680"/>
                    </a:xfrm>
                    <a:prstGeom prst="rect">
                      <a:avLst/>
                    </a:prstGeom>
                  </pic:spPr>
                </pic:pic>
              </a:graphicData>
            </a:graphic>
          </wp:inline>
        </w:drawing>
      </w:r>
    </w:p>
    <w:p w14:paraId="65CD0135" w14:textId="18DA8856" w:rsidR="002B128D" w:rsidRDefault="002B128D" w:rsidP="002B128D">
      <w:pPr>
        <w:pStyle w:val="Caption"/>
        <w:jc w:val="center"/>
      </w:pPr>
      <w:r>
        <w:t>Figure S</w:t>
      </w:r>
      <w:fldSimple w:instr=" SEQ Figure \* ARABIC ">
        <w:r>
          <w:rPr>
            <w:noProof/>
          </w:rPr>
          <w:t>5</w:t>
        </w:r>
      </w:fldSimple>
      <w:r>
        <w:t xml:space="preserve"> </w:t>
      </w:r>
      <w:r w:rsidR="00D06648">
        <w:t>–</w:t>
      </w:r>
      <w:r>
        <w:t xml:space="preserve"> </w:t>
      </w:r>
      <w:r w:rsidR="00D06648">
        <w:t xml:space="preserve">Projections of Brazilian </w:t>
      </w:r>
      <w:r w:rsidR="00AC347A">
        <w:t xml:space="preserve">and Global </w:t>
      </w:r>
      <w:r w:rsidR="00D06648">
        <w:t xml:space="preserve">emissions, </w:t>
      </w:r>
      <w:r w:rsidR="0027376A">
        <w:t>disaggregated</w:t>
      </w:r>
      <w:r w:rsidR="00D06648">
        <w:t xml:space="preserve"> across Energy and AFOLU, as well as their sum (Total) in the </w:t>
      </w:r>
      <w:proofErr w:type="spellStart"/>
      <w:r w:rsidR="00D06648">
        <w:t>Mitig</w:t>
      </w:r>
      <w:proofErr w:type="spellEnd"/>
      <w:r w:rsidR="00D06648">
        <w:t>-Full scenario.</w:t>
      </w:r>
      <w:r w:rsidR="00AC347A">
        <w:t xml:space="preserve"> </w:t>
      </w:r>
    </w:p>
    <w:p w14:paraId="068CC068" w14:textId="77777777" w:rsidR="002B128D" w:rsidRPr="002B128D" w:rsidRDefault="002B128D" w:rsidP="002B128D"/>
    <w:p w14:paraId="0BBDC277" w14:textId="64432609" w:rsidR="00716E6D" w:rsidRDefault="00DE3AF0" w:rsidP="003373EC">
      <w:pPr>
        <w:pStyle w:val="Heading1"/>
      </w:pPr>
      <w:r>
        <w:t xml:space="preserve">Yields </w:t>
      </w:r>
    </w:p>
    <w:p w14:paraId="4E16084D" w14:textId="77777777" w:rsidR="000A3B20" w:rsidRDefault="000A3B20" w:rsidP="000A3B20">
      <w:r w:rsidRPr="00C6159C">
        <w:t>Comparing agricultural yields in EMF</w:t>
      </w:r>
      <w:r>
        <w:t>-</w:t>
      </w:r>
      <w:r w:rsidRPr="00C6159C">
        <w:t xml:space="preserve">33 results to current trends and practices in Brazil is important to provide context and feasibility </w:t>
      </w:r>
      <w:r>
        <w:t xml:space="preserve">and implied technological improvement </w:t>
      </w:r>
      <w:r w:rsidRPr="00C6159C">
        <w:t>of the modelled scenarios</w:t>
      </w:r>
      <w:r>
        <w:t xml:space="preserve">. </w:t>
      </w:r>
      <w:r>
        <w:fldChar w:fldCharType="begin"/>
      </w:r>
      <w:r>
        <w:instrText xml:space="preserve"> REF _Ref495056956 \h </w:instrText>
      </w:r>
      <w:r>
        <w:fldChar w:fldCharType="separate"/>
      </w:r>
      <w:r>
        <w:t xml:space="preserve">Figure </w:t>
      </w:r>
      <w:r>
        <w:rPr>
          <w:noProof/>
        </w:rPr>
        <w:t>3</w:t>
      </w:r>
      <w:r>
        <w:fldChar w:fldCharType="end"/>
      </w:r>
      <w:r>
        <w:t xml:space="preserve"> </w:t>
      </w:r>
      <w:r w:rsidRPr="00D06EE2">
        <w:t xml:space="preserve">shows the range of agricultural yields among models in each </w:t>
      </w:r>
      <w:proofErr w:type="gramStart"/>
      <w:r w:rsidRPr="00D06EE2">
        <w:t>scenario, and</w:t>
      </w:r>
      <w:proofErr w:type="gramEnd"/>
      <w:r w:rsidRPr="00D06EE2">
        <w:t xml:space="preserve"> compares them to the </w:t>
      </w:r>
      <w:r>
        <w:t xml:space="preserve">historical </w:t>
      </w:r>
      <w:r w:rsidRPr="00D06EE2">
        <w:t>t</w:t>
      </w:r>
      <w:r>
        <w:t xml:space="preserve">ime series from </w:t>
      </w:r>
      <w:r w:rsidRPr="001E4312">
        <w:rPr>
          <w:noProof/>
        </w:rPr>
        <w:t>Conab</w:t>
      </w:r>
      <w:r>
        <w:rPr>
          <w:noProof/>
        </w:rPr>
        <w:t xml:space="preserve"> (</w:t>
      </w:r>
      <w:r w:rsidRPr="001E4312">
        <w:rPr>
          <w:noProof/>
        </w:rPr>
        <w:t>2017)</w:t>
      </w:r>
      <w:r>
        <w:t xml:space="preserve">. </w:t>
      </w:r>
    </w:p>
    <w:p w14:paraId="3E4954BB" w14:textId="77777777" w:rsidR="000A3B20" w:rsidRDefault="000A3B20" w:rsidP="000A3B20">
      <w:r>
        <w:t>Sugar and oil crops are of particular importance for bioenergy in Brazil because of sugarcane, for ethanol and bagasse bioelectricity, and of soy for biodiesel. Sugarcane is both the main sugar and the main energy crop</w:t>
      </w:r>
      <w:r w:rsidRPr="00434C0F">
        <w:t xml:space="preserve"> in Brazil</w:t>
      </w:r>
      <w:r>
        <w:t xml:space="preserve"> today</w:t>
      </w:r>
      <w:r w:rsidRPr="00434C0F">
        <w:t xml:space="preserve">. Sugarcane’s most valuable product is </w:t>
      </w:r>
      <w:r>
        <w:t>its</w:t>
      </w:r>
      <w:r w:rsidRPr="00434C0F">
        <w:t xml:space="preserve"> juice </w:t>
      </w:r>
      <w:r>
        <w:t>from which both sugar and 1</w:t>
      </w:r>
      <w:r w:rsidRPr="007E1E35">
        <w:rPr>
          <w:vertAlign w:val="superscript"/>
        </w:rPr>
        <w:t>st</w:t>
      </w:r>
      <w:r>
        <w:t xml:space="preserve"> generation ethanol are made. </w:t>
      </w:r>
      <w:r w:rsidRPr="00434C0F">
        <w:t xml:space="preserve">Average </w:t>
      </w:r>
      <w:r>
        <w:t xml:space="preserve">harvested </w:t>
      </w:r>
      <w:r w:rsidRPr="00434C0F">
        <w:t>sugarcane yields in Brazil today hover around 70 t/ha</w:t>
      </w:r>
      <w:r>
        <w:t>/</w:t>
      </w:r>
      <w:proofErr w:type="spellStart"/>
      <w:r>
        <w:t>yr</w:t>
      </w:r>
      <w:proofErr w:type="spellEnd"/>
      <w:r>
        <w:t xml:space="preserve"> </w:t>
      </w:r>
      <w:r w:rsidRPr="001E4312">
        <w:rPr>
          <w:noProof/>
        </w:rPr>
        <w:t>(Conab, 2017)</w:t>
      </w:r>
      <w:r w:rsidRPr="00434C0F">
        <w:t xml:space="preserve">, with some areas delivering higher values (up to 90 or 100 t/ha) and others lower. </w:t>
      </w:r>
      <w:r>
        <w:t xml:space="preserve">At the height of last decade’s sugarcane boom in 2005, one metric ton of sugarcane used for sugar production yielded on average 118 kg of sugar and 10 liters of ethanol according to EMBRAPA, the </w:t>
      </w:r>
      <w:r>
        <w:lastRenderedPageBreak/>
        <w:t>Brazilian Agricultural Research Corporation</w:t>
      </w:r>
      <w:r w:rsidRPr="0092528A">
        <w:rPr>
          <w:rStyle w:val="FootnoteReference"/>
        </w:rPr>
        <w:footnoteReference w:id="7"/>
      </w:r>
      <w:r>
        <w:t xml:space="preserve">. The historical </w:t>
      </w:r>
      <w:proofErr w:type="spellStart"/>
      <w:r>
        <w:t>Sugarcrops</w:t>
      </w:r>
      <w:proofErr w:type="spellEnd"/>
      <w:r>
        <w:t xml:space="preserve"> yield shown is the product of this sugar yield per </w:t>
      </w:r>
      <w:proofErr w:type="spellStart"/>
      <w:r>
        <w:t>tonne</w:t>
      </w:r>
      <w:proofErr w:type="spellEnd"/>
      <w:r>
        <w:t xml:space="preserve"> of cane and the agricultural sugarcane yield. </w:t>
      </w:r>
    </w:p>
    <w:p w14:paraId="1E444CD9" w14:textId="1D0D5EBD" w:rsidR="000A3B20" w:rsidRDefault="000A3B20" w:rsidP="000A3B20">
      <w:r>
        <w:t>Historical oil crop yield shown is for soybeans. Model 2010 yields are below historical Brazilian soybean yields, with a long-term trend that generally follows the historical yield improvement curve, even as modelled yields</w:t>
      </w:r>
      <w:r w:rsidRPr="00EC3B81">
        <w:t xml:space="preserve"> </w:t>
      </w:r>
      <w:r>
        <w:t xml:space="preserve">are below observed near-term values. </w:t>
      </w:r>
    </w:p>
    <w:p w14:paraId="37BE20B2" w14:textId="77777777" w:rsidR="000A3B20" w:rsidRDefault="000A3B20" w:rsidP="000A3B20">
      <w:pPr>
        <w:jc w:val="center"/>
      </w:pPr>
      <w:r>
        <w:rPr>
          <w:noProof/>
        </w:rPr>
        <w:drawing>
          <wp:inline distT="0" distB="0" distL="0" distR="0" wp14:anchorId="5A5AF855" wp14:editId="6EF5C831">
            <wp:extent cx="5334000" cy="4444999"/>
            <wp:effectExtent l="0" t="0" r="0" b="0"/>
            <wp:docPr id="5" name="Picture" descr="Fig 4 - Yields in Brazil across models (excluding COFFEE)"/>
            <wp:cNvGraphicFramePr/>
            <a:graphic xmlns:a="http://schemas.openxmlformats.org/drawingml/2006/main">
              <a:graphicData uri="http://schemas.openxmlformats.org/drawingml/2006/picture">
                <pic:pic xmlns:pic="http://schemas.openxmlformats.org/drawingml/2006/picture">
                  <pic:nvPicPr>
                    <pic:cNvPr id="0" name="Picture" descr="outputs/EMF33_BrazilPaper_Figures_FINAL_lo_files/figure-docx/unnamed-chunk-8-1.png"/>
                    <pic:cNvPicPr>
                      <a:picLocks noChangeAspect="1" noChangeArrowheads="1"/>
                    </pic:cNvPicPr>
                  </pic:nvPicPr>
                  <pic:blipFill>
                    <a:blip r:embed="rId13"/>
                    <a:stretch>
                      <a:fillRect/>
                    </a:stretch>
                  </pic:blipFill>
                  <pic:spPr bwMode="auto">
                    <a:xfrm>
                      <a:off x="0" y="0"/>
                      <a:ext cx="5334000" cy="4444999"/>
                    </a:xfrm>
                    <a:prstGeom prst="rect">
                      <a:avLst/>
                    </a:prstGeom>
                    <a:noFill/>
                    <a:ln w="9525">
                      <a:noFill/>
                      <a:headEnd/>
                      <a:tailEnd/>
                    </a:ln>
                  </pic:spPr>
                </pic:pic>
              </a:graphicData>
            </a:graphic>
          </wp:inline>
        </w:drawing>
      </w:r>
    </w:p>
    <w:p w14:paraId="13F92DED" w14:textId="68BAAD33" w:rsidR="000A3B20" w:rsidRDefault="000A3B20" w:rsidP="000A3B20">
      <w:pPr>
        <w:jc w:val="center"/>
        <w:rPr>
          <w:i/>
          <w:iCs/>
          <w:color w:val="44546A" w:themeColor="text2"/>
          <w:sz w:val="18"/>
          <w:szCs w:val="18"/>
        </w:rPr>
      </w:pPr>
      <w:r w:rsidRPr="002030F3">
        <w:rPr>
          <w:i/>
          <w:iCs/>
          <w:color w:val="44546A" w:themeColor="text2"/>
          <w:sz w:val="18"/>
          <w:szCs w:val="18"/>
        </w:rPr>
        <w:t xml:space="preserve">Figure </w:t>
      </w:r>
      <w:r w:rsidR="006F2F61">
        <w:rPr>
          <w:i/>
          <w:iCs/>
          <w:color w:val="44546A" w:themeColor="text2"/>
          <w:sz w:val="18"/>
          <w:szCs w:val="18"/>
        </w:rPr>
        <w:t>S</w:t>
      </w:r>
      <w:r w:rsidRPr="002030F3">
        <w:rPr>
          <w:i/>
          <w:iCs/>
          <w:noProof/>
          <w:color w:val="44546A" w:themeColor="text2"/>
          <w:sz w:val="18"/>
          <w:szCs w:val="18"/>
        </w:rPr>
        <w:fldChar w:fldCharType="begin"/>
      </w:r>
      <w:r w:rsidRPr="002030F3">
        <w:rPr>
          <w:i/>
          <w:iCs/>
          <w:noProof/>
          <w:color w:val="44546A" w:themeColor="text2"/>
          <w:sz w:val="18"/>
          <w:szCs w:val="18"/>
        </w:rPr>
        <w:instrText xml:space="preserve"> SEQ Figure \* ARABIC </w:instrText>
      </w:r>
      <w:r w:rsidRPr="002030F3">
        <w:rPr>
          <w:i/>
          <w:iCs/>
          <w:noProof/>
          <w:color w:val="44546A" w:themeColor="text2"/>
          <w:sz w:val="18"/>
          <w:szCs w:val="18"/>
        </w:rPr>
        <w:fldChar w:fldCharType="separate"/>
      </w:r>
      <w:r w:rsidR="006F2F61">
        <w:rPr>
          <w:i/>
          <w:iCs/>
          <w:noProof/>
          <w:color w:val="44546A" w:themeColor="text2"/>
          <w:sz w:val="18"/>
          <w:szCs w:val="18"/>
        </w:rPr>
        <w:t>6</w:t>
      </w:r>
      <w:r w:rsidRPr="002030F3">
        <w:rPr>
          <w:i/>
          <w:iCs/>
          <w:noProof/>
          <w:color w:val="44546A" w:themeColor="text2"/>
          <w:sz w:val="18"/>
          <w:szCs w:val="18"/>
        </w:rPr>
        <w:fldChar w:fldCharType="end"/>
      </w:r>
      <w:r w:rsidRPr="002030F3">
        <w:rPr>
          <w:i/>
          <w:iCs/>
          <w:color w:val="44546A" w:themeColor="text2"/>
          <w:sz w:val="18"/>
          <w:szCs w:val="18"/>
        </w:rPr>
        <w:t xml:space="preserve"> – Agricultural yields in Brazil: historical (black line), shows soy for </w:t>
      </w:r>
      <w:proofErr w:type="spellStart"/>
      <w:r w:rsidRPr="002030F3">
        <w:rPr>
          <w:i/>
          <w:iCs/>
          <w:color w:val="44546A" w:themeColor="text2"/>
          <w:sz w:val="18"/>
          <w:szCs w:val="18"/>
        </w:rPr>
        <w:t>Oilcrops</w:t>
      </w:r>
      <w:proofErr w:type="spellEnd"/>
      <w:r w:rsidRPr="002030F3">
        <w:rPr>
          <w:i/>
          <w:iCs/>
          <w:color w:val="44546A" w:themeColor="text2"/>
          <w:sz w:val="18"/>
          <w:szCs w:val="18"/>
        </w:rPr>
        <w:t xml:space="preserve">, sugarcane sucrose yield for </w:t>
      </w:r>
      <w:proofErr w:type="spellStart"/>
      <w:r w:rsidRPr="002030F3">
        <w:rPr>
          <w:i/>
          <w:iCs/>
          <w:color w:val="44546A" w:themeColor="text2"/>
          <w:sz w:val="18"/>
          <w:szCs w:val="18"/>
        </w:rPr>
        <w:t>Sugarcrops</w:t>
      </w:r>
      <w:proofErr w:type="spellEnd"/>
      <w:r w:rsidRPr="002030F3">
        <w:rPr>
          <w:i/>
          <w:iCs/>
          <w:color w:val="44546A" w:themeColor="text2"/>
          <w:sz w:val="18"/>
          <w:szCs w:val="18"/>
        </w:rPr>
        <w:t>, a basket of grains for Cereal. There is virtually no historical production for lignocellulosic energy crops in Brazil to date, with all bioenergy coming from sugarcane, oil crops and residues.</w:t>
      </w:r>
      <w:r w:rsidRPr="002030F3">
        <w:rPr>
          <w:i/>
          <w:iCs/>
          <w:color w:val="44546A" w:themeColor="text2"/>
          <w:sz w:val="18"/>
          <w:szCs w:val="18"/>
        </w:rPr>
        <w:br/>
        <w:t xml:space="preserve">COFFEE model reports </w:t>
      </w:r>
      <w:proofErr w:type="spellStart"/>
      <w:r w:rsidRPr="002030F3">
        <w:rPr>
          <w:i/>
          <w:iCs/>
          <w:color w:val="44546A" w:themeColor="text2"/>
          <w:sz w:val="18"/>
          <w:szCs w:val="18"/>
        </w:rPr>
        <w:t>Sugarcrops</w:t>
      </w:r>
      <w:proofErr w:type="spellEnd"/>
      <w:r w:rsidRPr="002030F3">
        <w:rPr>
          <w:i/>
          <w:iCs/>
          <w:color w:val="44546A" w:themeColor="text2"/>
          <w:sz w:val="18"/>
          <w:szCs w:val="18"/>
        </w:rPr>
        <w:t xml:space="preserve"> in fresh cut cane t/ha, and was converted to </w:t>
      </w:r>
      <w:proofErr w:type="spellStart"/>
      <w:r w:rsidRPr="002030F3">
        <w:rPr>
          <w:i/>
          <w:iCs/>
          <w:color w:val="44546A" w:themeColor="text2"/>
          <w:sz w:val="18"/>
          <w:szCs w:val="18"/>
        </w:rPr>
        <w:t>tDM</w:t>
      </w:r>
      <w:proofErr w:type="spellEnd"/>
      <w:r w:rsidRPr="002030F3">
        <w:rPr>
          <w:i/>
          <w:iCs/>
          <w:color w:val="44546A" w:themeColor="text2"/>
          <w:sz w:val="18"/>
          <w:szCs w:val="18"/>
        </w:rPr>
        <w:t xml:space="preserve">/ha assuming only 80% of fresh cut cane weight reaches the mill as dry matter (straw left on field = 30%, stalk water content ~50%  (Liu and </w:t>
      </w:r>
      <w:proofErr w:type="spellStart"/>
      <w:r w:rsidRPr="002030F3">
        <w:rPr>
          <w:i/>
          <w:iCs/>
          <w:color w:val="44546A" w:themeColor="text2"/>
          <w:sz w:val="18"/>
          <w:szCs w:val="18"/>
        </w:rPr>
        <w:t>Helyar</w:t>
      </w:r>
      <w:proofErr w:type="spellEnd"/>
      <w:r w:rsidRPr="002030F3">
        <w:rPr>
          <w:i/>
          <w:iCs/>
          <w:color w:val="44546A" w:themeColor="text2"/>
          <w:sz w:val="18"/>
          <w:szCs w:val="18"/>
        </w:rPr>
        <w:t xml:space="preserve">, 2003). . IMAGE reports also </w:t>
      </w:r>
      <w:proofErr w:type="spellStart"/>
      <w:r w:rsidRPr="002030F3">
        <w:rPr>
          <w:i/>
          <w:iCs/>
          <w:color w:val="44546A" w:themeColor="text2"/>
          <w:sz w:val="18"/>
          <w:szCs w:val="18"/>
        </w:rPr>
        <w:t>Sugarcrops</w:t>
      </w:r>
      <w:proofErr w:type="spellEnd"/>
      <w:r w:rsidRPr="002030F3">
        <w:rPr>
          <w:i/>
          <w:iCs/>
          <w:color w:val="44546A" w:themeColor="text2"/>
          <w:sz w:val="18"/>
          <w:szCs w:val="18"/>
        </w:rPr>
        <w:t xml:space="preserve"> in fresh cut cane (t/ha) and assumes a moisture content of 72%.</w:t>
      </w:r>
      <w:r w:rsidRPr="002030F3">
        <w:rPr>
          <w:i/>
          <w:iCs/>
          <w:color w:val="44546A" w:themeColor="text2"/>
          <w:sz w:val="18"/>
          <w:szCs w:val="18"/>
        </w:rPr>
        <w:br/>
        <w:t xml:space="preserve">Source: Historical data from </w:t>
      </w:r>
      <w:proofErr w:type="spellStart"/>
      <w:r w:rsidRPr="002030F3">
        <w:rPr>
          <w:i/>
          <w:iCs/>
          <w:color w:val="44546A" w:themeColor="text2"/>
          <w:sz w:val="18"/>
          <w:szCs w:val="18"/>
        </w:rPr>
        <w:t>Conab</w:t>
      </w:r>
      <w:proofErr w:type="spellEnd"/>
      <w:r w:rsidRPr="002030F3">
        <w:rPr>
          <w:i/>
          <w:iCs/>
          <w:color w:val="44546A" w:themeColor="text2"/>
          <w:sz w:val="18"/>
          <w:szCs w:val="18"/>
        </w:rPr>
        <w:t xml:space="preserve"> (2017)</w:t>
      </w:r>
      <w:r>
        <w:rPr>
          <w:i/>
          <w:iCs/>
          <w:color w:val="44546A" w:themeColor="text2"/>
          <w:sz w:val="18"/>
          <w:szCs w:val="18"/>
        </w:rPr>
        <w:t>.</w:t>
      </w:r>
    </w:p>
    <w:p w14:paraId="596387BB" w14:textId="77777777" w:rsidR="000A3B20" w:rsidRDefault="000A3B20" w:rsidP="000A3B20"/>
    <w:p w14:paraId="3D44DC2D" w14:textId="77777777" w:rsidR="000A3B20" w:rsidRDefault="000A3B20" w:rsidP="000A3B20">
      <w:pPr>
        <w:jc w:val="center"/>
      </w:pPr>
    </w:p>
    <w:p w14:paraId="6E70006B" w14:textId="5C93624E" w:rsidR="000A3B20" w:rsidRDefault="000A3B20" w:rsidP="000A3B20">
      <w:r>
        <w:lastRenderedPageBreak/>
        <w:t xml:space="preserve">Historical cereal yields shown reflect a basket comprised of maize, rice, </w:t>
      </w:r>
      <w:proofErr w:type="gramStart"/>
      <w:r>
        <w:t>wheat</w:t>
      </w:r>
      <w:proofErr w:type="gramEnd"/>
      <w:r>
        <w:t xml:space="preserve"> and sorghum. The cereal</w:t>
      </w:r>
      <w:r w:rsidRPr="00D06EE2">
        <w:t xml:space="preserve"> yield</w:t>
      </w:r>
      <w:r>
        <w:t>s of the models</w:t>
      </w:r>
      <w:r w:rsidRPr="00D06EE2">
        <w:t xml:space="preserve"> are in line with </w:t>
      </w:r>
      <w:r>
        <w:t>historical yields</w:t>
      </w:r>
      <w:r w:rsidRPr="00D06EE2">
        <w:t xml:space="preserve"> in 2010, but then </w:t>
      </w:r>
      <w:proofErr w:type="gramStart"/>
      <w:r w:rsidRPr="00D06EE2">
        <w:t>lag behind</w:t>
      </w:r>
      <w:proofErr w:type="gramEnd"/>
      <w:r w:rsidRPr="00D06EE2">
        <w:t xml:space="preserve"> improvements that happened in the country in </w:t>
      </w:r>
      <w:r>
        <w:t>recent</w:t>
      </w:r>
      <w:r w:rsidRPr="00D06EE2">
        <w:t xml:space="preserve"> years. Brazilian cereal yield gains have been driven mostly by maize</w:t>
      </w:r>
      <w:r>
        <w:t xml:space="preserve"> and rice</w:t>
      </w:r>
      <w:r w:rsidRPr="00D06EE2">
        <w:t xml:space="preserve">, which </w:t>
      </w:r>
      <w:r>
        <w:t>have</w:t>
      </w:r>
      <w:r w:rsidRPr="00D06EE2">
        <w:t xml:space="preserve"> made </w:t>
      </w:r>
      <w:r>
        <w:t>steady gains in the last decades</w:t>
      </w:r>
      <w:r w:rsidRPr="00D06EE2">
        <w:t xml:space="preserve"> </w:t>
      </w:r>
      <w:r>
        <w:t>(Figure S</w:t>
      </w:r>
      <w:r w:rsidR="003373EC">
        <w:t>7</w:t>
      </w:r>
      <w:r>
        <w:t xml:space="preserve">) </w:t>
      </w:r>
      <w:r w:rsidRPr="00D06EE2">
        <w:t>thanks to improved management techniques and cultivars</w:t>
      </w:r>
      <w:r>
        <w:t>. For maize,</w:t>
      </w:r>
      <w:r w:rsidRPr="00D06EE2">
        <w:t xml:space="preserve"> the expansion of double-cropping</w:t>
      </w:r>
      <w:r>
        <w:t>,</w:t>
      </w:r>
      <w:r w:rsidRPr="00D06EE2">
        <w:t xml:space="preserve"> where two</w:t>
      </w:r>
      <w:r>
        <w:t xml:space="preserve"> or three annual</w:t>
      </w:r>
      <w:r w:rsidRPr="00D06EE2">
        <w:t xml:space="preserve"> harvests are extracted from the same piece of land</w:t>
      </w:r>
      <w:r>
        <w:t xml:space="preserve">, have increased production while reducing expansion of planted area </w:t>
      </w:r>
      <w:r w:rsidRPr="007E44BD">
        <w:rPr>
          <w:noProof/>
        </w:rPr>
        <w:t>(Conab, 2017)</w:t>
      </w:r>
      <w:r w:rsidRPr="00D06EE2">
        <w:t xml:space="preserve">. </w:t>
      </w:r>
    </w:p>
    <w:p w14:paraId="59CCFE6F" w14:textId="1D2F2FF1" w:rsidR="000A3B20" w:rsidRDefault="000A3B20" w:rsidP="000A3B20">
      <w:r>
        <w:t xml:space="preserve">Figure </w:t>
      </w:r>
      <w:r w:rsidR="003373EC">
        <w:t>S6</w:t>
      </w:r>
      <w:r>
        <w:t xml:space="preserve"> shows yield growth for Brazil across models and scenarios. </w:t>
      </w:r>
      <w:r w:rsidRPr="00D06EE2">
        <w:t>In general, models show growing yields over the course of the century</w:t>
      </w:r>
      <w:r>
        <w:t>, for the Brazil region. In the Baseline scenario, models</w:t>
      </w:r>
      <w:r w:rsidRPr="0092528A">
        <w:rPr>
          <w:rStyle w:val="FootnoteReference"/>
        </w:rPr>
        <w:footnoteReference w:id="8"/>
      </w:r>
      <w:r>
        <w:t xml:space="preserve"> project wide ranges for yield improvements of different crop types. The general trend across models is for yield improvements to intensify for mitigation scenarios compared to Baseline, which alleviates pressure for agricultural land expansion. </w:t>
      </w:r>
    </w:p>
    <w:p w14:paraId="2849C204" w14:textId="77777777" w:rsidR="000A3B20" w:rsidRDefault="000A3B20" w:rsidP="000A3B20">
      <w:r>
        <w:t xml:space="preserve">These cumulative improvements imply higher annual growth rates before 2050 then levelling off in the second half of the century. All models exhibit increased annual yield growth rates in the </w:t>
      </w:r>
      <w:proofErr w:type="spellStart"/>
      <w:r>
        <w:t>Mitig</w:t>
      </w:r>
      <w:proofErr w:type="spellEnd"/>
      <w:r>
        <w:t xml:space="preserve">-Full scenario. </w:t>
      </w:r>
      <w:r w:rsidRPr="00915D91">
        <w:t>Crop</w:t>
      </w:r>
      <w:r w:rsidRPr="00CC5C20">
        <w:t xml:space="preserve"> yield</w:t>
      </w:r>
      <w:r>
        <w:t>s</w:t>
      </w:r>
      <w:r w:rsidRPr="00CC5C20">
        <w:t xml:space="preserve"> </w:t>
      </w:r>
      <w:r>
        <w:t xml:space="preserve">shown </w:t>
      </w:r>
      <w:r w:rsidRPr="00CC5C20">
        <w:t xml:space="preserve">for the IMACLIM-NLU model corresponds to a </w:t>
      </w:r>
      <w:r>
        <w:t>crop mix</w:t>
      </w:r>
      <w:r w:rsidRPr="00CC5C20">
        <w:t xml:space="preserve"> </w:t>
      </w:r>
      <w:r>
        <w:t xml:space="preserve">between cereal and </w:t>
      </w:r>
      <w:r w:rsidRPr="00CC5C20">
        <w:t>legum</w:t>
      </w:r>
      <w:r>
        <w:t>inous crops (yields are conventionally reported in the cereal category).</w:t>
      </w:r>
      <w:r w:rsidRPr="00CC5C20">
        <w:t xml:space="preserve"> </w:t>
      </w:r>
      <w:r>
        <w:t>This</w:t>
      </w:r>
      <w:r w:rsidRPr="00CC5C20">
        <w:t xml:space="preserve"> explains its lower level compared to the yields currently observed. From 2050 onwards, the yield tends to decrease</w:t>
      </w:r>
      <w:r>
        <w:t xml:space="preserve"> because of the </w:t>
      </w:r>
      <w:r w:rsidRPr="00CC5C20">
        <w:t xml:space="preserve">competition on </w:t>
      </w:r>
      <w:r>
        <w:t>land between food and bioenergy which pushed back</w:t>
      </w:r>
      <w:r w:rsidRPr="00CC5C20">
        <w:t xml:space="preserve"> to lower quality land.</w:t>
      </w:r>
    </w:p>
    <w:p w14:paraId="30A4D731" w14:textId="2D3D2B85" w:rsidR="000A3B20" w:rsidRDefault="000A3B20" w:rsidP="000A3B20">
      <w:r w:rsidRPr="00724BA7">
        <w:t xml:space="preserve">It is important to note that crop </w:t>
      </w:r>
      <w:r w:rsidR="00790812" w:rsidRPr="00724BA7">
        <w:t>characterization</w:t>
      </w:r>
      <w:r w:rsidRPr="00724BA7">
        <w:t xml:space="preserve"> for each crop group may differ between models. </w:t>
      </w:r>
      <w:r>
        <w:t>I</w:t>
      </w:r>
      <w:r w:rsidRPr="00DA0900">
        <w:t>t is not clear what exact crops the models represent</w:t>
      </w:r>
      <w:r>
        <w:t xml:space="preserve"> in each region under the three categories</w:t>
      </w:r>
      <w:r w:rsidRPr="00DA0900">
        <w:t>. For example</w:t>
      </w:r>
      <w:r>
        <w:t>,</w:t>
      </w:r>
      <w:r w:rsidRPr="00DA0900">
        <w:t xml:space="preserve"> IMAGE use</w:t>
      </w:r>
      <w:r>
        <w:t>s</w:t>
      </w:r>
      <w:r w:rsidRPr="00DA0900">
        <w:t xml:space="preserve"> the concept of "plant functional types" where a single crop per biome represent</w:t>
      </w:r>
      <w:r>
        <w:t>s a</w:t>
      </w:r>
      <w:r w:rsidRPr="00DA0900">
        <w:t xml:space="preserve"> category. So, for </w:t>
      </w:r>
      <w:proofErr w:type="spellStart"/>
      <w:r w:rsidRPr="000C75EB">
        <w:rPr>
          <w:i/>
          <w:iCs/>
        </w:rPr>
        <w:t>oilcrops</w:t>
      </w:r>
      <w:proofErr w:type="spellEnd"/>
      <w:r w:rsidRPr="00DA0900">
        <w:t xml:space="preserve"> in </w:t>
      </w:r>
      <w:r>
        <w:t>B</w:t>
      </w:r>
      <w:r w:rsidRPr="00DA0900">
        <w:t xml:space="preserve">razil it is soybean (but in </w:t>
      </w:r>
      <w:r>
        <w:t>I</w:t>
      </w:r>
      <w:r w:rsidRPr="00DA0900">
        <w:t>ndonesia it would be palm).</w:t>
      </w:r>
    </w:p>
    <w:p w14:paraId="1FEFB1A2" w14:textId="3EE02E12" w:rsidR="000A3B20" w:rsidRDefault="000A3B20" w:rsidP="003373EC">
      <w:r>
        <w:t>Declines in h</w:t>
      </w:r>
      <w:r w:rsidRPr="006A699C">
        <w:t xml:space="preserve">istorical </w:t>
      </w:r>
      <w:r>
        <w:t xml:space="preserve">sugarcane production </w:t>
      </w:r>
      <w:r w:rsidRPr="006A699C">
        <w:t>yield</w:t>
      </w:r>
      <w:r>
        <w:t>s</w:t>
      </w:r>
      <w:r w:rsidRPr="006A699C">
        <w:t xml:space="preserve"> </w:t>
      </w:r>
      <w:r>
        <w:t>seen around 2010 are</w:t>
      </w:r>
      <w:r w:rsidRPr="006A699C">
        <w:t xml:space="preserve"> caused by recent</w:t>
      </w:r>
      <w:r>
        <w:t xml:space="preserve"> </w:t>
      </w:r>
      <w:r w:rsidRPr="006A699C">
        <w:t>trend</w:t>
      </w:r>
      <w:r>
        <w:t>s</w:t>
      </w:r>
      <w:r w:rsidRPr="006A699C">
        <w:t xml:space="preserve"> in the sugarcane industry, </w:t>
      </w:r>
      <w:r>
        <w:t>with</w:t>
      </w:r>
      <w:r w:rsidRPr="006A699C">
        <w:t xml:space="preserve"> a loss in </w:t>
      </w:r>
      <w:r>
        <w:t xml:space="preserve">agricultural </w:t>
      </w:r>
      <w:r w:rsidRPr="006A699C">
        <w:t>productivity due to lack of investments in the field. Sugarcane is a semi-perennial crop that needs to be replanted every six to seven years to keep productivity levels high.</w:t>
      </w:r>
      <w:r w:rsidRPr="00724BA7">
        <w:t xml:space="preserve"> IAMs do not generally </w:t>
      </w:r>
      <w:proofErr w:type="gramStart"/>
      <w:r w:rsidRPr="00724BA7">
        <w:t>take into account</w:t>
      </w:r>
      <w:proofErr w:type="gramEnd"/>
      <w:r w:rsidRPr="00724BA7">
        <w:t xml:space="preserve"> such dynamics and h</w:t>
      </w:r>
      <w:r>
        <w:t>ad it not been for this decline, models would be in line with base 2010 yields for sugar crops. IMAGE projections towards 2100 imply sugarcane yields above 200 t/ha (implied compounded growth of 0.77%), which would require significant technological progress as it is about twice the 100 t/ha seen as the aspiring standard of commercial large-scale sugarcane yields in Brazil today.</w:t>
      </w:r>
    </w:p>
    <w:p w14:paraId="0F96CFC1" w14:textId="77777777" w:rsidR="000A3B20" w:rsidRDefault="000A3B20" w:rsidP="003373EC"/>
    <w:p w14:paraId="2F4817CD" w14:textId="77777777" w:rsidR="000A3B20" w:rsidRDefault="000A3B20" w:rsidP="00EC2FD2">
      <w:pPr>
        <w:keepNext/>
        <w:jc w:val="center"/>
      </w:pPr>
    </w:p>
    <w:p w14:paraId="70314A22" w14:textId="77777777" w:rsidR="000A3B20" w:rsidRDefault="000A3B20" w:rsidP="00EC2FD2">
      <w:pPr>
        <w:keepNext/>
        <w:jc w:val="center"/>
      </w:pPr>
    </w:p>
    <w:p w14:paraId="240A1BA7" w14:textId="7BC5D961" w:rsidR="00EC2FD2" w:rsidRDefault="00EC2FD2" w:rsidP="00EC2FD2">
      <w:pPr>
        <w:keepNext/>
        <w:jc w:val="center"/>
      </w:pPr>
      <w:r>
        <w:rPr>
          <w:noProof/>
          <w:lang w:val="fr-FR" w:eastAsia="fr-FR"/>
        </w:rPr>
        <w:drawing>
          <wp:inline distT="0" distB="0" distL="0" distR="0" wp14:anchorId="32214F10" wp14:editId="0EE30D5A">
            <wp:extent cx="3834245" cy="2036618"/>
            <wp:effectExtent l="0" t="0" r="13970" b="1905"/>
            <wp:docPr id="17" name="Chart 17">
              <a:extLst xmlns:a="http://schemas.openxmlformats.org/drawingml/2006/main">
                <a:ext uri="{FF2B5EF4-FFF2-40B4-BE49-F238E27FC236}">
                  <a16:creationId xmlns:a16="http://schemas.microsoft.com/office/drawing/2014/main" id="{8ECD8BCE-9118-4C5B-883A-F9ACBCD5A8D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2D3A278" w14:textId="0D4F1E0B" w:rsidR="00EC2FD2" w:rsidRDefault="00EC2FD2" w:rsidP="00EC2FD2">
      <w:pPr>
        <w:pStyle w:val="Caption"/>
        <w:jc w:val="center"/>
      </w:pPr>
      <w:bookmarkStart w:id="3" w:name="_Ref495391367"/>
      <w:r>
        <w:t>Figure S</w:t>
      </w:r>
      <w:r w:rsidR="008A1875">
        <w:fldChar w:fldCharType="begin"/>
      </w:r>
      <w:r w:rsidR="008A1875">
        <w:instrText xml:space="preserve"> SEQ Figure \* ARABIC </w:instrText>
      </w:r>
      <w:r w:rsidR="008A1875">
        <w:fldChar w:fldCharType="separate"/>
      </w:r>
      <w:r w:rsidR="006F2F61">
        <w:rPr>
          <w:noProof/>
        </w:rPr>
        <w:t>7</w:t>
      </w:r>
      <w:r w:rsidR="008A1875">
        <w:rPr>
          <w:noProof/>
        </w:rPr>
        <w:fldChar w:fldCharType="end"/>
      </w:r>
      <w:bookmarkEnd w:id="3"/>
      <w:r>
        <w:t xml:space="preserve"> - </w:t>
      </w:r>
      <w:r w:rsidRPr="00196E50">
        <w:t>Historical yields of selected cereals in representative basket</w:t>
      </w:r>
      <w:r>
        <w:br/>
        <w:t xml:space="preserve">Source: constructed by the authors with data from </w:t>
      </w:r>
      <w:proofErr w:type="spellStart"/>
      <w:r>
        <w:t>Conab</w:t>
      </w:r>
      <w:proofErr w:type="spellEnd"/>
      <w:r>
        <w:t xml:space="preserve"> (2015)</w:t>
      </w:r>
    </w:p>
    <w:p w14:paraId="7C0CB666" w14:textId="4E52FD65" w:rsidR="00EC2FD2" w:rsidRDefault="00BC5CC0" w:rsidP="00EC2FD2">
      <w:r>
        <w:t xml:space="preserve">The Food and Agriculture Organization (FAO) </w:t>
      </w:r>
      <w:r>
        <w:fldChar w:fldCharType="begin" w:fldLock="1"/>
      </w:r>
      <w:r>
        <w:instrText>ADDIN CSL_CITATION {"citationItems":[{"id":"ITEM-1","itemData":{"DOI":"10.1016/S0264-8377(03)00047-4","ISBN":"9781844070077","ISSN":"02648377","PMID":"13463888","abstract":"This paper is a re-make of Chapters 1-3 of the Interim Report World Agriculture: towards 2030/2050 (FAO, 2006). In addition, this new paper includes a Chapter 4 on production factors (land, water, yields, fertilizers). Revised and more recent data have been used as basis for the new projections, as follows: (a) updated historical data from the Food Balance Sheets 1961-2007 as of June 2010; (b) undernourishment estimates from The State of Food Insecurity in the World 2010 (SOFI) and related new parameters (CVs, minimum daily energy requirements) are used in the projections; (c) new population data and projections from the UN World Population Prospects - Revision of 2008; (d) new GDP data and projections from the World Bank; (e) anew base year of 2005/07 (the previous edition used the base year 1999/01); (f) updated estimates of land resources from the new evaluation of the Global Agro-ecological Zones (GAEZ) study of FAO and IIASA; (g) updated estimates of existing irrigation, renewable water resources and potentials for irrigation expansion; and (h) changes in the text as required by the new historical data and projections. Like the interim report, this re-make does not include projections for the Fisheries and Forestry sectors. Calories from fish are, however, included, in the food consumption projections, along with those from other commodities (e.g. spices) not analysed individually; and estimates of land under forest and in protected areas from the GAEZ are taken into account and excluded from the estimates of land areas suitable for crop production into which agriculture could expand in the future. The projections presented reflect the magnitudes and trajectories we estimate the major food and agriculture variables may assume in the future; they are not meant to reflect how these variables may be required to evolve in the future in order to achieve some normative objective, e.g. ensure food security for all, eliminate undernourishment or reduce it to any given desired level, or avoid food overconsumption leading to obesity and related Non-Communicable Diseases.","author":[{"dropping-particle":"","family":"Alexandratos","given":"Nikos","non-dropping-particle":"","parse-names":false,"suffix":""},{"dropping-particle":"","family":"Bruinsma","given":"Jelle","non-dropping-particle":"","parse-names":false,"suffix":""}],"container-title":"Food and Agriculture Organization of the United Nations","id":"ITEM-1","issue":"12","issued":{"date-parts":[["2012"]]},"number-of-pages":"146","publisher-place":"Rome, Italy: United Nations Food and Agriculture Organization (FAO)","title":"WORLD AGRICULTURE TOWARDS 2030 / 2050 The 2012 Revision","type":"book"},"uris":["http://www.mendeley.com/documents/?uuid=fa791f0b-df9e-4586-8593-ee36fa9c260e"]}],"mendeley":{"formattedCitation":"(Alexandratos &amp; Bruinsma, 2012)","plainTextFormattedCitation":"(Alexandratos &amp; Bruinsma, 2012)","previouslyFormattedCitation":"(Alexandratos &amp; Bruinsma, 2012)"},"properties":{"noteIndex":0},"schema":"https://github.com/citation-style-language/schema/raw/master/csl-citation.json"}</w:instrText>
      </w:r>
      <w:r>
        <w:fldChar w:fldCharType="separate"/>
      </w:r>
      <w:r w:rsidRPr="00D56F9C">
        <w:rPr>
          <w:noProof/>
        </w:rPr>
        <w:t>(Alexandratos &amp; Bruinsma, 2012)</w:t>
      </w:r>
      <w:r>
        <w:fldChar w:fldCharType="end"/>
      </w:r>
      <w:r>
        <w:t xml:space="preserve"> projects agricultural yields to continue improving in developing countries through 2050 at an annual rate of, for example, 0.84% for cereals. Such sustained agricultural yield improvements are a contested issue. Although the green revolution led food production to outpace demand since the 1970s, </w:t>
      </w:r>
      <w:r>
        <w:fldChar w:fldCharType="begin" w:fldLock="1"/>
      </w:r>
      <w:r>
        <w:instrText>ADDIN CSL_CITATION {"citationItems":[{"id":"ITEM-1","itemData":{"DOI":"10.1038/nclimate2097","ISBN":"1758-678X","ISSN":"1758-678X","abstract":"Using biomass to provide energy services is a strategically important option for increasing the global uptake of renewable energy. Yet the practicalities of accelerating deployment are mired in controversy over the potential resource conflicts that might occur, particularly over land, water and biodiversity conservation. This calls into question whether policies to promote bioenergy are justified. Here we examine the assumptions on which global bioenergy resource estimates are predicated. We find that there is a disjunct between the evidence that global bioenergy studies can provide and policymakers’ desire for estimates that can straightforwardly guide policy targets. We highlight the need for bottom-up assessments informed by empirical studies, experimentation and cross-disciplinary learning to better inform the policy debate","author":[{"dropping-particle":"","family":"Slade","given":"Raphael","non-dropping-particle":"","parse-names":false,"suffix":""},{"dropping-particle":"","family":"Bauen","given":"Ausilio","non-dropping-particle":"","parse-names":false,"suffix":""},{"dropping-particle":"","family":"Gross","given":"Robert","non-dropping-particle":"","parse-names":false,"suffix":""}],"container-title":"Nature Climate Change","id":"ITEM-1","issue":"2","issued":{"date-parts":[["2014"]]},"page":"99-105","publisher":"Nature Publishing Group","title":"Global bioenergy resources","type":"article-journal","volume":"4"},"uris":["http://www.mendeley.com/documents/?uuid=f23a13aa-6f31-48d9-b0a0-e225eb779fca"]}],"mendeley":{"formattedCitation":"(Slade et al., 2014)","manualFormatting":"Slade et al. (2014)","plainTextFormattedCitation":"(Slade et al., 2014)","previouslyFormattedCitation":"(Slade et al., 2014)"},"properties":{"noteIndex":0},"schema":"https://github.com/citation-style-language/schema/raw/master/csl-citation.json"}</w:instrText>
      </w:r>
      <w:r>
        <w:fldChar w:fldCharType="separate"/>
      </w:r>
      <w:r w:rsidRPr="00940163">
        <w:rPr>
          <w:noProof/>
        </w:rPr>
        <w:t>Slade et al.</w:t>
      </w:r>
      <w:r>
        <w:rPr>
          <w:noProof/>
        </w:rPr>
        <w:t xml:space="preserve"> (</w:t>
      </w:r>
      <w:r w:rsidRPr="00940163">
        <w:rPr>
          <w:noProof/>
        </w:rPr>
        <w:t>2014)</w:t>
      </w:r>
      <w:r>
        <w:fldChar w:fldCharType="end"/>
      </w:r>
      <w:r>
        <w:t xml:space="preserve"> point out that: i) this came at an environmental cost; ii) that the easy yield gains may already have been achieved; and iii) that continued yield improvement will depend on political and institutional factors and require well-crafted policies and measures to avoid jeopardizing the sustainability of food production.</w:t>
      </w:r>
    </w:p>
    <w:p w14:paraId="53B858E0" w14:textId="288B4425" w:rsidR="00A65472" w:rsidRDefault="00A65472" w:rsidP="003373EC">
      <w:pPr>
        <w:pStyle w:val="Heading1"/>
      </w:pPr>
      <w:r>
        <w:lastRenderedPageBreak/>
        <w:t>Trade</w:t>
      </w:r>
    </w:p>
    <w:p w14:paraId="4764A11B" w14:textId="424D7DCF" w:rsidR="00A65472" w:rsidRDefault="004C2136" w:rsidP="00A65472">
      <w:pPr>
        <w:keepNext/>
        <w:jc w:val="center"/>
      </w:pPr>
      <w:r>
        <w:rPr>
          <w:noProof/>
        </w:rPr>
        <w:drawing>
          <wp:inline distT="0" distB="0" distL="0" distR="0" wp14:anchorId="2F6BF5E8" wp14:editId="174266E1">
            <wp:extent cx="5760000" cy="4320000"/>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000" cy="4320000"/>
                    </a:xfrm>
                    <a:prstGeom prst="rect">
                      <a:avLst/>
                    </a:prstGeom>
                  </pic:spPr>
                </pic:pic>
              </a:graphicData>
            </a:graphic>
          </wp:inline>
        </w:drawing>
      </w:r>
    </w:p>
    <w:p w14:paraId="01C21889" w14:textId="2CA832CA" w:rsidR="00A65472" w:rsidRDefault="00A65472" w:rsidP="00A65472">
      <w:pPr>
        <w:pStyle w:val="Caption"/>
        <w:jc w:val="center"/>
      </w:pPr>
      <w:bookmarkStart w:id="4" w:name="_Ref66352936"/>
      <w:r>
        <w:t>Figure S</w:t>
      </w:r>
      <w:r w:rsidR="008A1875">
        <w:fldChar w:fldCharType="begin"/>
      </w:r>
      <w:r w:rsidR="008A1875">
        <w:instrText xml:space="preserve"> SEQ Figure \* ARABIC </w:instrText>
      </w:r>
      <w:r w:rsidR="008A1875">
        <w:fldChar w:fldCharType="separate"/>
      </w:r>
      <w:r w:rsidR="006F2F61">
        <w:rPr>
          <w:noProof/>
        </w:rPr>
        <w:t>8</w:t>
      </w:r>
      <w:r w:rsidR="008A1875">
        <w:rPr>
          <w:noProof/>
        </w:rPr>
        <w:fldChar w:fldCharType="end"/>
      </w:r>
      <w:bookmarkEnd w:id="4"/>
      <w:r>
        <w:t xml:space="preserve"> - International trade of primary biomass in 2030 and 2050 for Brazil and rest of the world (ROW) across models</w:t>
      </w:r>
    </w:p>
    <w:p w14:paraId="183B4D91" w14:textId="2CB3E671" w:rsidR="00A65472" w:rsidRDefault="00A65472" w:rsidP="00A65472"/>
    <w:p w14:paraId="0C9C5073" w14:textId="77777777" w:rsidR="00A65472" w:rsidRPr="00A65472" w:rsidRDefault="00A65472" w:rsidP="00A65472"/>
    <w:p w14:paraId="0EBE5AF9" w14:textId="515E5F9C" w:rsidR="00EC2FD2" w:rsidRDefault="008C49AB" w:rsidP="00EC2FD2">
      <w:pPr>
        <w:keepNext/>
        <w:jc w:val="center"/>
      </w:pPr>
      <w:r>
        <w:rPr>
          <w:noProof/>
        </w:rPr>
        <w:lastRenderedPageBreak/>
        <w:drawing>
          <wp:inline distT="0" distB="0" distL="0" distR="0" wp14:anchorId="397B712F" wp14:editId="7D9A3223">
            <wp:extent cx="5760000" cy="4320000"/>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000" cy="4320000"/>
                    </a:xfrm>
                    <a:prstGeom prst="rect">
                      <a:avLst/>
                    </a:prstGeom>
                  </pic:spPr>
                </pic:pic>
              </a:graphicData>
            </a:graphic>
          </wp:inline>
        </w:drawing>
      </w:r>
    </w:p>
    <w:p w14:paraId="37B4B5EF" w14:textId="36D89EE2" w:rsidR="00EC2FD2" w:rsidRPr="009C4360" w:rsidRDefault="00EC2FD2" w:rsidP="00EC2FD2">
      <w:pPr>
        <w:pStyle w:val="Caption"/>
        <w:jc w:val="center"/>
      </w:pPr>
      <w:r>
        <w:t>Figure S</w:t>
      </w:r>
      <w:r w:rsidR="008A1875">
        <w:fldChar w:fldCharType="begin"/>
      </w:r>
      <w:r w:rsidR="008A1875">
        <w:instrText xml:space="preserve"> SEQ Figure \* ARABIC </w:instrText>
      </w:r>
      <w:r w:rsidR="008A1875">
        <w:fldChar w:fldCharType="separate"/>
      </w:r>
      <w:r w:rsidR="006F2F61">
        <w:rPr>
          <w:noProof/>
        </w:rPr>
        <w:t>9</w:t>
      </w:r>
      <w:r w:rsidR="008A1875">
        <w:rPr>
          <w:noProof/>
        </w:rPr>
        <w:fldChar w:fldCharType="end"/>
      </w:r>
      <w:r>
        <w:t xml:space="preserve"> – Fraction of Brazilian primary biomass that is exported</w:t>
      </w:r>
    </w:p>
    <w:p w14:paraId="2AB4637F" w14:textId="77777777" w:rsidR="00EC2FD2" w:rsidRDefault="00EC2FD2" w:rsidP="00EC2FD2"/>
    <w:p w14:paraId="6559D886" w14:textId="13772FF4" w:rsidR="00EC2FD2" w:rsidRDefault="00736F0F" w:rsidP="00736F0F">
      <w:pPr>
        <w:pStyle w:val="Heading1"/>
      </w:pPr>
      <w:r>
        <w:t>Food vs bioenergy production</w:t>
      </w:r>
    </w:p>
    <w:p w14:paraId="5E774D13" w14:textId="1936F9EC" w:rsidR="00736F0F" w:rsidRDefault="00736F0F" w:rsidP="00736F0F">
      <w:r>
        <w:t xml:space="preserve">Not all models reported the variables for agricultural production. Results from the ones that do are shown in </w:t>
      </w:r>
      <w:r w:rsidR="003373EC">
        <w:t>10</w:t>
      </w:r>
      <w:r>
        <w:t xml:space="preserve">, showing diverse strategies across models. In the baseline, most models show Brazil as a food producer, a significant share of which is exported. IMAGE is the only model that shows large bioenergy production in Brazil even in the baseline, indicating low production costs but also a result of the </w:t>
      </w:r>
      <w:r w:rsidR="000762E7">
        <w:t xml:space="preserve">share of competing commodities being allocated by a </w:t>
      </w:r>
      <w:r>
        <w:t>logit function</w:t>
      </w:r>
      <w:r w:rsidR="000762E7">
        <w:t xml:space="preserve">. </w:t>
      </w:r>
    </w:p>
    <w:p w14:paraId="21AF51D8" w14:textId="1717AF5A" w:rsidR="000762E7" w:rsidRDefault="000762E7" w:rsidP="003373EC">
      <w:r>
        <w:t>In the mitigation scenario with full technological options available (</w:t>
      </w:r>
      <w:proofErr w:type="spellStart"/>
      <w:r>
        <w:t>Mitig</w:t>
      </w:r>
      <w:proofErr w:type="spellEnd"/>
      <w:r>
        <w:t xml:space="preserve">-Full), most models deploy bioenergy production, except GRAPE and GCAM. Brazil features as a food crops producer in GRAPE, and as a forests and livestock provider in GCAM. </w:t>
      </w:r>
      <w:r w:rsidRPr="000437AA">
        <w:t xml:space="preserve">Indeed, </w:t>
      </w:r>
      <w:r>
        <w:t>there is a large reduction in non-energy crop production in GCAM in 2030, to about 10% of the 2010 value</w:t>
      </w:r>
      <w:r w:rsidRPr="000437AA">
        <w:t xml:space="preserve">. </w:t>
      </w:r>
      <w:r>
        <w:t xml:space="preserve">This then recovers over the century to about 20% of 2010 values. </w:t>
      </w:r>
      <w:r w:rsidR="00A5750A">
        <w:t xml:space="preserve">However, livestock production does not drop as much. It </w:t>
      </w:r>
      <w:r w:rsidR="00A5750A" w:rsidRPr="000437AA">
        <w:t xml:space="preserve">is maintained in the </w:t>
      </w:r>
      <w:r w:rsidR="00A5750A">
        <w:t>medium-</w:t>
      </w:r>
      <w:r w:rsidR="00A5750A" w:rsidRPr="000437AA">
        <w:t xml:space="preserve">term </w:t>
      </w:r>
      <w:r w:rsidR="00A5750A">
        <w:t xml:space="preserve">to 2050, </w:t>
      </w:r>
      <w:r w:rsidR="00A5750A" w:rsidRPr="000437AA">
        <w:t xml:space="preserve">but </w:t>
      </w:r>
      <w:r w:rsidR="00A5750A">
        <w:t xml:space="preserve">then </w:t>
      </w:r>
      <w:r w:rsidR="00A5750A" w:rsidRPr="000437AA">
        <w:t xml:space="preserve">drops </w:t>
      </w:r>
      <w:r w:rsidR="00A5750A">
        <w:t xml:space="preserve">gradually </w:t>
      </w:r>
      <w:r w:rsidR="00A5750A" w:rsidRPr="000437AA">
        <w:t xml:space="preserve">to </w:t>
      </w:r>
      <w:r w:rsidR="00A5750A">
        <w:t xml:space="preserve">about </w:t>
      </w:r>
      <w:r w:rsidR="00A5750A" w:rsidRPr="000437AA">
        <w:t>5</w:t>
      </w:r>
      <w:r w:rsidR="00A5750A">
        <w:t>5</w:t>
      </w:r>
      <w:r w:rsidR="00A5750A" w:rsidRPr="000437AA">
        <w:t xml:space="preserve">% of 2010 </w:t>
      </w:r>
      <w:r w:rsidR="00A5750A">
        <w:t xml:space="preserve">levels </w:t>
      </w:r>
      <w:r w:rsidR="00A5750A" w:rsidRPr="000437AA">
        <w:t xml:space="preserve">by 2100. </w:t>
      </w:r>
      <w:r>
        <w:t>This means GCAM’s main strategy</w:t>
      </w:r>
      <w:r w:rsidRPr="000437AA">
        <w:t xml:space="preserve"> is afforestation and livestock product</w:t>
      </w:r>
      <w:r>
        <w:t>ion</w:t>
      </w:r>
      <w:r w:rsidRPr="000437AA">
        <w:t xml:space="preserve">. </w:t>
      </w:r>
      <w:r>
        <w:t>However</w:t>
      </w:r>
      <w:r w:rsidRPr="000437AA">
        <w:t xml:space="preserve">, because livestock products have lower weight but higher VA, it doesn’t show up </w:t>
      </w:r>
      <w:r>
        <w:t xml:space="preserve">as much </w:t>
      </w:r>
      <w:r w:rsidRPr="000437AA">
        <w:t xml:space="preserve">in Fig S8. </w:t>
      </w:r>
    </w:p>
    <w:p w14:paraId="2E5FE484" w14:textId="1F315F53" w:rsidR="000762E7" w:rsidRPr="00736F0F" w:rsidRDefault="000762E7" w:rsidP="003373EC">
      <w:r w:rsidRPr="000437AA">
        <w:lastRenderedPageBreak/>
        <w:t>GCAM</w:t>
      </w:r>
      <w:r>
        <w:t>’s preference</w:t>
      </w:r>
      <w:r w:rsidRPr="000437AA">
        <w:t xml:space="preserve"> for afforestation in Brazil </w:t>
      </w:r>
      <w:r>
        <w:t>drives the</w:t>
      </w:r>
      <w:r w:rsidRPr="000437AA">
        <w:t xml:space="preserve"> deep reduction in production of crops</w:t>
      </w:r>
      <w:r>
        <w:t>, and to a lesser extent of livestock, resulting in</w:t>
      </w:r>
      <w:r w:rsidRPr="000437AA">
        <w:t xml:space="preserve"> a reduction in land area allocated to these activities as we can see in Fig 3 on L</w:t>
      </w:r>
      <w:r w:rsidR="003373EC">
        <w:t>U.</w:t>
      </w:r>
    </w:p>
    <w:p w14:paraId="42D48145" w14:textId="2C86B86B" w:rsidR="00EC2FD2" w:rsidRDefault="00AF7301" w:rsidP="00EC2FD2">
      <w:pPr>
        <w:keepNext/>
        <w:jc w:val="center"/>
      </w:pPr>
      <w:r>
        <w:rPr>
          <w:noProof/>
        </w:rPr>
        <w:drawing>
          <wp:inline distT="0" distB="0" distL="0" distR="0" wp14:anchorId="5CB9F9B5" wp14:editId="65AD83CC">
            <wp:extent cx="5334000" cy="4000500"/>
            <wp:effectExtent l="0" t="0" r="0" b="0"/>
            <wp:docPr id="9" name="Picture" descr="Fig 12 - Food vs Bioenergy Production in Brazil"/>
            <wp:cNvGraphicFramePr/>
            <a:graphic xmlns:a="http://schemas.openxmlformats.org/drawingml/2006/main">
              <a:graphicData uri="http://schemas.openxmlformats.org/drawingml/2006/picture">
                <pic:pic xmlns:pic="http://schemas.openxmlformats.org/drawingml/2006/picture">
                  <pic:nvPicPr>
                    <pic:cNvPr id="0" name="Picture" descr="outputs/EMF33_BrazilPaper_SOM_files/figure-docx/unnamed-chunk-10-1.png"/>
                    <pic:cNvPicPr>
                      <a:picLocks noChangeAspect="1" noChangeArrowheads="1"/>
                    </pic:cNvPicPr>
                  </pic:nvPicPr>
                  <pic:blipFill>
                    <a:blip r:embed="rId17"/>
                    <a:stretch>
                      <a:fillRect/>
                    </a:stretch>
                  </pic:blipFill>
                  <pic:spPr bwMode="auto">
                    <a:xfrm>
                      <a:off x="0" y="0"/>
                      <a:ext cx="5334000" cy="4000500"/>
                    </a:xfrm>
                    <a:prstGeom prst="rect">
                      <a:avLst/>
                    </a:prstGeom>
                    <a:noFill/>
                    <a:ln w="9525">
                      <a:noFill/>
                      <a:headEnd/>
                      <a:tailEnd/>
                    </a:ln>
                  </pic:spPr>
                </pic:pic>
              </a:graphicData>
            </a:graphic>
          </wp:inline>
        </w:drawing>
      </w:r>
    </w:p>
    <w:p w14:paraId="6D6FFFD1" w14:textId="450B4664" w:rsidR="00EC2FD2" w:rsidRDefault="00EC2FD2" w:rsidP="00EC2FD2">
      <w:pPr>
        <w:pStyle w:val="Caption"/>
        <w:jc w:val="center"/>
      </w:pPr>
      <w:r>
        <w:t>Figure S</w:t>
      </w:r>
      <w:r w:rsidR="008A1875">
        <w:fldChar w:fldCharType="begin"/>
      </w:r>
      <w:r w:rsidR="008A1875">
        <w:instrText xml:space="preserve"> SEQ Figure \* ARABIC </w:instrText>
      </w:r>
      <w:r w:rsidR="008A1875">
        <w:fldChar w:fldCharType="separate"/>
      </w:r>
      <w:r w:rsidR="006F2F61">
        <w:rPr>
          <w:noProof/>
        </w:rPr>
        <w:t>10</w:t>
      </w:r>
      <w:r w:rsidR="008A1875">
        <w:rPr>
          <w:noProof/>
        </w:rPr>
        <w:fldChar w:fldCharType="end"/>
      </w:r>
      <w:r>
        <w:t xml:space="preserve"> - Food vs bioenergy production in Brazil</w:t>
      </w:r>
      <w:r>
        <w:br/>
        <w:t>(not all models reported the required variables)</w:t>
      </w:r>
    </w:p>
    <w:p w14:paraId="7CB5E743" w14:textId="77777777" w:rsidR="00EC2FD2" w:rsidRDefault="00EC2FD2" w:rsidP="00EC2FD2"/>
    <w:p w14:paraId="6975FCBC" w14:textId="77777777" w:rsidR="00EC2FD2" w:rsidRDefault="00EC2FD2" w:rsidP="00EC2FD2"/>
    <w:p w14:paraId="1CE6269B" w14:textId="77777777" w:rsidR="0026734D" w:rsidRPr="0026734D" w:rsidRDefault="0026734D" w:rsidP="003373EC">
      <w:pPr>
        <w:keepNext/>
        <w:keepLines/>
        <w:spacing w:before="240" w:after="0"/>
        <w:outlineLvl w:val="0"/>
      </w:pPr>
    </w:p>
    <w:sectPr w:rsidR="0026734D" w:rsidRPr="0026734D">
      <w:pgSz w:w="16983" w:h="15840"/>
      <w:pgMar w:top="1440" w:right="6183"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B98877" w14:textId="77777777" w:rsidR="008A1875" w:rsidRDefault="008A1875" w:rsidP="00716E6D">
      <w:pPr>
        <w:spacing w:after="0" w:line="240" w:lineRule="auto"/>
      </w:pPr>
      <w:r>
        <w:separator/>
      </w:r>
    </w:p>
  </w:endnote>
  <w:endnote w:type="continuationSeparator" w:id="0">
    <w:p w14:paraId="7F9C7DBA" w14:textId="77777777" w:rsidR="008A1875" w:rsidRDefault="008A1875" w:rsidP="00716E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A898A1" w14:textId="77777777" w:rsidR="008A1875" w:rsidRDefault="008A1875" w:rsidP="00716E6D">
      <w:pPr>
        <w:spacing w:after="0" w:line="240" w:lineRule="auto"/>
      </w:pPr>
      <w:r>
        <w:separator/>
      </w:r>
    </w:p>
  </w:footnote>
  <w:footnote w:type="continuationSeparator" w:id="0">
    <w:p w14:paraId="7248ECA1" w14:textId="77777777" w:rsidR="008A1875" w:rsidRDefault="008A1875" w:rsidP="00716E6D">
      <w:pPr>
        <w:spacing w:after="0" w:line="240" w:lineRule="auto"/>
      </w:pPr>
      <w:r>
        <w:continuationSeparator/>
      </w:r>
    </w:p>
  </w:footnote>
  <w:footnote w:id="1">
    <w:p w14:paraId="21FA178A" w14:textId="57CE1BA2" w:rsidR="00E324DC" w:rsidRPr="00507244" w:rsidRDefault="00E324DC">
      <w:pPr>
        <w:pStyle w:val="FootnoteText"/>
        <w:rPr>
          <w:lang w:val="en-GB"/>
        </w:rPr>
      </w:pPr>
      <w:r>
        <w:rPr>
          <w:rStyle w:val="FootnoteReference"/>
        </w:rPr>
        <w:footnoteRef/>
      </w:r>
      <w:r>
        <w:t xml:space="preserve"> </w:t>
      </w:r>
      <w:r w:rsidRPr="00E324DC">
        <w:t>Centro de Sensoriamento Remoto , Universidade Federal de Minas Gerais, available at http://maps.csr.ufmg.br/</w:t>
      </w:r>
    </w:p>
  </w:footnote>
  <w:footnote w:id="2">
    <w:p w14:paraId="27C86AA0" w14:textId="17383751" w:rsidR="00E324DC" w:rsidRPr="00507244" w:rsidRDefault="00E324DC">
      <w:pPr>
        <w:pStyle w:val="FootnoteText"/>
        <w:rPr>
          <w:lang w:val="en-GB"/>
        </w:rPr>
      </w:pPr>
      <w:r>
        <w:rPr>
          <w:rStyle w:val="FootnoteReference"/>
        </w:rPr>
        <w:footnoteRef/>
      </w:r>
      <w:r>
        <w:t xml:space="preserve"> </w:t>
      </w:r>
      <w:r w:rsidRPr="00E324DC">
        <w:t>Laboratório de Processamento de Imagens e Geoprocessamento, Universidade Federal de Goiás, available at https://www.lapig.iesa.ufg.br/lapig/index.php/produtos/dados-geograficos</w:t>
      </w:r>
    </w:p>
  </w:footnote>
  <w:footnote w:id="3">
    <w:p w14:paraId="4C867672" w14:textId="5DE3B017" w:rsidR="00E324DC" w:rsidRPr="00507244" w:rsidRDefault="00E324DC">
      <w:pPr>
        <w:pStyle w:val="FootnoteText"/>
        <w:rPr>
          <w:lang w:val="en-GB"/>
        </w:rPr>
      </w:pPr>
      <w:r>
        <w:rPr>
          <w:rStyle w:val="FootnoteReference"/>
        </w:rPr>
        <w:footnoteRef/>
      </w:r>
      <w:r>
        <w:t xml:space="preserve"> Available from https://ww2.ibge.gov.br/apps/monitoramento_cobertura_uso_terra/v1/</w:t>
      </w:r>
    </w:p>
  </w:footnote>
  <w:footnote w:id="4">
    <w:p w14:paraId="102BD2EE" w14:textId="3F18AD39" w:rsidR="00E324DC" w:rsidRPr="00507244" w:rsidRDefault="00E324DC">
      <w:pPr>
        <w:pStyle w:val="FootnoteText"/>
        <w:rPr>
          <w:lang w:val="en-GB"/>
        </w:rPr>
      </w:pPr>
      <w:r>
        <w:rPr>
          <w:rStyle w:val="FootnoteReference"/>
        </w:rPr>
        <w:footnoteRef/>
      </w:r>
      <w:r>
        <w:t xml:space="preserve"> Available from http://mapbiomas.org/</w:t>
      </w:r>
    </w:p>
  </w:footnote>
  <w:footnote w:id="5">
    <w:p w14:paraId="200447B6" w14:textId="7058D3D3" w:rsidR="00263C17" w:rsidRPr="00507244" w:rsidRDefault="00263C17">
      <w:pPr>
        <w:pStyle w:val="FootnoteText"/>
        <w:rPr>
          <w:lang w:val="en-GB"/>
        </w:rPr>
      </w:pPr>
      <w:r>
        <w:rPr>
          <w:rStyle w:val="FootnoteReference"/>
        </w:rPr>
        <w:footnoteRef/>
      </w:r>
      <w:r>
        <w:t xml:space="preserve"> </w:t>
      </w:r>
      <w:r w:rsidRPr="00263C17">
        <w:t>https://www.ibge.gov.br/geociencias-novoportal/informacoes-ambientais/cobertura-e-uso-da-terra/10867-cobertura-e-uso-da-terra.html?=&amp;t=cobertura-e-uso-da-terra</w:t>
      </w:r>
    </w:p>
  </w:footnote>
  <w:footnote w:id="6">
    <w:p w14:paraId="5BAEBB45" w14:textId="1EA6EF56" w:rsidR="00263C17" w:rsidRPr="00507244" w:rsidRDefault="00263C17">
      <w:pPr>
        <w:pStyle w:val="FootnoteText"/>
        <w:rPr>
          <w:lang w:val="en-GB"/>
        </w:rPr>
      </w:pPr>
      <w:r>
        <w:rPr>
          <w:rStyle w:val="FootnoteReference"/>
        </w:rPr>
        <w:footnoteRef/>
      </w:r>
      <w:r>
        <w:t xml:space="preserve"> </w:t>
      </w:r>
      <w:r w:rsidRPr="00263C17">
        <w:t>http://mapbiomas.org/map#coverage</w:t>
      </w:r>
    </w:p>
  </w:footnote>
  <w:footnote w:id="7">
    <w:p w14:paraId="39543604" w14:textId="77777777" w:rsidR="000A3B20" w:rsidRDefault="000A3B20" w:rsidP="000A3B20">
      <w:pPr>
        <w:pStyle w:val="FootnoteText"/>
      </w:pPr>
      <w:r w:rsidRPr="0092528A">
        <w:rPr>
          <w:rStyle w:val="FootnoteReference"/>
        </w:rPr>
        <w:footnoteRef/>
      </w:r>
      <w:r>
        <w:t xml:space="preserve"> </w:t>
      </w:r>
      <w:hyperlink r:id="rId1" w:history="1">
        <w:r w:rsidRPr="00AD7A02">
          <w:rPr>
            <w:rStyle w:val="Hyperlink"/>
          </w:rPr>
          <w:t>http://www.agencia.cnptia.embrapa.br/gestor/cana-de-acucar/arvore/CONTAG01_109_22122006154841.html</w:t>
        </w:r>
      </w:hyperlink>
      <w:r>
        <w:t>. The 10 liters of ethanol here are made from the residual syrup from sugar production. Distilleries producing ethanol exclusively have much higher yields.</w:t>
      </w:r>
    </w:p>
  </w:footnote>
  <w:footnote w:id="8">
    <w:p w14:paraId="6EA90A3F" w14:textId="77777777" w:rsidR="000A3B20" w:rsidRDefault="000A3B20" w:rsidP="000A3B20">
      <w:pPr>
        <w:pStyle w:val="FootnoteText"/>
      </w:pPr>
      <w:r w:rsidRPr="0092528A">
        <w:rPr>
          <w:rStyle w:val="FootnoteReference"/>
        </w:rPr>
        <w:footnoteRef/>
      </w:r>
      <w:r>
        <w:t xml:space="preserve"> Not all models reported yields for all crops. CAGR reported here are averages for those models that did report it.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442A9E"/>
    <w:multiLevelType w:val="multilevel"/>
    <w:tmpl w:val="30E05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B117F86"/>
    <w:multiLevelType w:val="multilevel"/>
    <w:tmpl w:val="93DE566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5"/>
  <w:proofState w:spelling="clean" w:grammar="clean"/>
  <w:trackRevision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TQxsjQxNDA3tDQwNLNQ0lEKTi0uzszPAykwqQUAki15FCwAAAA="/>
  </w:docVars>
  <w:rsids>
    <w:rsidRoot w:val="00236904"/>
    <w:rsid w:val="000762E7"/>
    <w:rsid w:val="00096239"/>
    <w:rsid w:val="000A3B20"/>
    <w:rsid w:val="000B1C83"/>
    <w:rsid w:val="00160F05"/>
    <w:rsid w:val="001F73BF"/>
    <w:rsid w:val="00207463"/>
    <w:rsid w:val="002153D0"/>
    <w:rsid w:val="00236904"/>
    <w:rsid w:val="00252684"/>
    <w:rsid w:val="0026343F"/>
    <w:rsid w:val="00263C17"/>
    <w:rsid w:val="0026734D"/>
    <w:rsid w:val="00272FCE"/>
    <w:rsid w:val="0027376A"/>
    <w:rsid w:val="00275ED8"/>
    <w:rsid w:val="002B128D"/>
    <w:rsid w:val="002B238B"/>
    <w:rsid w:val="003373EC"/>
    <w:rsid w:val="003536BB"/>
    <w:rsid w:val="0037472E"/>
    <w:rsid w:val="00410606"/>
    <w:rsid w:val="004851BB"/>
    <w:rsid w:val="00493BC9"/>
    <w:rsid w:val="004C2136"/>
    <w:rsid w:val="00507244"/>
    <w:rsid w:val="0053394A"/>
    <w:rsid w:val="00535421"/>
    <w:rsid w:val="00590B39"/>
    <w:rsid w:val="00595D60"/>
    <w:rsid w:val="005A4F7A"/>
    <w:rsid w:val="006110B8"/>
    <w:rsid w:val="00623FE7"/>
    <w:rsid w:val="006253B4"/>
    <w:rsid w:val="00652499"/>
    <w:rsid w:val="006A3072"/>
    <w:rsid w:val="006A7C3A"/>
    <w:rsid w:val="006A7D86"/>
    <w:rsid w:val="006D2E89"/>
    <w:rsid w:val="006D5B23"/>
    <w:rsid w:val="006F2F61"/>
    <w:rsid w:val="00716E6D"/>
    <w:rsid w:val="007204DF"/>
    <w:rsid w:val="00736F0F"/>
    <w:rsid w:val="00767755"/>
    <w:rsid w:val="00782857"/>
    <w:rsid w:val="00790812"/>
    <w:rsid w:val="0079281D"/>
    <w:rsid w:val="007B46D3"/>
    <w:rsid w:val="007E12E3"/>
    <w:rsid w:val="008320F2"/>
    <w:rsid w:val="00857154"/>
    <w:rsid w:val="008800EA"/>
    <w:rsid w:val="0088427A"/>
    <w:rsid w:val="00891CF6"/>
    <w:rsid w:val="008A1875"/>
    <w:rsid w:val="008A35AE"/>
    <w:rsid w:val="008C49AB"/>
    <w:rsid w:val="008F058D"/>
    <w:rsid w:val="00934751"/>
    <w:rsid w:val="00983534"/>
    <w:rsid w:val="009A2B00"/>
    <w:rsid w:val="009B29A5"/>
    <w:rsid w:val="009C5B1F"/>
    <w:rsid w:val="00A32CDE"/>
    <w:rsid w:val="00A404EA"/>
    <w:rsid w:val="00A5750A"/>
    <w:rsid w:val="00A63375"/>
    <w:rsid w:val="00A65472"/>
    <w:rsid w:val="00AC347A"/>
    <w:rsid w:val="00AF7301"/>
    <w:rsid w:val="00B617B6"/>
    <w:rsid w:val="00B65260"/>
    <w:rsid w:val="00B856A7"/>
    <w:rsid w:val="00B86F6C"/>
    <w:rsid w:val="00BB6267"/>
    <w:rsid w:val="00BC3029"/>
    <w:rsid w:val="00BC4490"/>
    <w:rsid w:val="00BC5CC0"/>
    <w:rsid w:val="00BD1359"/>
    <w:rsid w:val="00C12428"/>
    <w:rsid w:val="00C32B9B"/>
    <w:rsid w:val="00C56690"/>
    <w:rsid w:val="00C63F07"/>
    <w:rsid w:val="00CB75E1"/>
    <w:rsid w:val="00D06648"/>
    <w:rsid w:val="00D40C52"/>
    <w:rsid w:val="00DE3AF0"/>
    <w:rsid w:val="00E10D83"/>
    <w:rsid w:val="00E21CA7"/>
    <w:rsid w:val="00E249DA"/>
    <w:rsid w:val="00E3150F"/>
    <w:rsid w:val="00E324DC"/>
    <w:rsid w:val="00E436F8"/>
    <w:rsid w:val="00E44EE9"/>
    <w:rsid w:val="00E74BA7"/>
    <w:rsid w:val="00EA6B43"/>
    <w:rsid w:val="00EC2FD2"/>
    <w:rsid w:val="00EC54D6"/>
    <w:rsid w:val="00F16393"/>
    <w:rsid w:val="00F2632E"/>
    <w:rsid w:val="00F36956"/>
    <w:rsid w:val="00FB60B4"/>
    <w:rsid w:val="00FB7D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4231B3"/>
  <w15:chartTrackingRefBased/>
  <w15:docId w15:val="{D736CAD4-ABA5-47B1-A358-640605287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2FD2"/>
    <w:pPr>
      <w:spacing w:line="256" w:lineRule="auto"/>
    </w:pPr>
    <w:rPr>
      <w:rFonts w:eastAsiaTheme="minorEastAsia"/>
    </w:rPr>
  </w:style>
  <w:style w:type="paragraph" w:styleId="Heading1">
    <w:name w:val="heading 1"/>
    <w:basedOn w:val="Normal"/>
    <w:next w:val="Normal"/>
    <w:link w:val="Heading1Char"/>
    <w:uiPriority w:val="9"/>
    <w:qFormat/>
    <w:rsid w:val="00EC2FD2"/>
    <w:pPr>
      <w:keepNext/>
      <w:keepLines/>
      <w:numPr>
        <w:numId w:val="1"/>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C2FD2"/>
    <w:pPr>
      <w:keepNext/>
      <w:keepLines/>
      <w:numPr>
        <w:ilvl w:val="1"/>
        <w:numId w:val="1"/>
      </w:numPr>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EC2FD2"/>
    <w:pPr>
      <w:keepNext/>
      <w:keepLines/>
      <w:numPr>
        <w:ilvl w:val="2"/>
        <w:numId w:val="1"/>
      </w:numPr>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EC2FD2"/>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EC2FD2"/>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EC2FD2"/>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EC2FD2"/>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EC2FD2"/>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C2FD2"/>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369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6904"/>
    <w:rPr>
      <w:rFonts w:ascii="Segoe UI" w:hAnsi="Segoe UI" w:cs="Segoe UI"/>
      <w:sz w:val="18"/>
      <w:szCs w:val="18"/>
    </w:rPr>
  </w:style>
  <w:style w:type="paragraph" w:styleId="CommentText">
    <w:name w:val="annotation text"/>
    <w:basedOn w:val="Normal"/>
    <w:link w:val="CommentTextChar"/>
    <w:unhideWhenUsed/>
    <w:rsid w:val="00236904"/>
    <w:pPr>
      <w:spacing w:line="240" w:lineRule="auto"/>
    </w:pPr>
    <w:rPr>
      <w:sz w:val="20"/>
      <w:szCs w:val="20"/>
    </w:rPr>
  </w:style>
  <w:style w:type="character" w:customStyle="1" w:styleId="CommentTextChar">
    <w:name w:val="Comment Text Char"/>
    <w:basedOn w:val="DefaultParagraphFont"/>
    <w:link w:val="CommentText"/>
    <w:rsid w:val="00236904"/>
    <w:rPr>
      <w:rFonts w:eastAsiaTheme="minorEastAsia"/>
      <w:sz w:val="20"/>
      <w:szCs w:val="20"/>
    </w:rPr>
  </w:style>
  <w:style w:type="character" w:styleId="CommentReference">
    <w:name w:val="annotation reference"/>
    <w:basedOn w:val="DefaultParagraphFont"/>
    <w:semiHidden/>
    <w:unhideWhenUsed/>
    <w:rsid w:val="00236904"/>
    <w:rPr>
      <w:sz w:val="16"/>
      <w:szCs w:val="16"/>
    </w:rPr>
  </w:style>
  <w:style w:type="character" w:customStyle="1" w:styleId="Heading1Char">
    <w:name w:val="Heading 1 Char"/>
    <w:basedOn w:val="DefaultParagraphFont"/>
    <w:link w:val="Heading1"/>
    <w:uiPriority w:val="9"/>
    <w:rsid w:val="00EC2FD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C2FD2"/>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EC2FD2"/>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EC2FD2"/>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EC2FD2"/>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EC2FD2"/>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EC2FD2"/>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EC2FD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C2FD2"/>
    <w:rPr>
      <w:rFonts w:asciiTheme="majorHAnsi" w:eastAsiaTheme="majorEastAsia" w:hAnsiTheme="majorHAnsi" w:cstheme="majorBidi"/>
      <w:i/>
      <w:iCs/>
      <w:color w:val="272727" w:themeColor="text1" w:themeTint="D8"/>
      <w:sz w:val="21"/>
      <w:szCs w:val="21"/>
    </w:rPr>
  </w:style>
  <w:style w:type="character" w:customStyle="1" w:styleId="CaptionChar">
    <w:name w:val="Caption Char"/>
    <w:basedOn w:val="DefaultParagraphFont"/>
    <w:link w:val="Caption"/>
    <w:uiPriority w:val="35"/>
    <w:locked/>
    <w:rsid w:val="00EC2FD2"/>
    <w:rPr>
      <w:i/>
      <w:iCs/>
      <w:color w:val="44546A" w:themeColor="text2"/>
      <w:sz w:val="18"/>
      <w:szCs w:val="18"/>
    </w:rPr>
  </w:style>
  <w:style w:type="paragraph" w:styleId="Caption">
    <w:name w:val="caption"/>
    <w:basedOn w:val="Normal"/>
    <w:next w:val="Normal"/>
    <w:link w:val="CaptionChar"/>
    <w:uiPriority w:val="35"/>
    <w:unhideWhenUsed/>
    <w:qFormat/>
    <w:rsid w:val="00EC2FD2"/>
    <w:pPr>
      <w:spacing w:after="200" w:line="240" w:lineRule="auto"/>
    </w:pPr>
    <w:rPr>
      <w:rFonts w:eastAsiaTheme="minorHAnsi"/>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4851BB"/>
    <w:rPr>
      <w:b/>
      <w:bCs/>
    </w:rPr>
  </w:style>
  <w:style w:type="character" w:customStyle="1" w:styleId="CommentSubjectChar">
    <w:name w:val="Comment Subject Char"/>
    <w:basedOn w:val="CommentTextChar"/>
    <w:link w:val="CommentSubject"/>
    <w:uiPriority w:val="99"/>
    <w:semiHidden/>
    <w:rsid w:val="004851BB"/>
    <w:rPr>
      <w:rFonts w:eastAsiaTheme="minorEastAsia"/>
      <w:b/>
      <w:bCs/>
      <w:sz w:val="20"/>
      <w:szCs w:val="20"/>
    </w:rPr>
  </w:style>
  <w:style w:type="paragraph" w:styleId="FootnoteText">
    <w:name w:val="footnote text"/>
    <w:basedOn w:val="Normal"/>
    <w:link w:val="FootnoteTextChar"/>
    <w:uiPriority w:val="99"/>
    <w:semiHidden/>
    <w:unhideWhenUsed/>
    <w:rsid w:val="00716E6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16E6D"/>
    <w:rPr>
      <w:rFonts w:eastAsiaTheme="minorEastAsia"/>
      <w:sz w:val="20"/>
      <w:szCs w:val="20"/>
    </w:rPr>
  </w:style>
  <w:style w:type="character" w:styleId="FootnoteReference">
    <w:name w:val="footnote reference"/>
    <w:basedOn w:val="DefaultParagraphFont"/>
    <w:uiPriority w:val="99"/>
    <w:semiHidden/>
    <w:unhideWhenUsed/>
    <w:rsid w:val="00716E6D"/>
    <w:rPr>
      <w:vertAlign w:val="superscript"/>
    </w:rPr>
  </w:style>
  <w:style w:type="table" w:styleId="TableGrid">
    <w:name w:val="Table Grid"/>
    <w:basedOn w:val="TableNormal"/>
    <w:uiPriority w:val="39"/>
    <w:rsid w:val="0026734D"/>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36956"/>
    <w:pPr>
      <w:spacing w:after="0" w:line="240" w:lineRule="auto"/>
    </w:pPr>
    <w:rPr>
      <w:rFonts w:eastAsiaTheme="minorEastAsia"/>
    </w:rPr>
  </w:style>
  <w:style w:type="character" w:styleId="Hyperlink">
    <w:name w:val="Hyperlink"/>
    <w:uiPriority w:val="99"/>
    <w:unhideWhenUsed/>
    <w:rsid w:val="000A3B20"/>
    <w:rPr>
      <w:color w:val="0563C1"/>
      <w:u w:val="single"/>
    </w:rPr>
  </w:style>
  <w:style w:type="paragraph" w:styleId="Title">
    <w:name w:val="Title"/>
    <w:basedOn w:val="Normal"/>
    <w:next w:val="Normal"/>
    <w:link w:val="TitleChar"/>
    <w:uiPriority w:val="10"/>
    <w:qFormat/>
    <w:rsid w:val="0009623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623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2.xml"/></Relationships>
</file>

<file path=word/_rels/footnotes.xml.rels><?xml version="1.0" encoding="UTF-8" standalone="yes"?>
<Relationships xmlns="http://schemas.openxmlformats.org/package/2006/relationships"><Relationship Id="rId1" Type="http://schemas.openxmlformats.org/officeDocument/2006/relationships/hyperlink" Target="http://www.agencia.cnptia.embrapa.br/gestor/cana-de-acucar/arvore/CONTAG01_109_22122006154841.html"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alexk\Dropbox\Projetos\EMF\R\EMF33\inputs\BEN_primary_energy_consumption.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lexk\Dropbox\Projetos\EMF\R\EMF33\inputs\conab_yield_plots.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r>
              <a:rPr lang="en-US"/>
              <a:t>Historical Primary biomass consumption</a:t>
            </a:r>
          </a:p>
        </c:rich>
      </c:tx>
      <c:overlay val="0"/>
      <c:spPr>
        <a:noFill/>
        <a:ln>
          <a:noFill/>
        </a:ln>
        <a:effectLst/>
      </c:spPr>
      <c:txPr>
        <a:bodyPr rot="0" spcFirstLastPara="1" vertOverflow="ellipsis" vert="horz" wrap="square" anchor="ctr" anchorCtr="1"/>
        <a:lstStyle/>
        <a:p>
          <a:pPr>
            <a:defRPr lang="ja-JP"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stacked"/>
        <c:varyColors val="0"/>
        <c:ser>
          <c:idx val="0"/>
          <c:order val="0"/>
          <c:tx>
            <c:strRef>
              <c:f>Solids!$A$36</c:f>
              <c:strCache>
                <c:ptCount val="1"/>
                <c:pt idx="0">
                  <c:v>Firewood</c:v>
                </c:pt>
              </c:strCache>
            </c:strRef>
          </c:tx>
          <c:spPr>
            <a:solidFill>
              <a:schemeClr val="accent1"/>
            </a:solidFill>
            <a:ln>
              <a:noFill/>
            </a:ln>
            <a:effectLst/>
          </c:spPr>
          <c:invertIfNegative val="0"/>
          <c:cat>
            <c:numRef>
              <c:f>Solids!$B$35:$AT$35</c:f>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f>Solids!$B$36:$AT$36</c:f>
              <c:numCache>
                <c:formatCode>General</c:formatCode>
                <c:ptCount val="45"/>
                <c:pt idx="0">
                  <c:v>1.3340936750400001</c:v>
                </c:pt>
                <c:pt idx="1">
                  <c:v>1.3322376666</c:v>
                </c:pt>
                <c:pt idx="2">
                  <c:v>1.3463069893199999</c:v>
                </c:pt>
                <c:pt idx="3">
                  <c:v>1.33601457888</c:v>
                </c:pt>
                <c:pt idx="4">
                  <c:v>1.3653862369200001</c:v>
                </c:pt>
                <c:pt idx="5">
                  <c:v>1.38864474828</c:v>
                </c:pt>
                <c:pt idx="6">
                  <c:v>1.3353656248800001</c:v>
                </c:pt>
                <c:pt idx="7">
                  <c:v>1.29097717128</c:v>
                </c:pt>
                <c:pt idx="8">
                  <c:v>1.2479255629200001</c:v>
                </c:pt>
                <c:pt idx="9">
                  <c:v>1.2722353797600001</c:v>
                </c:pt>
                <c:pt idx="10">
                  <c:v>1.30191853572</c:v>
                </c:pt>
                <c:pt idx="11">
                  <c:v>1.27392266016</c:v>
                </c:pt>
                <c:pt idx="12">
                  <c:v>1.21921583796</c:v>
                </c:pt>
                <c:pt idx="13">
                  <c:v>1.2663169192800001</c:v>
                </c:pt>
                <c:pt idx="14">
                  <c:v>1.3964192172000001</c:v>
                </c:pt>
                <c:pt idx="15">
                  <c:v>1.37905320816</c:v>
                </c:pt>
                <c:pt idx="16">
                  <c:v>1.37239494012</c:v>
                </c:pt>
                <c:pt idx="17">
                  <c:v>1.3728492079200001</c:v>
                </c:pt>
                <c:pt idx="18">
                  <c:v>1.3639844962800001</c:v>
                </c:pt>
                <c:pt idx="19">
                  <c:v>1.3802343044400001</c:v>
                </c:pt>
                <c:pt idx="20">
                  <c:v>1.1952564562800001</c:v>
                </c:pt>
                <c:pt idx="21">
                  <c:v>1.11836838636</c:v>
                </c:pt>
                <c:pt idx="22">
                  <c:v>1.0508641912800001</c:v>
                </c:pt>
                <c:pt idx="23">
                  <c:v>1.03888450044</c:v>
                </c:pt>
                <c:pt idx="24">
                  <c:v>1.04115583944</c:v>
                </c:pt>
                <c:pt idx="25">
                  <c:v>0.97432655652</c:v>
                </c:pt>
                <c:pt idx="26">
                  <c:v>0.92024273016000002</c:v>
                </c:pt>
                <c:pt idx="27">
                  <c:v>0.90740642004000005</c:v>
                </c:pt>
                <c:pt idx="28">
                  <c:v>0.89065042776000003</c:v>
                </c:pt>
                <c:pt idx="29">
                  <c:v>0.92690099820000005</c:v>
                </c:pt>
                <c:pt idx="30">
                  <c:v>0.96577334280000005</c:v>
                </c:pt>
                <c:pt idx="31">
                  <c:v>0.93976326647999997</c:v>
                </c:pt>
                <c:pt idx="32">
                  <c:v>0.98996634792000004</c:v>
                </c:pt>
                <c:pt idx="33">
                  <c:v>1.08710178264</c:v>
                </c:pt>
                <c:pt idx="34">
                  <c:v>1.1801488071599999</c:v>
                </c:pt>
                <c:pt idx="35">
                  <c:v>1.1898701380800001</c:v>
                </c:pt>
                <c:pt idx="36">
                  <c:v>1.19306299176</c:v>
                </c:pt>
                <c:pt idx="37">
                  <c:v>1.19818972836</c:v>
                </c:pt>
                <c:pt idx="38">
                  <c:v>1.2236546833199999</c:v>
                </c:pt>
                <c:pt idx="39">
                  <c:v>1.0303442657999999</c:v>
                </c:pt>
                <c:pt idx="40">
                  <c:v>1.0884516069600001</c:v>
                </c:pt>
                <c:pt idx="41">
                  <c:v>1.0884256487999999</c:v>
                </c:pt>
                <c:pt idx="42">
                  <c:v>1.0752778407600001</c:v>
                </c:pt>
                <c:pt idx="43">
                  <c:v>1.0291112532</c:v>
                </c:pt>
                <c:pt idx="44">
                  <c:v>1.0353152534400001</c:v>
                </c:pt>
              </c:numCache>
            </c:numRef>
          </c:val>
          <c:extLst>
            <c:ext xmlns:c16="http://schemas.microsoft.com/office/drawing/2014/chart" uri="{C3380CC4-5D6E-409C-BE32-E72D297353CC}">
              <c16:uniqueId val="{00000000-C29B-421B-BCA8-158BFCDBC6FF}"/>
            </c:ext>
          </c:extLst>
        </c:ser>
        <c:ser>
          <c:idx val="1"/>
          <c:order val="1"/>
          <c:tx>
            <c:strRef>
              <c:f>Solids!$A$37</c:f>
              <c:strCache>
                <c:ptCount val="1"/>
                <c:pt idx="0">
                  <c:v>Bagasse</c:v>
                </c:pt>
              </c:strCache>
            </c:strRef>
          </c:tx>
          <c:spPr>
            <a:solidFill>
              <a:schemeClr val="accent2"/>
            </a:solidFill>
            <a:ln>
              <a:noFill/>
            </a:ln>
            <a:effectLst/>
          </c:spPr>
          <c:invertIfNegative val="0"/>
          <c:cat>
            <c:numRef>
              <c:f>Solids!$B$35:$AT$35</c:f>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f>Solids!$B$37:$AT$37</c:f>
              <c:numCache>
                <c:formatCode>General</c:formatCode>
                <c:ptCount val="45"/>
                <c:pt idx="0">
                  <c:v>0.19739882772</c:v>
                </c:pt>
                <c:pt idx="1">
                  <c:v>0.21214306260000002</c:v>
                </c:pt>
                <c:pt idx="2">
                  <c:v>0.23785462008</c:v>
                </c:pt>
                <c:pt idx="3">
                  <c:v>0.26008778412</c:v>
                </c:pt>
                <c:pt idx="4">
                  <c:v>0.25981522344000002</c:v>
                </c:pt>
                <c:pt idx="5">
                  <c:v>0.23428537308</c:v>
                </c:pt>
                <c:pt idx="6">
                  <c:v>0.26675903124</c:v>
                </c:pt>
                <c:pt idx="7">
                  <c:v>0.34848829800000003</c:v>
                </c:pt>
                <c:pt idx="8">
                  <c:v>0.36227208096000002</c:v>
                </c:pt>
                <c:pt idx="9">
                  <c:v>0.39523894415999999</c:v>
                </c:pt>
                <c:pt idx="10">
                  <c:v>0.42802410024000004</c:v>
                </c:pt>
                <c:pt idx="11">
                  <c:v>0.46253547396</c:v>
                </c:pt>
                <c:pt idx="12">
                  <c:v>0.52469228808000001</c:v>
                </c:pt>
                <c:pt idx="13">
                  <c:v>0.63450828396000003</c:v>
                </c:pt>
                <c:pt idx="14">
                  <c:v>0.67637879604000006</c:v>
                </c:pt>
                <c:pt idx="15">
                  <c:v>0.73808134236</c:v>
                </c:pt>
                <c:pt idx="16">
                  <c:v>0.68380282980000007</c:v>
                </c:pt>
                <c:pt idx="17">
                  <c:v>0.81317829924000007</c:v>
                </c:pt>
                <c:pt idx="18">
                  <c:v>0.74418150995999999</c:v>
                </c:pt>
                <c:pt idx="19">
                  <c:v>0.71813249639999999</c:v>
                </c:pt>
                <c:pt idx="20">
                  <c:v>0.71094208607999998</c:v>
                </c:pt>
                <c:pt idx="21">
                  <c:v>0.76318288308000004</c:v>
                </c:pt>
                <c:pt idx="22">
                  <c:v>0.80472891816000003</c:v>
                </c:pt>
                <c:pt idx="23">
                  <c:v>0.78606500112</c:v>
                </c:pt>
                <c:pt idx="24">
                  <c:v>0.91558324044000006</c:v>
                </c:pt>
                <c:pt idx="25">
                  <c:v>0.90654980076000002</c:v>
                </c:pt>
                <c:pt idx="26">
                  <c:v>0.95567561856000005</c:v>
                </c:pt>
                <c:pt idx="27">
                  <c:v>1.06479074412</c:v>
                </c:pt>
                <c:pt idx="28">
                  <c:v>1.0666597316399999</c:v>
                </c:pt>
                <c:pt idx="29">
                  <c:v>1.0706053719599999</c:v>
                </c:pt>
                <c:pt idx="30">
                  <c:v>0.86062981571999997</c:v>
                </c:pt>
                <c:pt idx="31">
                  <c:v>1.0128874031999999</c:v>
                </c:pt>
                <c:pt idx="32">
                  <c:v>1.13220408564</c:v>
                </c:pt>
                <c:pt idx="33">
                  <c:v>1.2631370446800001</c:v>
                </c:pt>
                <c:pt idx="34">
                  <c:v>1.3212054486</c:v>
                </c:pt>
                <c:pt idx="35">
                  <c:v>1.3818826476000001</c:v>
                </c:pt>
                <c:pt idx="36">
                  <c:v>1.5724155420000001</c:v>
                </c:pt>
                <c:pt idx="37">
                  <c:v>1.7463352140000001</c:v>
                </c:pt>
                <c:pt idx="38">
                  <c:v>1.8747372524400001</c:v>
                </c:pt>
                <c:pt idx="39">
                  <c:v>1.89722999808</c:v>
                </c:pt>
                <c:pt idx="40">
                  <c:v>2.08097483364</c:v>
                </c:pt>
                <c:pt idx="41">
                  <c:v>1.90718495244</c:v>
                </c:pt>
                <c:pt idx="42">
                  <c:v>1.9991287551600001</c:v>
                </c:pt>
                <c:pt idx="43">
                  <c:v>2.1173032785600001</c:v>
                </c:pt>
                <c:pt idx="44">
                  <c:v>2.0893722984000003</c:v>
                </c:pt>
              </c:numCache>
            </c:numRef>
          </c:val>
          <c:extLst>
            <c:ext xmlns:c16="http://schemas.microsoft.com/office/drawing/2014/chart" uri="{C3380CC4-5D6E-409C-BE32-E72D297353CC}">
              <c16:uniqueId val="{00000001-C29B-421B-BCA8-158BFCDBC6FF}"/>
            </c:ext>
          </c:extLst>
        </c:ser>
        <c:ser>
          <c:idx val="2"/>
          <c:order val="2"/>
          <c:tx>
            <c:strRef>
              <c:f>Solids!$A$38</c:f>
              <c:strCache>
                <c:ptCount val="1"/>
                <c:pt idx="0">
                  <c:v>Cane Juice</c:v>
                </c:pt>
              </c:strCache>
            </c:strRef>
          </c:tx>
          <c:spPr>
            <a:solidFill>
              <a:schemeClr val="accent3"/>
            </a:solidFill>
            <a:ln>
              <a:noFill/>
            </a:ln>
            <a:effectLst/>
          </c:spPr>
          <c:invertIfNegative val="0"/>
          <c:cat>
            <c:numRef>
              <c:f>Solids!$B$35:$AT$35</c:f>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f>Solids!$B$38:$AT$38</c:f>
              <c:numCache>
                <c:formatCode>General</c:formatCode>
                <c:ptCount val="45"/>
                <c:pt idx="0">
                  <c:v>3.5355013920000001E-3</c:v>
                </c:pt>
                <c:pt idx="1">
                  <c:v>3.5355013920000001E-3</c:v>
                </c:pt>
                <c:pt idx="2">
                  <c:v>3.875553288E-3</c:v>
                </c:pt>
                <c:pt idx="3">
                  <c:v>3.6756754560000001E-3</c:v>
                </c:pt>
                <c:pt idx="4">
                  <c:v>3.4783934400000002E-3</c:v>
                </c:pt>
                <c:pt idx="5">
                  <c:v>3.2811114240000002E-3</c:v>
                </c:pt>
                <c:pt idx="6">
                  <c:v>3.6185675040000002E-3</c:v>
                </c:pt>
                <c:pt idx="7">
                  <c:v>1.3150403856E-2</c:v>
                </c:pt>
                <c:pt idx="8">
                  <c:v>3.9497936256000003E-2</c:v>
                </c:pt>
                <c:pt idx="9">
                  <c:v>5.7803630687999999E-2</c:v>
                </c:pt>
                <c:pt idx="10">
                  <c:v>7.7477320151999998E-2</c:v>
                </c:pt>
                <c:pt idx="11">
                  <c:v>8.6959835999999999E-2</c:v>
                </c:pt>
                <c:pt idx="12">
                  <c:v>0.11802915770400001</c:v>
                </c:pt>
                <c:pt idx="13">
                  <c:v>0.17815344789600002</c:v>
                </c:pt>
                <c:pt idx="14">
                  <c:v>0.21420673632000001</c:v>
                </c:pt>
                <c:pt idx="15">
                  <c:v>0.2671094664</c:v>
                </c:pt>
                <c:pt idx="16">
                  <c:v>0.232849886832</c:v>
                </c:pt>
                <c:pt idx="17">
                  <c:v>0.28455075410399999</c:v>
                </c:pt>
                <c:pt idx="18">
                  <c:v>0.26051609376000001</c:v>
                </c:pt>
                <c:pt idx="19">
                  <c:v>0.25707663755999999</c:v>
                </c:pt>
                <c:pt idx="20">
                  <c:v>0.25900013721600001</c:v>
                </c:pt>
                <c:pt idx="21">
                  <c:v>0.29247837616799999</c:v>
                </c:pt>
                <c:pt idx="22">
                  <c:v>0.25791508612800002</c:v>
                </c:pt>
                <c:pt idx="23">
                  <c:v>0.244081982664</c:v>
                </c:pt>
                <c:pt idx="24">
                  <c:v>0.256949442576</c:v>
                </c:pt>
                <c:pt idx="25">
                  <c:v>0.24792638616000001</c:v>
                </c:pt>
                <c:pt idx="26">
                  <c:v>0.27418825663200003</c:v>
                </c:pt>
                <c:pt idx="27">
                  <c:v>0.30704609556000001</c:v>
                </c:pt>
                <c:pt idx="28">
                  <c:v>0.26456816253600002</c:v>
                </c:pt>
                <c:pt idx="29">
                  <c:v>0.22887569253600001</c:v>
                </c:pt>
                <c:pt idx="30">
                  <c:v>0.18957244247999999</c:v>
                </c:pt>
                <c:pt idx="31">
                  <c:v>0.189284306904</c:v>
                </c:pt>
                <c:pt idx="32">
                  <c:v>0.19981034078400001</c:v>
                </c:pt>
                <c:pt idx="33">
                  <c:v>0.23141440058400001</c:v>
                </c:pt>
                <c:pt idx="34">
                  <c:v>0.23887737158400002</c:v>
                </c:pt>
                <c:pt idx="35">
                  <c:v>0.25423681485600003</c:v>
                </c:pt>
                <c:pt idx="36">
                  <c:v>0.27813649276800001</c:v>
                </c:pt>
                <c:pt idx="37">
                  <c:v>0.36685888783199999</c:v>
                </c:pt>
                <c:pt idx="38">
                  <c:v>0.47148584752799999</c:v>
                </c:pt>
                <c:pt idx="39">
                  <c:v>0.44808456628800003</c:v>
                </c:pt>
                <c:pt idx="40">
                  <c:v>0.48043362528</c:v>
                </c:pt>
                <c:pt idx="41">
                  <c:v>0.37200639095999999</c:v>
                </c:pt>
                <c:pt idx="42">
                  <c:v>0.37710457358400001</c:v>
                </c:pt>
                <c:pt idx="43">
                  <c:v>0.48108517509600002</c:v>
                </c:pt>
                <c:pt idx="44">
                  <c:v>0.50049928296000001</c:v>
                </c:pt>
              </c:numCache>
            </c:numRef>
          </c:val>
          <c:extLst>
            <c:ext xmlns:c16="http://schemas.microsoft.com/office/drawing/2014/chart" uri="{C3380CC4-5D6E-409C-BE32-E72D297353CC}">
              <c16:uniqueId val="{00000002-C29B-421B-BCA8-158BFCDBC6FF}"/>
            </c:ext>
          </c:extLst>
        </c:ser>
        <c:ser>
          <c:idx val="3"/>
          <c:order val="3"/>
          <c:tx>
            <c:strRef>
              <c:f>Solids!$A$39</c:f>
              <c:strCache>
                <c:ptCount val="1"/>
                <c:pt idx="0">
                  <c:v>Molasses</c:v>
                </c:pt>
              </c:strCache>
            </c:strRef>
          </c:tx>
          <c:spPr>
            <a:solidFill>
              <a:schemeClr val="accent4"/>
            </a:solidFill>
            <a:ln>
              <a:noFill/>
            </a:ln>
            <a:effectLst/>
          </c:spPr>
          <c:invertIfNegative val="0"/>
          <c:cat>
            <c:numRef>
              <c:f>Solids!$B$35:$AT$35</c:f>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f>Solids!$B$39:$AT$39</c:f>
              <c:numCache>
                <c:formatCode>General</c:formatCode>
                <c:ptCount val="45"/>
                <c:pt idx="0">
                  <c:v>1.2106341540000001E-2</c:v>
                </c:pt>
                <c:pt idx="1">
                  <c:v>1.207535922E-2</c:v>
                </c:pt>
                <c:pt idx="2">
                  <c:v>1.3237196220000001E-2</c:v>
                </c:pt>
                <c:pt idx="3">
                  <c:v>1.2633040980000001E-2</c:v>
                </c:pt>
                <c:pt idx="4">
                  <c:v>1.1912702040000001E-2</c:v>
                </c:pt>
                <c:pt idx="5">
                  <c:v>1.1231091E-2</c:v>
                </c:pt>
                <c:pt idx="6">
                  <c:v>1.2439401480000001E-2</c:v>
                </c:pt>
                <c:pt idx="7">
                  <c:v>2.233825272E-2</c:v>
                </c:pt>
                <c:pt idx="8">
                  <c:v>2.0115271260000001E-2</c:v>
                </c:pt>
                <c:pt idx="9">
                  <c:v>1.875979476E-2</c:v>
                </c:pt>
                <c:pt idx="10">
                  <c:v>2.11067055E-2</c:v>
                </c:pt>
                <c:pt idx="11">
                  <c:v>2.5854746040000001E-2</c:v>
                </c:pt>
                <c:pt idx="12">
                  <c:v>3.4731180719999998E-2</c:v>
                </c:pt>
                <c:pt idx="13">
                  <c:v>4.0106613239999998E-2</c:v>
                </c:pt>
                <c:pt idx="14">
                  <c:v>3.2268086280000004E-2</c:v>
                </c:pt>
                <c:pt idx="15">
                  <c:v>3.5730360539999999E-2</c:v>
                </c:pt>
                <c:pt idx="16">
                  <c:v>2.8441769759999999E-2</c:v>
                </c:pt>
                <c:pt idx="17">
                  <c:v>3.6985144500000004E-2</c:v>
                </c:pt>
                <c:pt idx="18">
                  <c:v>3.47001984E-2</c:v>
                </c:pt>
                <c:pt idx="19">
                  <c:v>3.2763803399999999E-2</c:v>
                </c:pt>
                <c:pt idx="20">
                  <c:v>3.47001984E-2</c:v>
                </c:pt>
                <c:pt idx="21">
                  <c:v>3.5195915520000003E-2</c:v>
                </c:pt>
                <c:pt idx="22">
                  <c:v>3.8975758560000004E-2</c:v>
                </c:pt>
                <c:pt idx="23">
                  <c:v>3.637324368E-2</c:v>
                </c:pt>
                <c:pt idx="24">
                  <c:v>4.5435572280000003E-2</c:v>
                </c:pt>
                <c:pt idx="25">
                  <c:v>5.081875038E-2</c:v>
                </c:pt>
                <c:pt idx="26">
                  <c:v>5.9710676220000002E-2</c:v>
                </c:pt>
                <c:pt idx="27">
                  <c:v>5.9400853019999998E-2</c:v>
                </c:pt>
                <c:pt idx="28">
                  <c:v>6.6402857339999996E-2</c:v>
                </c:pt>
                <c:pt idx="29">
                  <c:v>7.1840254500000006E-2</c:v>
                </c:pt>
                <c:pt idx="30">
                  <c:v>5.61167271E-2</c:v>
                </c:pt>
                <c:pt idx="31">
                  <c:v>6.9911605080000008E-2</c:v>
                </c:pt>
                <c:pt idx="32">
                  <c:v>7.9740746099999996E-2</c:v>
                </c:pt>
                <c:pt idx="33">
                  <c:v>8.6866679700000005E-2</c:v>
                </c:pt>
                <c:pt idx="34">
                  <c:v>9.1235186820000008E-2</c:v>
                </c:pt>
                <c:pt idx="35">
                  <c:v>9.6982407180000008E-2</c:v>
                </c:pt>
                <c:pt idx="36">
                  <c:v>0.11115681858</c:v>
                </c:pt>
                <c:pt idx="37">
                  <c:v>0.12546290484</c:v>
                </c:pt>
                <c:pt idx="38">
                  <c:v>0.12299981040000001</c:v>
                </c:pt>
                <c:pt idx="39">
                  <c:v>0.12567978108</c:v>
                </c:pt>
                <c:pt idx="40">
                  <c:v>0.1352765547</c:v>
                </c:pt>
                <c:pt idx="41">
                  <c:v>0.15148030806000001</c:v>
                </c:pt>
                <c:pt idx="42">
                  <c:v>0.16104609936</c:v>
                </c:pt>
                <c:pt idx="43">
                  <c:v>0.15607343700000001</c:v>
                </c:pt>
                <c:pt idx="44">
                  <c:v>0.1537110351</c:v>
                </c:pt>
              </c:numCache>
            </c:numRef>
          </c:val>
          <c:extLst>
            <c:ext xmlns:c16="http://schemas.microsoft.com/office/drawing/2014/chart" uri="{C3380CC4-5D6E-409C-BE32-E72D297353CC}">
              <c16:uniqueId val="{00000003-C29B-421B-BCA8-158BFCDBC6FF}"/>
            </c:ext>
          </c:extLst>
        </c:ser>
        <c:ser>
          <c:idx val="4"/>
          <c:order val="4"/>
          <c:tx>
            <c:strRef>
              <c:f>Solids!$A$40</c:f>
              <c:strCache>
                <c:ptCount val="1"/>
                <c:pt idx="0">
                  <c:v>Black Liquor</c:v>
                </c:pt>
              </c:strCache>
            </c:strRef>
          </c:tx>
          <c:spPr>
            <a:solidFill>
              <a:schemeClr val="accent5"/>
            </a:solidFill>
            <a:ln>
              <a:noFill/>
            </a:ln>
            <a:effectLst/>
          </c:spPr>
          <c:invertIfNegative val="0"/>
          <c:cat>
            <c:numRef>
              <c:f>Solids!$B$35:$AT$35</c:f>
              <c:numCache>
                <c:formatCode>General</c:formatCode>
                <c:ptCount val="45"/>
                <c:pt idx="0">
                  <c:v>1970</c:v>
                </c:pt>
                <c:pt idx="1">
                  <c:v>1971</c:v>
                </c:pt>
                <c:pt idx="2">
                  <c:v>1972</c:v>
                </c:pt>
                <c:pt idx="3">
                  <c:v>1973</c:v>
                </c:pt>
                <c:pt idx="4">
                  <c:v>1974</c:v>
                </c:pt>
                <c:pt idx="5">
                  <c:v>1975</c:v>
                </c:pt>
                <c:pt idx="6">
                  <c:v>1976</c:v>
                </c:pt>
                <c:pt idx="7">
                  <c:v>1977</c:v>
                </c:pt>
                <c:pt idx="8">
                  <c:v>1978</c:v>
                </c:pt>
                <c:pt idx="9">
                  <c:v>1979</c:v>
                </c:pt>
                <c:pt idx="10">
                  <c:v>1980</c:v>
                </c:pt>
                <c:pt idx="11">
                  <c:v>1981</c:v>
                </c:pt>
                <c:pt idx="12">
                  <c:v>1982</c:v>
                </c:pt>
                <c:pt idx="13">
                  <c:v>1983</c:v>
                </c:pt>
                <c:pt idx="14">
                  <c:v>1984</c:v>
                </c:pt>
                <c:pt idx="15">
                  <c:v>1985</c:v>
                </c:pt>
                <c:pt idx="16">
                  <c:v>1986</c:v>
                </c:pt>
                <c:pt idx="17">
                  <c:v>1987</c:v>
                </c:pt>
                <c:pt idx="18">
                  <c:v>1988</c:v>
                </c:pt>
                <c:pt idx="19">
                  <c:v>1989</c:v>
                </c:pt>
                <c:pt idx="20">
                  <c:v>1990</c:v>
                </c:pt>
                <c:pt idx="21">
                  <c:v>1991</c:v>
                </c:pt>
                <c:pt idx="22">
                  <c:v>1992</c:v>
                </c:pt>
                <c:pt idx="23">
                  <c:v>1993</c:v>
                </c:pt>
                <c:pt idx="24">
                  <c:v>1994</c:v>
                </c:pt>
                <c:pt idx="25">
                  <c:v>1995</c:v>
                </c:pt>
                <c:pt idx="26">
                  <c:v>1996</c:v>
                </c:pt>
                <c:pt idx="27">
                  <c:v>1997</c:v>
                </c:pt>
                <c:pt idx="28">
                  <c:v>1998</c:v>
                </c:pt>
                <c:pt idx="29">
                  <c:v>1999</c:v>
                </c:pt>
                <c:pt idx="30">
                  <c:v>2000</c:v>
                </c:pt>
                <c:pt idx="31">
                  <c:v>2001</c:v>
                </c:pt>
                <c:pt idx="32">
                  <c:v>2002</c:v>
                </c:pt>
                <c:pt idx="33">
                  <c:v>2003</c:v>
                </c:pt>
                <c:pt idx="34">
                  <c:v>2004</c:v>
                </c:pt>
                <c:pt idx="35">
                  <c:v>2005</c:v>
                </c:pt>
                <c:pt idx="36">
                  <c:v>2006</c:v>
                </c:pt>
                <c:pt idx="37">
                  <c:v>2007</c:v>
                </c:pt>
                <c:pt idx="38">
                  <c:v>2008</c:v>
                </c:pt>
                <c:pt idx="39">
                  <c:v>2009</c:v>
                </c:pt>
                <c:pt idx="40">
                  <c:v>2010</c:v>
                </c:pt>
                <c:pt idx="41">
                  <c:v>2011</c:v>
                </c:pt>
                <c:pt idx="42">
                  <c:v>2012</c:v>
                </c:pt>
                <c:pt idx="43">
                  <c:v>2013</c:v>
                </c:pt>
                <c:pt idx="44">
                  <c:v>2014</c:v>
                </c:pt>
              </c:numCache>
            </c:numRef>
          </c:cat>
          <c:val>
            <c:numRef>
              <c:f>Solids!$B$40:$AT$40</c:f>
              <c:numCache>
                <c:formatCode>General</c:formatCode>
                <c:ptCount val="45"/>
                <c:pt idx="0">
                  <c:v>6.8372956080000004E-3</c:v>
                </c:pt>
                <c:pt idx="1">
                  <c:v>7.3641625200000001E-3</c:v>
                </c:pt>
                <c:pt idx="2">
                  <c:v>9.9865228319999996E-3</c:v>
                </c:pt>
                <c:pt idx="3">
                  <c:v>1.0704977712E-2</c:v>
                </c:pt>
                <c:pt idx="4">
                  <c:v>1.2225707208E-2</c:v>
                </c:pt>
                <c:pt idx="5">
                  <c:v>1.2968110584000001E-2</c:v>
                </c:pt>
                <c:pt idx="6">
                  <c:v>1.4644505304000001E-2</c:v>
                </c:pt>
                <c:pt idx="7">
                  <c:v>1.7482402080000001E-2</c:v>
                </c:pt>
                <c:pt idx="8">
                  <c:v>2.0883088511999999E-2</c:v>
                </c:pt>
                <c:pt idx="9">
                  <c:v>3.0187079208000001E-2</c:v>
                </c:pt>
                <c:pt idx="10">
                  <c:v>3.5850898512000004E-2</c:v>
                </c:pt>
                <c:pt idx="11">
                  <c:v>3.5072572391999998E-2</c:v>
                </c:pt>
                <c:pt idx="12">
                  <c:v>3.6641198880000003E-2</c:v>
                </c:pt>
                <c:pt idx="13">
                  <c:v>3.8126005631999998E-2</c:v>
                </c:pt>
                <c:pt idx="14">
                  <c:v>4.2604374383999999E-2</c:v>
                </c:pt>
                <c:pt idx="15">
                  <c:v>4.6412185248000004E-2</c:v>
                </c:pt>
                <c:pt idx="16">
                  <c:v>4.8363987672000001E-2</c:v>
                </c:pt>
                <c:pt idx="17">
                  <c:v>5.0663043288000004E-2</c:v>
                </c:pt>
                <c:pt idx="18">
                  <c:v>5.4063729720000002E-2</c:v>
                </c:pt>
                <c:pt idx="19">
                  <c:v>5.0531326559999999E-2</c:v>
                </c:pt>
                <c:pt idx="20">
                  <c:v>5.5009695312E-2</c:v>
                </c:pt>
                <c:pt idx="21">
                  <c:v>6.2170295616000001E-2</c:v>
                </c:pt>
                <c:pt idx="22">
                  <c:v>7.4360080080000002E-2</c:v>
                </c:pt>
                <c:pt idx="23">
                  <c:v>8.4166989191999997E-2</c:v>
                </c:pt>
                <c:pt idx="24">
                  <c:v>9.1447331975999996E-2</c:v>
                </c:pt>
                <c:pt idx="25">
                  <c:v>8.8310079E-2</c:v>
                </c:pt>
                <c:pt idx="26">
                  <c:v>9.7003383048000005E-2</c:v>
                </c:pt>
                <c:pt idx="27">
                  <c:v>0.101673339768</c:v>
                </c:pt>
                <c:pt idx="28">
                  <c:v>0.107145571104</c:v>
                </c:pt>
                <c:pt idx="29">
                  <c:v>0.11788647156</c:v>
                </c:pt>
                <c:pt idx="30">
                  <c:v>0.12107162152800001</c:v>
                </c:pt>
                <c:pt idx="31">
                  <c:v>0.120496857624</c:v>
                </c:pt>
                <c:pt idx="32">
                  <c:v>0.13481805823199999</c:v>
                </c:pt>
                <c:pt idx="33">
                  <c:v>0.155808914976</c:v>
                </c:pt>
                <c:pt idx="34">
                  <c:v>0.16555595284800001</c:v>
                </c:pt>
                <c:pt idx="35">
                  <c:v>0.17780560855200001</c:v>
                </c:pt>
                <c:pt idx="36">
                  <c:v>0.19193522119200002</c:v>
                </c:pt>
                <c:pt idx="37">
                  <c:v>0.20463989832000001</c:v>
                </c:pt>
                <c:pt idx="38">
                  <c:v>0.21722483296799999</c:v>
                </c:pt>
                <c:pt idx="39">
                  <c:v>0.23516225647200001</c:v>
                </c:pt>
                <c:pt idx="40">
                  <c:v>0.25308770572799999</c:v>
                </c:pt>
                <c:pt idx="41">
                  <c:v>0.258943113</c:v>
                </c:pt>
                <c:pt idx="42">
                  <c:v>0.256763799864</c:v>
                </c:pt>
                <c:pt idx="43">
                  <c:v>0.27158791888799999</c:v>
                </c:pt>
                <c:pt idx="44">
                  <c:v>0.30915113486400003</c:v>
                </c:pt>
              </c:numCache>
            </c:numRef>
          </c:val>
          <c:extLst>
            <c:ext xmlns:c16="http://schemas.microsoft.com/office/drawing/2014/chart" uri="{C3380CC4-5D6E-409C-BE32-E72D297353CC}">
              <c16:uniqueId val="{00000004-C29B-421B-BCA8-158BFCDBC6FF}"/>
            </c:ext>
          </c:extLst>
        </c:ser>
        <c:dLbls>
          <c:showLegendKey val="0"/>
          <c:showVal val="0"/>
          <c:showCatName val="0"/>
          <c:showSerName val="0"/>
          <c:showPercent val="0"/>
          <c:showBubbleSize val="0"/>
        </c:dLbls>
        <c:gapWidth val="150"/>
        <c:overlap val="100"/>
        <c:axId val="510704504"/>
        <c:axId val="628294600"/>
      </c:barChart>
      <c:catAx>
        <c:axId val="5107045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628294600"/>
        <c:crosses val="autoZero"/>
        <c:auto val="1"/>
        <c:lblAlgn val="ctr"/>
        <c:lblOffset val="100"/>
        <c:noMultiLvlLbl val="0"/>
      </c:catAx>
      <c:valAx>
        <c:axId val="62829460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ja-JP" sz="1000" b="0" i="0" u="none" strike="noStrike" kern="1200" baseline="0">
                    <a:solidFill>
                      <a:schemeClr val="tx1">
                        <a:lumMod val="65000"/>
                        <a:lumOff val="35000"/>
                      </a:schemeClr>
                    </a:solidFill>
                    <a:latin typeface="+mn-lt"/>
                    <a:ea typeface="+mn-ea"/>
                    <a:cs typeface="+mn-cs"/>
                  </a:defRPr>
                </a:pPr>
                <a:r>
                  <a:rPr lang="en-US"/>
                  <a:t>EJ/yr</a:t>
                </a:r>
              </a:p>
            </c:rich>
          </c:tx>
          <c:overlay val="0"/>
          <c:spPr>
            <a:noFill/>
            <a:ln>
              <a:noFill/>
            </a:ln>
            <a:effectLst/>
          </c:spPr>
          <c:txPr>
            <a:bodyPr rot="-5400000" spcFirstLastPara="1" vertOverflow="ellipsis" vert="horz" wrap="square" anchor="ctr" anchorCtr="1"/>
            <a:lstStyle/>
            <a:p>
              <a:pPr>
                <a:defRPr lang="ja-JP" sz="1000" b="0" i="0" u="none" strike="noStrike" kern="1200" baseline="0">
                  <a:solidFill>
                    <a:schemeClr val="tx1">
                      <a:lumMod val="65000"/>
                      <a:lumOff val="35000"/>
                    </a:schemeClr>
                  </a:solidFill>
                  <a:latin typeface="+mn-lt"/>
                  <a:ea typeface="+mn-ea"/>
                  <a:cs typeface="+mn-cs"/>
                </a:defRPr>
              </a:pPr>
              <a:endParaRPr lang="en-US"/>
            </a:p>
          </c:txPr>
        </c:title>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510704504"/>
        <c:crosses val="autoZero"/>
        <c:crossBetween val="between"/>
        <c:majorUnit val="0.5"/>
      </c:valAx>
      <c:spPr>
        <a:noFill/>
        <a:ln>
          <a:noFill/>
        </a:ln>
        <a:effectLst/>
      </c:spPr>
    </c:plotArea>
    <c:legend>
      <c:legendPos val="b"/>
      <c:overlay val="0"/>
      <c:spPr>
        <a:noFill/>
        <a:ln>
          <a:noFill/>
        </a:ln>
        <a:effectLst/>
      </c:spPr>
      <c:txPr>
        <a:bodyPr rot="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conab_yield!$A$2</c:f>
              <c:strCache>
                <c:ptCount val="1"/>
                <c:pt idx="0">
                  <c:v>Maize</c:v>
                </c:pt>
              </c:strCache>
            </c:strRef>
          </c:tx>
          <c:spPr>
            <a:ln w="28575" cap="rnd">
              <a:solidFill>
                <a:schemeClr val="accent1"/>
              </a:solidFill>
              <a:round/>
            </a:ln>
            <a:effectLst/>
          </c:spPr>
          <c:marker>
            <c:symbol val="none"/>
          </c:marker>
          <c:cat>
            <c:numRef>
              <c:f>conab_yield!$B$1:$AE$1</c:f>
              <c:numCache>
                <c:formatCode>General</c:formatCode>
                <c:ptCount val="30"/>
                <c:pt idx="0">
                  <c:v>1986</c:v>
                </c:pt>
                <c:pt idx="1">
                  <c:v>1987</c:v>
                </c:pt>
                <c:pt idx="2">
                  <c:v>1988</c:v>
                </c:pt>
                <c:pt idx="3">
                  <c:v>1989</c:v>
                </c:pt>
                <c:pt idx="4">
                  <c:v>1990</c:v>
                </c:pt>
                <c:pt idx="5">
                  <c:v>1991</c:v>
                </c:pt>
                <c:pt idx="6">
                  <c:v>1992</c:v>
                </c:pt>
                <c:pt idx="7">
                  <c:v>1993</c:v>
                </c:pt>
                <c:pt idx="8">
                  <c:v>1994</c:v>
                </c:pt>
                <c:pt idx="9">
                  <c:v>1995</c:v>
                </c:pt>
                <c:pt idx="10">
                  <c:v>1996</c:v>
                </c:pt>
                <c:pt idx="11">
                  <c:v>1997</c:v>
                </c:pt>
                <c:pt idx="12">
                  <c:v>1998</c:v>
                </c:pt>
                <c:pt idx="13">
                  <c:v>1999</c:v>
                </c:pt>
                <c:pt idx="14">
                  <c:v>2000</c:v>
                </c:pt>
                <c:pt idx="15">
                  <c:v>2001</c:v>
                </c:pt>
                <c:pt idx="16">
                  <c:v>2002</c:v>
                </c:pt>
                <c:pt idx="17">
                  <c:v>2003</c:v>
                </c:pt>
                <c:pt idx="18">
                  <c:v>2004</c:v>
                </c:pt>
                <c:pt idx="19">
                  <c:v>2005</c:v>
                </c:pt>
                <c:pt idx="20">
                  <c:v>2006</c:v>
                </c:pt>
                <c:pt idx="21">
                  <c:v>2007</c:v>
                </c:pt>
                <c:pt idx="22">
                  <c:v>2008</c:v>
                </c:pt>
                <c:pt idx="23">
                  <c:v>2009</c:v>
                </c:pt>
                <c:pt idx="24">
                  <c:v>2010</c:v>
                </c:pt>
                <c:pt idx="25">
                  <c:v>2011</c:v>
                </c:pt>
                <c:pt idx="26">
                  <c:v>2012</c:v>
                </c:pt>
                <c:pt idx="27">
                  <c:v>2013</c:v>
                </c:pt>
                <c:pt idx="28">
                  <c:v>2014</c:v>
                </c:pt>
                <c:pt idx="29">
                  <c:v>2015</c:v>
                </c:pt>
              </c:numCache>
            </c:numRef>
          </c:cat>
          <c:val>
            <c:numRef>
              <c:f>conab_yield!$B$2:$AE$2</c:f>
              <c:numCache>
                <c:formatCode>General</c:formatCode>
                <c:ptCount val="30"/>
                <c:pt idx="0">
                  <c:v>1549</c:v>
                </c:pt>
                <c:pt idx="1">
                  <c:v>1832</c:v>
                </c:pt>
                <c:pt idx="2">
                  <c:v>1881</c:v>
                </c:pt>
                <c:pt idx="3">
                  <c:v>2025</c:v>
                </c:pt>
                <c:pt idx="4">
                  <c:v>1841</c:v>
                </c:pt>
                <c:pt idx="5">
                  <c:v>1791</c:v>
                </c:pt>
                <c:pt idx="6">
                  <c:v>2194</c:v>
                </c:pt>
                <c:pt idx="7">
                  <c:v>2349</c:v>
                </c:pt>
                <c:pt idx="8">
                  <c:v>2344</c:v>
                </c:pt>
                <c:pt idx="9">
                  <c:v>2622</c:v>
                </c:pt>
                <c:pt idx="10">
                  <c:v>2356</c:v>
                </c:pt>
                <c:pt idx="11">
                  <c:v>2588</c:v>
                </c:pt>
                <c:pt idx="12">
                  <c:v>2650</c:v>
                </c:pt>
                <c:pt idx="13">
                  <c:v>2589</c:v>
                </c:pt>
                <c:pt idx="14">
                  <c:v>2480</c:v>
                </c:pt>
                <c:pt idx="15">
                  <c:v>3260</c:v>
                </c:pt>
                <c:pt idx="16">
                  <c:v>2868</c:v>
                </c:pt>
                <c:pt idx="17">
                  <c:v>3585</c:v>
                </c:pt>
                <c:pt idx="18">
                  <c:v>3291</c:v>
                </c:pt>
                <c:pt idx="19">
                  <c:v>2867</c:v>
                </c:pt>
                <c:pt idx="20">
                  <c:v>3279</c:v>
                </c:pt>
                <c:pt idx="21">
                  <c:v>3655</c:v>
                </c:pt>
                <c:pt idx="22">
                  <c:v>3972</c:v>
                </c:pt>
                <c:pt idx="23">
                  <c:v>3599</c:v>
                </c:pt>
                <c:pt idx="24">
                  <c:v>4311</c:v>
                </c:pt>
                <c:pt idx="25">
                  <c:v>4158</c:v>
                </c:pt>
                <c:pt idx="26">
                  <c:v>4808</c:v>
                </c:pt>
                <c:pt idx="27">
                  <c:v>5149</c:v>
                </c:pt>
                <c:pt idx="28">
                  <c:v>5057</c:v>
                </c:pt>
                <c:pt idx="29">
                  <c:v>5382</c:v>
                </c:pt>
              </c:numCache>
            </c:numRef>
          </c:val>
          <c:smooth val="0"/>
          <c:extLst>
            <c:ext xmlns:c16="http://schemas.microsoft.com/office/drawing/2014/chart" uri="{C3380CC4-5D6E-409C-BE32-E72D297353CC}">
              <c16:uniqueId val="{00000000-7105-40A8-9822-259C10407EBD}"/>
            </c:ext>
          </c:extLst>
        </c:ser>
        <c:ser>
          <c:idx val="1"/>
          <c:order val="1"/>
          <c:tx>
            <c:strRef>
              <c:f>conab_yield!$A$3</c:f>
              <c:strCache>
                <c:ptCount val="1"/>
                <c:pt idx="0">
                  <c:v>Rice</c:v>
                </c:pt>
              </c:strCache>
            </c:strRef>
          </c:tx>
          <c:spPr>
            <a:ln w="28575" cap="rnd">
              <a:solidFill>
                <a:schemeClr val="accent2"/>
              </a:solidFill>
              <a:round/>
            </a:ln>
            <a:effectLst/>
          </c:spPr>
          <c:marker>
            <c:symbol val="none"/>
          </c:marker>
          <c:cat>
            <c:numRef>
              <c:f>conab_yield!$B$1:$AE$1</c:f>
              <c:numCache>
                <c:formatCode>General</c:formatCode>
                <c:ptCount val="30"/>
                <c:pt idx="0">
                  <c:v>1986</c:v>
                </c:pt>
                <c:pt idx="1">
                  <c:v>1987</c:v>
                </c:pt>
                <c:pt idx="2">
                  <c:v>1988</c:v>
                </c:pt>
                <c:pt idx="3">
                  <c:v>1989</c:v>
                </c:pt>
                <c:pt idx="4">
                  <c:v>1990</c:v>
                </c:pt>
                <c:pt idx="5">
                  <c:v>1991</c:v>
                </c:pt>
                <c:pt idx="6">
                  <c:v>1992</c:v>
                </c:pt>
                <c:pt idx="7">
                  <c:v>1993</c:v>
                </c:pt>
                <c:pt idx="8">
                  <c:v>1994</c:v>
                </c:pt>
                <c:pt idx="9">
                  <c:v>1995</c:v>
                </c:pt>
                <c:pt idx="10">
                  <c:v>1996</c:v>
                </c:pt>
                <c:pt idx="11">
                  <c:v>1997</c:v>
                </c:pt>
                <c:pt idx="12">
                  <c:v>1998</c:v>
                </c:pt>
                <c:pt idx="13">
                  <c:v>1999</c:v>
                </c:pt>
                <c:pt idx="14">
                  <c:v>2000</c:v>
                </c:pt>
                <c:pt idx="15">
                  <c:v>2001</c:v>
                </c:pt>
                <c:pt idx="16">
                  <c:v>2002</c:v>
                </c:pt>
                <c:pt idx="17">
                  <c:v>2003</c:v>
                </c:pt>
                <c:pt idx="18">
                  <c:v>2004</c:v>
                </c:pt>
                <c:pt idx="19">
                  <c:v>2005</c:v>
                </c:pt>
                <c:pt idx="20">
                  <c:v>2006</c:v>
                </c:pt>
                <c:pt idx="21">
                  <c:v>2007</c:v>
                </c:pt>
                <c:pt idx="22">
                  <c:v>2008</c:v>
                </c:pt>
                <c:pt idx="23">
                  <c:v>2009</c:v>
                </c:pt>
                <c:pt idx="24">
                  <c:v>2010</c:v>
                </c:pt>
                <c:pt idx="25">
                  <c:v>2011</c:v>
                </c:pt>
                <c:pt idx="26">
                  <c:v>2012</c:v>
                </c:pt>
                <c:pt idx="27">
                  <c:v>2013</c:v>
                </c:pt>
                <c:pt idx="28">
                  <c:v>2014</c:v>
                </c:pt>
                <c:pt idx="29">
                  <c:v>2015</c:v>
                </c:pt>
              </c:numCache>
            </c:numRef>
          </c:cat>
          <c:val>
            <c:numRef>
              <c:f>conab_yield!$B$3:$AE$3</c:f>
              <c:numCache>
                <c:formatCode>General</c:formatCode>
                <c:ptCount val="30"/>
                <c:pt idx="0">
                  <c:v>1749</c:v>
                </c:pt>
                <c:pt idx="1">
                  <c:v>1752</c:v>
                </c:pt>
                <c:pt idx="2">
                  <c:v>1965</c:v>
                </c:pt>
                <c:pt idx="3">
                  <c:v>2071</c:v>
                </c:pt>
                <c:pt idx="4">
                  <c:v>1906</c:v>
                </c:pt>
                <c:pt idx="5">
                  <c:v>2362</c:v>
                </c:pt>
                <c:pt idx="6">
                  <c:v>2190</c:v>
                </c:pt>
                <c:pt idx="7">
                  <c:v>2258</c:v>
                </c:pt>
                <c:pt idx="8">
                  <c:v>2397</c:v>
                </c:pt>
                <c:pt idx="9">
                  <c:v>2633</c:v>
                </c:pt>
                <c:pt idx="10">
                  <c:v>2598</c:v>
                </c:pt>
                <c:pt idx="11">
                  <c:v>2726</c:v>
                </c:pt>
                <c:pt idx="12">
                  <c:v>2605</c:v>
                </c:pt>
                <c:pt idx="13">
                  <c:v>3012</c:v>
                </c:pt>
                <c:pt idx="14">
                  <c:v>3106</c:v>
                </c:pt>
                <c:pt idx="15">
                  <c:v>3197</c:v>
                </c:pt>
                <c:pt idx="16">
                  <c:v>3300</c:v>
                </c:pt>
                <c:pt idx="17">
                  <c:v>3254</c:v>
                </c:pt>
                <c:pt idx="18">
                  <c:v>3511</c:v>
                </c:pt>
                <c:pt idx="19">
                  <c:v>3377</c:v>
                </c:pt>
                <c:pt idx="20">
                  <c:v>3884</c:v>
                </c:pt>
                <c:pt idx="21">
                  <c:v>3813</c:v>
                </c:pt>
                <c:pt idx="22">
                  <c:v>4200</c:v>
                </c:pt>
                <c:pt idx="23">
                  <c:v>4332</c:v>
                </c:pt>
                <c:pt idx="24">
                  <c:v>4218</c:v>
                </c:pt>
                <c:pt idx="25">
                  <c:v>4827</c:v>
                </c:pt>
                <c:pt idx="26">
                  <c:v>4780</c:v>
                </c:pt>
                <c:pt idx="27">
                  <c:v>4926</c:v>
                </c:pt>
                <c:pt idx="28">
                  <c:v>5108</c:v>
                </c:pt>
                <c:pt idx="29">
                  <c:v>5424</c:v>
                </c:pt>
              </c:numCache>
            </c:numRef>
          </c:val>
          <c:smooth val="0"/>
          <c:extLst>
            <c:ext xmlns:c16="http://schemas.microsoft.com/office/drawing/2014/chart" uri="{C3380CC4-5D6E-409C-BE32-E72D297353CC}">
              <c16:uniqueId val="{00000001-7105-40A8-9822-259C10407EBD}"/>
            </c:ext>
          </c:extLst>
        </c:ser>
        <c:ser>
          <c:idx val="2"/>
          <c:order val="2"/>
          <c:tx>
            <c:strRef>
              <c:f>conab_yield!$A$4</c:f>
              <c:strCache>
                <c:ptCount val="1"/>
                <c:pt idx="0">
                  <c:v>Wheat</c:v>
                </c:pt>
              </c:strCache>
            </c:strRef>
          </c:tx>
          <c:spPr>
            <a:ln w="28575" cap="rnd">
              <a:solidFill>
                <a:schemeClr val="accent3"/>
              </a:solidFill>
              <a:round/>
            </a:ln>
            <a:effectLst/>
          </c:spPr>
          <c:marker>
            <c:symbol val="none"/>
          </c:marker>
          <c:cat>
            <c:numRef>
              <c:f>conab_yield!$B$1:$AE$1</c:f>
              <c:numCache>
                <c:formatCode>General</c:formatCode>
                <c:ptCount val="30"/>
                <c:pt idx="0">
                  <c:v>1986</c:v>
                </c:pt>
                <c:pt idx="1">
                  <c:v>1987</c:v>
                </c:pt>
                <c:pt idx="2">
                  <c:v>1988</c:v>
                </c:pt>
                <c:pt idx="3">
                  <c:v>1989</c:v>
                </c:pt>
                <c:pt idx="4">
                  <c:v>1990</c:v>
                </c:pt>
                <c:pt idx="5">
                  <c:v>1991</c:v>
                </c:pt>
                <c:pt idx="6">
                  <c:v>1992</c:v>
                </c:pt>
                <c:pt idx="7">
                  <c:v>1993</c:v>
                </c:pt>
                <c:pt idx="8">
                  <c:v>1994</c:v>
                </c:pt>
                <c:pt idx="9">
                  <c:v>1995</c:v>
                </c:pt>
                <c:pt idx="10">
                  <c:v>1996</c:v>
                </c:pt>
                <c:pt idx="11">
                  <c:v>1997</c:v>
                </c:pt>
                <c:pt idx="12">
                  <c:v>1998</c:v>
                </c:pt>
                <c:pt idx="13">
                  <c:v>1999</c:v>
                </c:pt>
                <c:pt idx="14">
                  <c:v>2000</c:v>
                </c:pt>
                <c:pt idx="15">
                  <c:v>2001</c:v>
                </c:pt>
                <c:pt idx="16">
                  <c:v>2002</c:v>
                </c:pt>
                <c:pt idx="17">
                  <c:v>2003</c:v>
                </c:pt>
                <c:pt idx="18">
                  <c:v>2004</c:v>
                </c:pt>
                <c:pt idx="19">
                  <c:v>2005</c:v>
                </c:pt>
                <c:pt idx="20">
                  <c:v>2006</c:v>
                </c:pt>
                <c:pt idx="21">
                  <c:v>2007</c:v>
                </c:pt>
                <c:pt idx="22">
                  <c:v>2008</c:v>
                </c:pt>
                <c:pt idx="23">
                  <c:v>2009</c:v>
                </c:pt>
                <c:pt idx="24">
                  <c:v>2010</c:v>
                </c:pt>
                <c:pt idx="25">
                  <c:v>2011</c:v>
                </c:pt>
                <c:pt idx="26">
                  <c:v>2012</c:v>
                </c:pt>
                <c:pt idx="27">
                  <c:v>2013</c:v>
                </c:pt>
                <c:pt idx="28">
                  <c:v>2014</c:v>
                </c:pt>
                <c:pt idx="29">
                  <c:v>2015</c:v>
                </c:pt>
              </c:numCache>
            </c:numRef>
          </c:cat>
          <c:val>
            <c:numRef>
              <c:f>conab_yield!$B$4:$AE$4</c:f>
              <c:numCache>
                <c:formatCode>General</c:formatCode>
                <c:ptCount val="30"/>
                <c:pt idx="0">
                  <c:v>1441</c:v>
                </c:pt>
                <c:pt idx="1">
                  <c:v>1786</c:v>
                </c:pt>
                <c:pt idx="2">
                  <c:v>1675</c:v>
                </c:pt>
                <c:pt idx="3">
                  <c:v>1657</c:v>
                </c:pt>
                <c:pt idx="4">
                  <c:v>1006</c:v>
                </c:pt>
                <c:pt idx="5">
                  <c:v>1434</c:v>
                </c:pt>
                <c:pt idx="6">
                  <c:v>1371</c:v>
                </c:pt>
                <c:pt idx="7">
                  <c:v>1250</c:v>
                </c:pt>
                <c:pt idx="8">
                  <c:v>1478</c:v>
                </c:pt>
                <c:pt idx="9">
                  <c:v>1474</c:v>
                </c:pt>
                <c:pt idx="10">
                  <c:v>1745</c:v>
                </c:pt>
                <c:pt idx="11">
                  <c:v>1604</c:v>
                </c:pt>
                <c:pt idx="12">
                  <c:v>1593</c:v>
                </c:pt>
                <c:pt idx="13">
                  <c:v>1919</c:v>
                </c:pt>
                <c:pt idx="14">
                  <c:v>1130</c:v>
                </c:pt>
                <c:pt idx="15">
                  <c:v>1868</c:v>
                </c:pt>
                <c:pt idx="16">
                  <c:v>1420</c:v>
                </c:pt>
                <c:pt idx="17">
                  <c:v>2227</c:v>
                </c:pt>
                <c:pt idx="18">
                  <c:v>2121</c:v>
                </c:pt>
                <c:pt idx="19">
                  <c:v>2063</c:v>
                </c:pt>
                <c:pt idx="20">
                  <c:v>1271</c:v>
                </c:pt>
                <c:pt idx="21">
                  <c:v>2212</c:v>
                </c:pt>
                <c:pt idx="22">
                  <c:v>2456</c:v>
                </c:pt>
                <c:pt idx="23">
                  <c:v>2070</c:v>
                </c:pt>
                <c:pt idx="24">
                  <c:v>2736</c:v>
                </c:pt>
                <c:pt idx="25">
                  <c:v>2672</c:v>
                </c:pt>
                <c:pt idx="26">
                  <c:v>2311</c:v>
                </c:pt>
                <c:pt idx="27">
                  <c:v>2502</c:v>
                </c:pt>
                <c:pt idx="28">
                  <c:v>2165</c:v>
                </c:pt>
                <c:pt idx="29">
                  <c:v>2862</c:v>
                </c:pt>
              </c:numCache>
            </c:numRef>
          </c:val>
          <c:smooth val="0"/>
          <c:extLst>
            <c:ext xmlns:c16="http://schemas.microsoft.com/office/drawing/2014/chart" uri="{C3380CC4-5D6E-409C-BE32-E72D297353CC}">
              <c16:uniqueId val="{00000002-7105-40A8-9822-259C10407EBD}"/>
            </c:ext>
          </c:extLst>
        </c:ser>
        <c:ser>
          <c:idx val="3"/>
          <c:order val="3"/>
          <c:tx>
            <c:strRef>
              <c:f>conab_yield!$A$5</c:f>
              <c:strCache>
                <c:ptCount val="1"/>
                <c:pt idx="0">
                  <c:v>Sorghum</c:v>
                </c:pt>
              </c:strCache>
            </c:strRef>
          </c:tx>
          <c:spPr>
            <a:ln w="28575" cap="rnd">
              <a:solidFill>
                <a:schemeClr val="accent4"/>
              </a:solidFill>
              <a:round/>
            </a:ln>
            <a:effectLst/>
          </c:spPr>
          <c:marker>
            <c:symbol val="none"/>
          </c:marker>
          <c:cat>
            <c:numRef>
              <c:f>conab_yield!$B$1:$AE$1</c:f>
              <c:numCache>
                <c:formatCode>General</c:formatCode>
                <c:ptCount val="30"/>
                <c:pt idx="0">
                  <c:v>1986</c:v>
                </c:pt>
                <c:pt idx="1">
                  <c:v>1987</c:v>
                </c:pt>
                <c:pt idx="2">
                  <c:v>1988</c:v>
                </c:pt>
                <c:pt idx="3">
                  <c:v>1989</c:v>
                </c:pt>
                <c:pt idx="4">
                  <c:v>1990</c:v>
                </c:pt>
                <c:pt idx="5">
                  <c:v>1991</c:v>
                </c:pt>
                <c:pt idx="6">
                  <c:v>1992</c:v>
                </c:pt>
                <c:pt idx="7">
                  <c:v>1993</c:v>
                </c:pt>
                <c:pt idx="8">
                  <c:v>1994</c:v>
                </c:pt>
                <c:pt idx="9">
                  <c:v>1995</c:v>
                </c:pt>
                <c:pt idx="10">
                  <c:v>1996</c:v>
                </c:pt>
                <c:pt idx="11">
                  <c:v>1997</c:v>
                </c:pt>
                <c:pt idx="12">
                  <c:v>1998</c:v>
                </c:pt>
                <c:pt idx="13">
                  <c:v>1999</c:v>
                </c:pt>
                <c:pt idx="14">
                  <c:v>2000</c:v>
                </c:pt>
                <c:pt idx="15">
                  <c:v>2001</c:v>
                </c:pt>
                <c:pt idx="16">
                  <c:v>2002</c:v>
                </c:pt>
                <c:pt idx="17">
                  <c:v>2003</c:v>
                </c:pt>
                <c:pt idx="18">
                  <c:v>2004</c:v>
                </c:pt>
                <c:pt idx="19">
                  <c:v>2005</c:v>
                </c:pt>
                <c:pt idx="20">
                  <c:v>2006</c:v>
                </c:pt>
                <c:pt idx="21">
                  <c:v>2007</c:v>
                </c:pt>
                <c:pt idx="22">
                  <c:v>2008</c:v>
                </c:pt>
                <c:pt idx="23">
                  <c:v>2009</c:v>
                </c:pt>
                <c:pt idx="24">
                  <c:v>2010</c:v>
                </c:pt>
                <c:pt idx="25">
                  <c:v>2011</c:v>
                </c:pt>
                <c:pt idx="26">
                  <c:v>2012</c:v>
                </c:pt>
                <c:pt idx="27">
                  <c:v>2013</c:v>
                </c:pt>
                <c:pt idx="28">
                  <c:v>2014</c:v>
                </c:pt>
                <c:pt idx="29">
                  <c:v>2015</c:v>
                </c:pt>
              </c:numCache>
            </c:numRef>
          </c:cat>
          <c:val>
            <c:numRef>
              <c:f>conab_yield!$B$5:$AE$5</c:f>
              <c:numCache>
                <c:formatCode>General</c:formatCode>
                <c:ptCount val="30"/>
                <c:pt idx="0">
                  <c:v>1873</c:v>
                </c:pt>
                <c:pt idx="1">
                  <c:v>1949</c:v>
                </c:pt>
                <c:pt idx="2">
                  <c:v>1698</c:v>
                </c:pt>
                <c:pt idx="3">
                  <c:v>1374</c:v>
                </c:pt>
                <c:pt idx="4">
                  <c:v>1792</c:v>
                </c:pt>
                <c:pt idx="5">
                  <c:v>1512</c:v>
                </c:pt>
                <c:pt idx="6">
                  <c:v>1742</c:v>
                </c:pt>
                <c:pt idx="7">
                  <c:v>1865</c:v>
                </c:pt>
                <c:pt idx="8">
                  <c:v>1847</c:v>
                </c:pt>
                <c:pt idx="9">
                  <c:v>1748</c:v>
                </c:pt>
                <c:pt idx="10">
                  <c:v>1730</c:v>
                </c:pt>
                <c:pt idx="11">
                  <c:v>1759</c:v>
                </c:pt>
                <c:pt idx="12">
                  <c:v>1807</c:v>
                </c:pt>
                <c:pt idx="13">
                  <c:v>1535</c:v>
                </c:pt>
                <c:pt idx="14">
                  <c:v>1439</c:v>
                </c:pt>
                <c:pt idx="15">
                  <c:v>1784</c:v>
                </c:pt>
                <c:pt idx="16">
                  <c:v>1629</c:v>
                </c:pt>
                <c:pt idx="17">
                  <c:v>2307</c:v>
                </c:pt>
                <c:pt idx="18">
                  <c:v>2242</c:v>
                </c:pt>
                <c:pt idx="19">
                  <c:v>1988</c:v>
                </c:pt>
                <c:pt idx="20">
                  <c:v>2108</c:v>
                </c:pt>
                <c:pt idx="21">
                  <c:v>2125</c:v>
                </c:pt>
                <c:pt idx="22">
                  <c:v>2354</c:v>
                </c:pt>
                <c:pt idx="23">
                  <c:v>2287</c:v>
                </c:pt>
                <c:pt idx="24">
                  <c:v>2328</c:v>
                </c:pt>
                <c:pt idx="25">
                  <c:v>2831</c:v>
                </c:pt>
                <c:pt idx="26">
                  <c:v>2824</c:v>
                </c:pt>
                <c:pt idx="27">
                  <c:v>2621</c:v>
                </c:pt>
                <c:pt idx="28">
                  <c:v>2587</c:v>
                </c:pt>
                <c:pt idx="29">
                  <c:v>2731</c:v>
                </c:pt>
              </c:numCache>
            </c:numRef>
          </c:val>
          <c:smooth val="0"/>
          <c:extLst>
            <c:ext xmlns:c16="http://schemas.microsoft.com/office/drawing/2014/chart" uri="{C3380CC4-5D6E-409C-BE32-E72D297353CC}">
              <c16:uniqueId val="{00000003-7105-40A8-9822-259C10407EBD}"/>
            </c:ext>
          </c:extLst>
        </c:ser>
        <c:dLbls>
          <c:showLegendKey val="0"/>
          <c:showVal val="0"/>
          <c:showCatName val="0"/>
          <c:showSerName val="0"/>
          <c:showPercent val="0"/>
          <c:showBubbleSize val="0"/>
        </c:dLbls>
        <c:smooth val="0"/>
        <c:axId val="628295384"/>
        <c:axId val="628295776"/>
        <c:extLst>
          <c:ext xmlns:c15="http://schemas.microsoft.com/office/drawing/2012/chart" uri="{02D57815-91ED-43cb-92C2-25804820EDAC}">
            <c15:filteredLineSeries>
              <c15:ser>
                <c:idx val="4"/>
                <c:order val="4"/>
                <c:tx>
                  <c:strRef>
                    <c:extLst>
                      <c:ext uri="{02D57815-91ED-43cb-92C2-25804820EDAC}">
                        <c15:formulaRef>
                          <c15:sqref>conab_yield!$A$6</c15:sqref>
                        </c15:formulaRef>
                      </c:ext>
                    </c:extLst>
                    <c:strCache>
                      <c:ptCount val="1"/>
                      <c:pt idx="0">
                        <c:v>Sugarcane</c:v>
                      </c:pt>
                    </c:strCache>
                  </c:strRef>
                </c:tx>
                <c:spPr>
                  <a:ln w="28575" cap="rnd">
                    <a:solidFill>
                      <a:schemeClr val="accent5"/>
                    </a:solidFill>
                    <a:round/>
                  </a:ln>
                  <a:effectLst/>
                </c:spPr>
                <c:marker>
                  <c:symbol val="none"/>
                </c:marker>
                <c:cat>
                  <c:numRef>
                    <c:extLst>
                      <c:ext uri="{02D57815-91ED-43cb-92C2-25804820EDAC}">
                        <c15:formulaRef>
                          <c15:sqref>conab_yield!$B$1:$AE$1</c15:sqref>
                        </c15:formulaRef>
                      </c:ext>
                    </c:extLst>
                    <c:numCache>
                      <c:formatCode>General</c:formatCode>
                      <c:ptCount val="30"/>
                      <c:pt idx="0">
                        <c:v>1986</c:v>
                      </c:pt>
                      <c:pt idx="1">
                        <c:v>1987</c:v>
                      </c:pt>
                      <c:pt idx="2">
                        <c:v>1988</c:v>
                      </c:pt>
                      <c:pt idx="3">
                        <c:v>1989</c:v>
                      </c:pt>
                      <c:pt idx="4">
                        <c:v>1990</c:v>
                      </c:pt>
                      <c:pt idx="5">
                        <c:v>1991</c:v>
                      </c:pt>
                      <c:pt idx="6">
                        <c:v>1992</c:v>
                      </c:pt>
                      <c:pt idx="7">
                        <c:v>1993</c:v>
                      </c:pt>
                      <c:pt idx="8">
                        <c:v>1994</c:v>
                      </c:pt>
                      <c:pt idx="9">
                        <c:v>1995</c:v>
                      </c:pt>
                      <c:pt idx="10">
                        <c:v>1996</c:v>
                      </c:pt>
                      <c:pt idx="11">
                        <c:v>1997</c:v>
                      </c:pt>
                      <c:pt idx="12">
                        <c:v>1998</c:v>
                      </c:pt>
                      <c:pt idx="13">
                        <c:v>1999</c:v>
                      </c:pt>
                      <c:pt idx="14">
                        <c:v>2000</c:v>
                      </c:pt>
                      <c:pt idx="15">
                        <c:v>2001</c:v>
                      </c:pt>
                      <c:pt idx="16">
                        <c:v>2002</c:v>
                      </c:pt>
                      <c:pt idx="17">
                        <c:v>2003</c:v>
                      </c:pt>
                      <c:pt idx="18">
                        <c:v>2004</c:v>
                      </c:pt>
                      <c:pt idx="19">
                        <c:v>2005</c:v>
                      </c:pt>
                      <c:pt idx="20">
                        <c:v>2006</c:v>
                      </c:pt>
                      <c:pt idx="21">
                        <c:v>2007</c:v>
                      </c:pt>
                      <c:pt idx="22">
                        <c:v>2008</c:v>
                      </c:pt>
                      <c:pt idx="23">
                        <c:v>2009</c:v>
                      </c:pt>
                      <c:pt idx="24">
                        <c:v>2010</c:v>
                      </c:pt>
                      <c:pt idx="25">
                        <c:v>2011</c:v>
                      </c:pt>
                      <c:pt idx="26">
                        <c:v>2012</c:v>
                      </c:pt>
                      <c:pt idx="27">
                        <c:v>2013</c:v>
                      </c:pt>
                      <c:pt idx="28">
                        <c:v>2014</c:v>
                      </c:pt>
                      <c:pt idx="29">
                        <c:v>2015</c:v>
                      </c:pt>
                    </c:numCache>
                  </c:numRef>
                </c:cat>
                <c:val>
                  <c:numRef>
                    <c:extLst>
                      <c:ext uri="{02D57815-91ED-43cb-92C2-25804820EDAC}">
                        <c15:formulaRef>
                          <c15:sqref>conab_yield!$B$6:$AE$6</c15:sqref>
                        </c15:formulaRef>
                      </c:ext>
                    </c:extLst>
                    <c:numCache>
                      <c:formatCode>General</c:formatCode>
                      <c:ptCount val="30"/>
                      <c:pt idx="20">
                        <c:v>74318</c:v>
                      </c:pt>
                      <c:pt idx="21">
                        <c:v>77038</c:v>
                      </c:pt>
                      <c:pt idx="22">
                        <c:v>81506</c:v>
                      </c:pt>
                      <c:pt idx="23">
                        <c:v>80965</c:v>
                      </c:pt>
                      <c:pt idx="24">
                        <c:v>81585</c:v>
                      </c:pt>
                      <c:pt idx="25">
                        <c:v>77446</c:v>
                      </c:pt>
                      <c:pt idx="26">
                        <c:v>67081</c:v>
                      </c:pt>
                      <c:pt idx="27">
                        <c:v>69407</c:v>
                      </c:pt>
                      <c:pt idx="28">
                        <c:v>74769</c:v>
                      </c:pt>
                      <c:pt idx="29">
                        <c:v>70495</c:v>
                      </c:pt>
                    </c:numCache>
                  </c:numRef>
                </c:val>
                <c:smooth val="0"/>
                <c:extLst>
                  <c:ext xmlns:c16="http://schemas.microsoft.com/office/drawing/2014/chart" uri="{C3380CC4-5D6E-409C-BE32-E72D297353CC}">
                    <c16:uniqueId val="{00000004-7105-40A8-9822-259C10407EBD}"/>
                  </c:ext>
                </c:extLst>
              </c15:ser>
            </c15:filteredLineSeries>
            <c15:filteredLineSeries>
              <c15:ser>
                <c:idx val="5"/>
                <c:order val="5"/>
                <c:tx>
                  <c:strRef>
                    <c:extLst xmlns:c15="http://schemas.microsoft.com/office/drawing/2012/chart">
                      <c:ext xmlns:c15="http://schemas.microsoft.com/office/drawing/2012/chart" uri="{02D57815-91ED-43cb-92C2-25804820EDAC}">
                        <c15:formulaRef>
                          <c15:sqref>conab_yield!$A$7</c15:sqref>
                        </c15:formulaRef>
                      </c:ext>
                    </c:extLst>
                    <c:strCache>
                      <c:ptCount val="1"/>
                      <c:pt idx="0">
                        <c:v>Soy</c:v>
                      </c:pt>
                    </c:strCache>
                  </c:strRef>
                </c:tx>
                <c:spPr>
                  <a:ln w="28575" cap="rnd">
                    <a:solidFill>
                      <a:schemeClr val="accent6"/>
                    </a:solidFill>
                    <a:round/>
                  </a:ln>
                  <a:effectLst/>
                </c:spPr>
                <c:marker>
                  <c:symbol val="none"/>
                </c:marker>
                <c:cat>
                  <c:numRef>
                    <c:extLst xmlns:c15="http://schemas.microsoft.com/office/drawing/2012/chart">
                      <c:ext xmlns:c15="http://schemas.microsoft.com/office/drawing/2012/chart" uri="{02D57815-91ED-43cb-92C2-25804820EDAC}">
                        <c15:formulaRef>
                          <c15:sqref>conab_yield!$B$1:$AE$1</c15:sqref>
                        </c15:formulaRef>
                      </c:ext>
                    </c:extLst>
                    <c:numCache>
                      <c:formatCode>General</c:formatCode>
                      <c:ptCount val="30"/>
                      <c:pt idx="0">
                        <c:v>1986</c:v>
                      </c:pt>
                      <c:pt idx="1">
                        <c:v>1987</c:v>
                      </c:pt>
                      <c:pt idx="2">
                        <c:v>1988</c:v>
                      </c:pt>
                      <c:pt idx="3">
                        <c:v>1989</c:v>
                      </c:pt>
                      <c:pt idx="4">
                        <c:v>1990</c:v>
                      </c:pt>
                      <c:pt idx="5">
                        <c:v>1991</c:v>
                      </c:pt>
                      <c:pt idx="6">
                        <c:v>1992</c:v>
                      </c:pt>
                      <c:pt idx="7">
                        <c:v>1993</c:v>
                      </c:pt>
                      <c:pt idx="8">
                        <c:v>1994</c:v>
                      </c:pt>
                      <c:pt idx="9">
                        <c:v>1995</c:v>
                      </c:pt>
                      <c:pt idx="10">
                        <c:v>1996</c:v>
                      </c:pt>
                      <c:pt idx="11">
                        <c:v>1997</c:v>
                      </c:pt>
                      <c:pt idx="12">
                        <c:v>1998</c:v>
                      </c:pt>
                      <c:pt idx="13">
                        <c:v>1999</c:v>
                      </c:pt>
                      <c:pt idx="14">
                        <c:v>2000</c:v>
                      </c:pt>
                      <c:pt idx="15">
                        <c:v>2001</c:v>
                      </c:pt>
                      <c:pt idx="16">
                        <c:v>2002</c:v>
                      </c:pt>
                      <c:pt idx="17">
                        <c:v>2003</c:v>
                      </c:pt>
                      <c:pt idx="18">
                        <c:v>2004</c:v>
                      </c:pt>
                      <c:pt idx="19">
                        <c:v>2005</c:v>
                      </c:pt>
                      <c:pt idx="20">
                        <c:v>2006</c:v>
                      </c:pt>
                      <c:pt idx="21">
                        <c:v>2007</c:v>
                      </c:pt>
                      <c:pt idx="22">
                        <c:v>2008</c:v>
                      </c:pt>
                      <c:pt idx="23">
                        <c:v>2009</c:v>
                      </c:pt>
                      <c:pt idx="24">
                        <c:v>2010</c:v>
                      </c:pt>
                      <c:pt idx="25">
                        <c:v>2011</c:v>
                      </c:pt>
                      <c:pt idx="26">
                        <c:v>2012</c:v>
                      </c:pt>
                      <c:pt idx="27">
                        <c:v>2013</c:v>
                      </c:pt>
                      <c:pt idx="28">
                        <c:v>2014</c:v>
                      </c:pt>
                      <c:pt idx="29">
                        <c:v>2015</c:v>
                      </c:pt>
                    </c:numCache>
                  </c:numRef>
                </c:cat>
                <c:val>
                  <c:numRef>
                    <c:extLst xmlns:c15="http://schemas.microsoft.com/office/drawing/2012/chart">
                      <c:ext xmlns:c15="http://schemas.microsoft.com/office/drawing/2012/chart" uri="{02D57815-91ED-43cb-92C2-25804820EDAC}">
                        <c15:formulaRef>
                          <c15:sqref>conab_yield!$B$7:$AE$7</c15:sqref>
                        </c15:formulaRef>
                      </c:ext>
                    </c:extLst>
                    <c:numCache>
                      <c:formatCode>General</c:formatCode>
                      <c:ptCount val="30"/>
                      <c:pt idx="0">
                        <c:v>1369</c:v>
                      </c:pt>
                      <c:pt idx="1">
                        <c:v>1851</c:v>
                      </c:pt>
                      <c:pt idx="2">
                        <c:v>1693</c:v>
                      </c:pt>
                      <c:pt idx="3">
                        <c:v>1953</c:v>
                      </c:pt>
                      <c:pt idx="4">
                        <c:v>1740</c:v>
                      </c:pt>
                      <c:pt idx="5">
                        <c:v>1580</c:v>
                      </c:pt>
                      <c:pt idx="6">
                        <c:v>2027</c:v>
                      </c:pt>
                      <c:pt idx="7">
                        <c:v>2150</c:v>
                      </c:pt>
                      <c:pt idx="8">
                        <c:v>2179</c:v>
                      </c:pt>
                      <c:pt idx="9">
                        <c:v>2221</c:v>
                      </c:pt>
                      <c:pt idx="10">
                        <c:v>2175</c:v>
                      </c:pt>
                      <c:pt idx="11">
                        <c:v>2299</c:v>
                      </c:pt>
                      <c:pt idx="12">
                        <c:v>2384</c:v>
                      </c:pt>
                      <c:pt idx="13">
                        <c:v>2367</c:v>
                      </c:pt>
                      <c:pt idx="14">
                        <c:v>2414</c:v>
                      </c:pt>
                      <c:pt idx="15">
                        <c:v>2751</c:v>
                      </c:pt>
                      <c:pt idx="16">
                        <c:v>2577</c:v>
                      </c:pt>
                      <c:pt idx="17">
                        <c:v>2816</c:v>
                      </c:pt>
                      <c:pt idx="18">
                        <c:v>2329</c:v>
                      </c:pt>
                      <c:pt idx="19">
                        <c:v>2245</c:v>
                      </c:pt>
                      <c:pt idx="20">
                        <c:v>2419</c:v>
                      </c:pt>
                      <c:pt idx="21">
                        <c:v>2823</c:v>
                      </c:pt>
                      <c:pt idx="22">
                        <c:v>2816</c:v>
                      </c:pt>
                      <c:pt idx="23">
                        <c:v>2629</c:v>
                      </c:pt>
                      <c:pt idx="24">
                        <c:v>2927</c:v>
                      </c:pt>
                      <c:pt idx="25">
                        <c:v>3115</c:v>
                      </c:pt>
                      <c:pt idx="26">
                        <c:v>2651</c:v>
                      </c:pt>
                      <c:pt idx="27">
                        <c:v>2938</c:v>
                      </c:pt>
                      <c:pt idx="28">
                        <c:v>2854</c:v>
                      </c:pt>
                      <c:pt idx="29">
                        <c:v>2999</c:v>
                      </c:pt>
                    </c:numCache>
                  </c:numRef>
                </c:val>
                <c:smooth val="0"/>
                <c:extLst xmlns:c15="http://schemas.microsoft.com/office/drawing/2012/chart">
                  <c:ext xmlns:c16="http://schemas.microsoft.com/office/drawing/2014/chart" uri="{C3380CC4-5D6E-409C-BE32-E72D297353CC}">
                    <c16:uniqueId val="{00000005-7105-40A8-9822-259C10407EBD}"/>
                  </c:ext>
                </c:extLst>
              </c15:ser>
            </c15:filteredLineSeries>
          </c:ext>
        </c:extLst>
      </c:lineChart>
      <c:catAx>
        <c:axId val="628295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628295776"/>
        <c:crosses val="autoZero"/>
        <c:auto val="1"/>
        <c:lblAlgn val="ctr"/>
        <c:lblOffset val="100"/>
        <c:noMultiLvlLbl val="0"/>
      </c:catAx>
      <c:valAx>
        <c:axId val="62829577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lang="ja-JP" sz="1000" b="0" i="0" u="none" strike="noStrike" kern="1200" baseline="0">
                    <a:solidFill>
                      <a:schemeClr val="tx1">
                        <a:lumMod val="65000"/>
                        <a:lumOff val="35000"/>
                      </a:schemeClr>
                    </a:solidFill>
                    <a:latin typeface="+mn-lt"/>
                    <a:ea typeface="+mn-ea"/>
                    <a:cs typeface="+mn-cs"/>
                  </a:defRPr>
                </a:pPr>
                <a:r>
                  <a:rPr lang="en-US"/>
                  <a:t>kg/ha</a:t>
                </a:r>
              </a:p>
            </c:rich>
          </c:tx>
          <c:overlay val="0"/>
          <c:spPr>
            <a:noFill/>
            <a:ln>
              <a:noFill/>
            </a:ln>
            <a:effectLst/>
          </c:spPr>
          <c:txPr>
            <a:bodyPr rot="-5400000" spcFirstLastPara="1" vertOverflow="ellipsis" vert="horz" wrap="square" anchor="ctr" anchorCtr="1"/>
            <a:lstStyle/>
            <a:p>
              <a:pPr>
                <a:defRPr lang="ja-JP"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crossAx val="6282953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ja-JP"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BF66-6E79-44F7-98AB-72992AA70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3751</Words>
  <Characters>21381</Characters>
  <Application>Microsoft Office Word</Application>
  <DocSecurity>0</DocSecurity>
  <Lines>178</Lines>
  <Paragraphs>50</Paragraphs>
  <ScaleCrop>false</ScaleCrop>
  <HeadingPairs>
    <vt:vector size="6" baseType="variant">
      <vt:variant>
        <vt:lpstr>Title</vt:lpstr>
      </vt:variant>
      <vt:variant>
        <vt:i4>1</vt:i4>
      </vt:variant>
      <vt:variant>
        <vt:lpstr>Titre</vt:lpstr>
      </vt:variant>
      <vt:variant>
        <vt:i4>1</vt:i4>
      </vt:variant>
      <vt:variant>
        <vt:lpstr>タイトル</vt:lpstr>
      </vt:variant>
      <vt:variant>
        <vt:i4>1</vt:i4>
      </vt:variant>
    </vt:vector>
  </HeadingPairs>
  <TitlesOfParts>
    <vt:vector size="3" baseType="lpstr">
      <vt:lpstr/>
      <vt:lpstr/>
      <vt:lpstr/>
    </vt:vector>
  </TitlesOfParts>
  <Company/>
  <LinksUpToDate>false</LinksUpToDate>
  <CharactersWithSpaces>25082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Koberle</dc:creator>
  <cp:keywords/>
  <dc:description/>
  <cp:lastModifiedBy>Koberle, Alexandre</cp:lastModifiedBy>
  <cp:revision>3</cp:revision>
  <dcterms:created xsi:type="dcterms:W3CDTF">2021-04-01T14:02:00Z</dcterms:created>
  <dcterms:modified xsi:type="dcterms:W3CDTF">2021-04-01T14:07:00Z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49f6e10b-5671-38df-a82e-a1ce0411ec66</vt:lpwstr>
  </property>
  <property fmtid="{D5CDD505-2E9C-101B-9397-08002B2CF9AE}" pid="24" name="Mendeley Citation Style_1">
    <vt:lpwstr>http://www.zotero.org/styles/apa</vt:lpwstr>
  </property>
</Properties>
</file>