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W w:w="0" w:type="auto"/>
        <w:tblInd w:w="-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0" w:type="dxa"/>
          <w:right w:w="30" w:type="dxa"/>
        </w:tblCellMar>
        <w:tblLook w:val="0000" w:firstRow="0" w:lastRow="0" w:firstColumn="0" w:lastColumn="0" w:noHBand="0" w:noVBand="0"/>
      </w:tblPr>
      <w:tblGrid>
        <w:gridCol w:w="1262"/>
        <w:gridCol w:w="1608"/>
        <w:gridCol w:w="1263"/>
        <w:gridCol w:w="995"/>
        <w:gridCol w:w="1418"/>
      </w:tblGrid>
      <w:tr w:rsidR="00776822" w:rsidRPr="00843FE8" w14:paraId="57349F07" w14:textId="77777777" w:rsidTr="00F93C37">
        <w:trPr>
          <w:trHeight w:val="494"/>
        </w:trPr>
        <w:tc>
          <w:tcPr>
            <w:tcW w:w="1262" w:type="dxa"/>
          </w:tcPr>
          <w:p w14:paraId="6FE34DE1" w14:textId="77777777" w:rsidR="00776822" w:rsidRPr="00843FE8" w:rsidRDefault="00776822" w:rsidP="00F93C37">
            <w:pPr>
              <w:autoSpaceDE w:val="0"/>
              <w:autoSpaceDN w:val="0"/>
              <w:adjustRightInd w:val="0"/>
              <w:rPr>
                <w:rFonts w:ascii="Arial" w:hAnsi="Arial" w:cs="Arial"/>
                <w:b/>
                <w:bCs/>
                <w:sz w:val="20"/>
                <w:szCs w:val="20"/>
                <w:lang w:val="de-DE"/>
              </w:rPr>
            </w:pPr>
            <w:r w:rsidRPr="00843FE8">
              <w:rPr>
                <w:rFonts w:ascii="Arial" w:hAnsi="Arial" w:cs="Arial"/>
                <w:b/>
                <w:bCs/>
                <w:sz w:val="20"/>
                <w:szCs w:val="20"/>
                <w:lang w:val="de-DE"/>
              </w:rPr>
              <w:t>Ref.</w:t>
            </w:r>
          </w:p>
        </w:tc>
        <w:tc>
          <w:tcPr>
            <w:tcW w:w="1608" w:type="dxa"/>
          </w:tcPr>
          <w:p w14:paraId="7E2FB1C3" w14:textId="77777777" w:rsidR="00776822" w:rsidRPr="00843FE8" w:rsidRDefault="00776822" w:rsidP="00F93C37">
            <w:pPr>
              <w:autoSpaceDE w:val="0"/>
              <w:autoSpaceDN w:val="0"/>
              <w:adjustRightInd w:val="0"/>
              <w:rPr>
                <w:rFonts w:ascii="Arial" w:hAnsi="Arial" w:cs="Arial"/>
                <w:b/>
                <w:bCs/>
                <w:sz w:val="20"/>
                <w:szCs w:val="20"/>
                <w:lang w:val="de-DE"/>
              </w:rPr>
            </w:pPr>
            <w:r w:rsidRPr="00843FE8">
              <w:rPr>
                <w:rFonts w:ascii="Arial" w:hAnsi="Arial" w:cs="Arial"/>
                <w:b/>
                <w:bCs/>
                <w:sz w:val="20"/>
                <w:szCs w:val="20"/>
                <w:lang w:val="de-DE"/>
              </w:rPr>
              <w:t>Group</w:t>
            </w:r>
          </w:p>
        </w:tc>
        <w:tc>
          <w:tcPr>
            <w:tcW w:w="1263" w:type="dxa"/>
          </w:tcPr>
          <w:p w14:paraId="06C37DF4" w14:textId="77777777" w:rsidR="00776822" w:rsidRPr="00843FE8" w:rsidRDefault="00776822" w:rsidP="00F93C37">
            <w:pPr>
              <w:autoSpaceDE w:val="0"/>
              <w:autoSpaceDN w:val="0"/>
              <w:adjustRightInd w:val="0"/>
              <w:rPr>
                <w:rFonts w:ascii="Arial" w:hAnsi="Arial" w:cs="Arial"/>
                <w:b/>
                <w:bCs/>
                <w:sz w:val="20"/>
                <w:szCs w:val="20"/>
                <w:lang w:val="de-DE"/>
              </w:rPr>
            </w:pPr>
            <w:r w:rsidRPr="00843FE8">
              <w:rPr>
                <w:rFonts w:ascii="Arial" w:hAnsi="Arial" w:cs="Arial"/>
                <w:b/>
                <w:bCs/>
                <w:sz w:val="20"/>
                <w:szCs w:val="20"/>
                <w:lang w:val="de-DE"/>
              </w:rPr>
              <w:t>n</w:t>
            </w:r>
          </w:p>
          <w:p w14:paraId="14C3B3B7" w14:textId="77777777" w:rsidR="00776822" w:rsidRPr="00843FE8" w:rsidRDefault="00776822" w:rsidP="00F93C37">
            <w:pPr>
              <w:autoSpaceDE w:val="0"/>
              <w:autoSpaceDN w:val="0"/>
              <w:adjustRightInd w:val="0"/>
              <w:rPr>
                <w:rFonts w:ascii="Arial" w:hAnsi="Arial" w:cs="Arial"/>
                <w:b/>
                <w:bCs/>
                <w:sz w:val="20"/>
                <w:szCs w:val="20"/>
                <w:lang w:val="de-DE"/>
              </w:rPr>
            </w:pPr>
            <w:r w:rsidRPr="00843FE8">
              <w:rPr>
                <w:rFonts w:ascii="Arial" w:hAnsi="Arial" w:cs="Arial"/>
                <w:b/>
                <w:bCs/>
                <w:sz w:val="20"/>
                <w:szCs w:val="20"/>
                <w:lang w:val="de-DE"/>
              </w:rPr>
              <w:t>(patients)</w:t>
            </w:r>
          </w:p>
        </w:tc>
        <w:tc>
          <w:tcPr>
            <w:tcW w:w="995" w:type="dxa"/>
          </w:tcPr>
          <w:p w14:paraId="32D21E31" w14:textId="77777777" w:rsidR="00776822" w:rsidRPr="00843FE8" w:rsidRDefault="00776822" w:rsidP="00F93C37">
            <w:pPr>
              <w:autoSpaceDE w:val="0"/>
              <w:autoSpaceDN w:val="0"/>
              <w:adjustRightInd w:val="0"/>
              <w:jc w:val="center"/>
              <w:rPr>
                <w:rFonts w:ascii="Arial" w:hAnsi="Arial" w:cs="Arial"/>
                <w:b/>
                <w:bCs/>
                <w:sz w:val="20"/>
                <w:szCs w:val="20"/>
                <w:lang w:val="de-DE"/>
              </w:rPr>
            </w:pPr>
            <w:r w:rsidRPr="00843FE8">
              <w:rPr>
                <w:rFonts w:ascii="Arial" w:hAnsi="Arial" w:cs="Arial"/>
                <w:b/>
                <w:bCs/>
                <w:sz w:val="20"/>
                <w:szCs w:val="20"/>
                <w:lang w:val="de-DE"/>
              </w:rPr>
              <w:t>Mean age (months)</w:t>
            </w:r>
          </w:p>
        </w:tc>
        <w:tc>
          <w:tcPr>
            <w:tcW w:w="1418" w:type="dxa"/>
          </w:tcPr>
          <w:p w14:paraId="41DD05CF" w14:textId="77777777" w:rsidR="00776822" w:rsidRPr="00843FE8" w:rsidRDefault="00776822" w:rsidP="00F93C37">
            <w:pPr>
              <w:autoSpaceDE w:val="0"/>
              <w:autoSpaceDN w:val="0"/>
              <w:adjustRightInd w:val="0"/>
              <w:rPr>
                <w:rFonts w:ascii="Arial" w:hAnsi="Arial" w:cs="Arial"/>
                <w:b/>
                <w:bCs/>
                <w:sz w:val="20"/>
                <w:szCs w:val="20"/>
                <w:lang w:val="en-US"/>
              </w:rPr>
            </w:pPr>
            <w:r w:rsidRPr="00843FE8">
              <w:rPr>
                <w:rFonts w:ascii="Arial" w:hAnsi="Arial" w:cs="Arial"/>
                <w:b/>
                <w:bCs/>
                <w:sz w:val="20"/>
                <w:szCs w:val="20"/>
                <w:lang w:val="en-US"/>
              </w:rPr>
              <w:t>Mean Ca/Cr ratio (mg/mg)</w:t>
            </w:r>
          </w:p>
        </w:tc>
      </w:tr>
      <w:tr w:rsidR="00776822" w:rsidRPr="00843FE8" w14:paraId="3712600D" w14:textId="77777777" w:rsidTr="00F93C37">
        <w:trPr>
          <w:trHeight w:val="247"/>
        </w:trPr>
        <w:tc>
          <w:tcPr>
            <w:tcW w:w="1262" w:type="dxa"/>
          </w:tcPr>
          <w:p w14:paraId="18C5BEAA" w14:textId="77777777" w:rsidR="00776822" w:rsidRPr="00843FE8" w:rsidRDefault="00776822" w:rsidP="00F93C37">
            <w:pPr>
              <w:autoSpaceDE w:val="0"/>
              <w:autoSpaceDN w:val="0"/>
              <w:adjustRightInd w:val="0"/>
              <w:jc w:val="right"/>
              <w:rPr>
                <w:sz w:val="20"/>
                <w:szCs w:val="20"/>
                <w:lang w:val="en-US"/>
              </w:rPr>
            </w:pPr>
          </w:p>
        </w:tc>
        <w:tc>
          <w:tcPr>
            <w:tcW w:w="1608" w:type="dxa"/>
          </w:tcPr>
          <w:p w14:paraId="7530418B" w14:textId="77777777" w:rsidR="00776822" w:rsidRPr="00843FE8" w:rsidRDefault="00776822" w:rsidP="00F93C37">
            <w:pPr>
              <w:autoSpaceDE w:val="0"/>
              <w:autoSpaceDN w:val="0"/>
              <w:adjustRightInd w:val="0"/>
              <w:jc w:val="right"/>
              <w:rPr>
                <w:sz w:val="20"/>
                <w:szCs w:val="20"/>
                <w:lang w:val="en-US"/>
              </w:rPr>
            </w:pPr>
          </w:p>
        </w:tc>
        <w:tc>
          <w:tcPr>
            <w:tcW w:w="1263" w:type="dxa"/>
          </w:tcPr>
          <w:p w14:paraId="574F5DC4" w14:textId="77777777" w:rsidR="00776822" w:rsidRPr="00843FE8" w:rsidRDefault="00776822" w:rsidP="00F93C37">
            <w:pPr>
              <w:autoSpaceDE w:val="0"/>
              <w:autoSpaceDN w:val="0"/>
              <w:adjustRightInd w:val="0"/>
              <w:jc w:val="right"/>
              <w:rPr>
                <w:sz w:val="20"/>
                <w:szCs w:val="20"/>
                <w:lang w:val="en-US"/>
              </w:rPr>
            </w:pPr>
          </w:p>
        </w:tc>
        <w:tc>
          <w:tcPr>
            <w:tcW w:w="995" w:type="dxa"/>
          </w:tcPr>
          <w:p w14:paraId="1ACD142D" w14:textId="77777777" w:rsidR="00776822" w:rsidRPr="00843FE8" w:rsidRDefault="00776822" w:rsidP="00F93C37">
            <w:pPr>
              <w:autoSpaceDE w:val="0"/>
              <w:autoSpaceDN w:val="0"/>
              <w:adjustRightInd w:val="0"/>
              <w:jc w:val="center"/>
              <w:rPr>
                <w:sz w:val="20"/>
                <w:szCs w:val="20"/>
                <w:lang w:val="en-US"/>
              </w:rPr>
            </w:pPr>
          </w:p>
        </w:tc>
        <w:tc>
          <w:tcPr>
            <w:tcW w:w="1418" w:type="dxa"/>
          </w:tcPr>
          <w:p w14:paraId="488BD25F" w14:textId="77777777" w:rsidR="00776822" w:rsidRPr="00843FE8" w:rsidRDefault="00776822" w:rsidP="00F93C37">
            <w:pPr>
              <w:autoSpaceDE w:val="0"/>
              <w:autoSpaceDN w:val="0"/>
              <w:adjustRightInd w:val="0"/>
              <w:jc w:val="right"/>
              <w:rPr>
                <w:sz w:val="20"/>
                <w:szCs w:val="20"/>
                <w:lang w:val="en-US"/>
              </w:rPr>
            </w:pPr>
          </w:p>
        </w:tc>
      </w:tr>
      <w:tr w:rsidR="00776822" w:rsidRPr="00843FE8" w14:paraId="5556906A" w14:textId="77777777" w:rsidTr="00F93C37">
        <w:trPr>
          <w:trHeight w:val="276"/>
        </w:trPr>
        <w:tc>
          <w:tcPr>
            <w:tcW w:w="1262" w:type="dxa"/>
          </w:tcPr>
          <w:p w14:paraId="56FBAEE2" w14:textId="77777777" w:rsidR="00776822" w:rsidRPr="00843FE8" w:rsidRDefault="00776822" w:rsidP="00F93C37">
            <w:pPr>
              <w:autoSpaceDE w:val="0"/>
              <w:autoSpaceDN w:val="0"/>
              <w:adjustRightInd w:val="0"/>
              <w:rPr>
                <w:rFonts w:ascii="Segoe UI Symbol" w:hAnsi="Segoe UI Symbol" w:cs="Segoe UI Symbol"/>
                <w:sz w:val="20"/>
                <w:szCs w:val="20"/>
                <w:lang w:val="de-DE"/>
              </w:rPr>
            </w:pPr>
            <w:r w:rsidRPr="00843FE8">
              <w:rPr>
                <w:rFonts w:ascii="Arial" w:hAnsi="Arial" w:cs="Arial"/>
                <w:sz w:val="20"/>
                <w:szCs w:val="20"/>
                <w:lang w:val="de-DE"/>
              </w:rPr>
              <w:t xml:space="preserve">Haberal </w:t>
            </w:r>
            <w:r w:rsidRPr="00843FE8">
              <w:rPr>
                <w:rFonts w:ascii="Arial" w:hAnsi="Arial" w:cs="Arial"/>
                <w:sz w:val="20"/>
                <w:szCs w:val="20"/>
                <w:lang w:val="de-DE"/>
              </w:rPr>
              <w:fldChar w:fldCharType="begin" w:fldLock="1"/>
            </w:r>
            <w:r w:rsidRPr="00843FE8">
              <w:rPr>
                <w:rFonts w:ascii="Arial" w:hAnsi="Arial" w:cs="Arial"/>
                <w:sz w:val="20"/>
                <w:szCs w:val="20"/>
                <w:lang w:val="de-DE"/>
              </w:rPr>
              <w:instrText>ADDIN CSL_CITATION {"citationItems":[{"id":"ITEM-1","itemData":{"DOI":"10.1055/s-0040-1721389","ISSN":"1439359X","PMID":"33225429","abstract":"Introduction A large number of genes and environmental factors, like dietary habits, play a role in the development of hypercalciuria in children. In this study, we aimed to determine the effects of the presence and grade of vesicoureteral reflux (VUR) on hypercalciuria status in children. Materials and Methods Data for 165 patients who admitted to the Pediatric Urology Department were retrospectively analyzed. The patients were composed of following four different groups: (1) urinary stone patients, (2) VUR patients under follow-up, (3) corrected VUR patients, and (4) control. The demographic features, clinical data, and laboratory tests for the groups were compared. Results The mean age of the patients was 100.6 ± 54.69 months and the female/male ratio was 79:86. The mean urinary calcium/creatinine (UCa/Cr) excretion and the frequency of high UCa/Cr ratios in the corrected VUR group were similar to those in the control group (p = 0.375 and 0.965, respectively). In contrast, the mean UCa/Cr excretion and frequency of high UCa/Cr ratios in the urinary stone and follow-up VUR groups were significantly higher than those in the corrected VUR group (p &lt; 0.001, &lt; 0.001, 0.003, and 0.029, respectively). The mean UCa/Cr excretion and frequency of high UCa/Cr ratios in the follow-up VUR group were similar to those in the urinary stone group (p = 0.323 and 0.425, respectively). In the follow-up VUR group, although reflux laterality had no effect on the UCa/Cr ratios (p = 0.180 and 0.108, respectively), the mean and frequency of high UCa/Cr ratios were higher in high-grade reflux cases (p &lt; 0.001 and p = 0.042, respectively). Conclusion Both the mean UCa/Cr ratio and the rate of hypercalciuria in the corrected reflux group were significantly lower than the corresponding values in the follow-up VUR and urinary stone groups. Further, the follow-up VUR patients had similar urinary calcium excretion levels as the stone patients. VUR treatment is associated with a decrease in urinary calcium excretion to the normal population level. A positive correlation between reflux degree and calcium excretion was observed.","author":[{"dropping-particle":"","family":"Haberal","given":"Hakan Bahadir","non-dropping-particle":"","parse-names":false,"suffix":""},{"dropping-particle":"","family":"Artykov","given":"Meylis","non-dropping-particle":"","parse-names":false,"suffix":""},{"dropping-particle":"","family":"Hazir","given":"Berk","non-dropping-particle":"","parse-names":false,"suffix":""},{"dropping-particle":"","family":"Altan","given":"Mesut","non-dropping-particle":"","parse-names":false,"suffix":""},{"dropping-particle":"","family":"Citamak","given":"Burak","non-dropping-particle":"","parse-names":false,"suffix":""},{"dropping-particle":"","family":"Kahraman","given":"Oguzhan","non-dropping-particle":"","parse-names":false,"suffix":""},{"dropping-particle":"","family":"Tekgul","given":"Serdar","non-dropping-particle":"","parse-names":false,"suffix":""},{"dropping-particle":"","family":"Dogan","given":"Hasan Serkan","non-dropping-particle":"","parse-names":false,"suffix":""}],"container-title":"European Journal of Pediatric Surgery","id":"ITEM-1","issue":"6","issued":{"date-parts":[["2021","12","1"]]},"page":"530-534","publisher":"Georg Thieme Verlag","title":"An Important Risk Factor Affecting Hypercalciuria in Children: Vesicoureteral Reflux","type":"article-journal","volume":"31"},"uris":["http://www.mendeley.com/documents/?uuid=8f350cd1-6bc0-37f1-a818-8f6e3e4a1be1"]}],"mendeley":{"formattedCitation":"[4]","plainTextFormattedCitation":"[4]","previouslyFormattedCitation":"[4]"},"properties":{"noteIndex":0},"schema":"https://github.com/citation-style-language/schema/raw/master/csl-citation.json"}</w:instrText>
            </w:r>
            <w:r w:rsidRPr="00843FE8">
              <w:rPr>
                <w:rFonts w:ascii="Arial" w:hAnsi="Arial" w:cs="Arial"/>
                <w:sz w:val="20"/>
                <w:szCs w:val="20"/>
                <w:lang w:val="de-DE"/>
              </w:rPr>
              <w:fldChar w:fldCharType="separate"/>
            </w:r>
            <w:r w:rsidRPr="00843FE8">
              <w:rPr>
                <w:rFonts w:ascii="Arial" w:hAnsi="Arial" w:cs="Arial"/>
                <w:noProof/>
                <w:sz w:val="20"/>
                <w:szCs w:val="20"/>
                <w:lang w:val="de-DE"/>
              </w:rPr>
              <w:t>[4]</w:t>
            </w:r>
            <w:r w:rsidRPr="00843FE8">
              <w:rPr>
                <w:rFonts w:ascii="Arial" w:hAnsi="Arial" w:cs="Arial"/>
                <w:sz w:val="20"/>
                <w:szCs w:val="20"/>
                <w:lang w:val="de-DE"/>
              </w:rPr>
              <w:fldChar w:fldCharType="end"/>
            </w:r>
          </w:p>
        </w:tc>
        <w:tc>
          <w:tcPr>
            <w:tcW w:w="1608" w:type="dxa"/>
          </w:tcPr>
          <w:p w14:paraId="1070FDFA" w14:textId="77777777" w:rsidR="00776822" w:rsidRPr="00843FE8" w:rsidRDefault="00776822" w:rsidP="00F93C37">
            <w:pPr>
              <w:autoSpaceDE w:val="0"/>
              <w:autoSpaceDN w:val="0"/>
              <w:adjustRightInd w:val="0"/>
              <w:rPr>
                <w:rFonts w:ascii="Arial" w:hAnsi="Arial" w:cs="Arial"/>
                <w:b/>
                <w:bCs/>
                <w:sz w:val="20"/>
                <w:szCs w:val="20"/>
                <w:lang w:val="de-DE"/>
              </w:rPr>
            </w:pPr>
            <w:r w:rsidRPr="00843FE8">
              <w:rPr>
                <w:rFonts w:ascii="Arial" w:hAnsi="Arial" w:cs="Arial"/>
                <w:b/>
                <w:bCs/>
                <w:sz w:val="20"/>
                <w:szCs w:val="20"/>
                <w:lang w:val="de-DE"/>
              </w:rPr>
              <w:t>VUR</w:t>
            </w:r>
          </w:p>
        </w:tc>
        <w:tc>
          <w:tcPr>
            <w:tcW w:w="1263" w:type="dxa"/>
          </w:tcPr>
          <w:p w14:paraId="59CC2C8C" w14:textId="77777777" w:rsidR="00776822" w:rsidRPr="00843FE8" w:rsidRDefault="00776822" w:rsidP="00F93C37">
            <w:pPr>
              <w:autoSpaceDE w:val="0"/>
              <w:autoSpaceDN w:val="0"/>
              <w:adjustRightInd w:val="0"/>
              <w:rPr>
                <w:rFonts w:ascii="Arial" w:hAnsi="Arial" w:cs="Arial"/>
                <w:b/>
                <w:bCs/>
                <w:sz w:val="20"/>
                <w:szCs w:val="20"/>
                <w:lang w:val="de-DE"/>
              </w:rPr>
            </w:pPr>
            <w:r w:rsidRPr="00843FE8">
              <w:rPr>
                <w:rFonts w:ascii="Arial" w:hAnsi="Arial" w:cs="Arial"/>
                <w:b/>
                <w:bCs/>
                <w:sz w:val="20"/>
                <w:szCs w:val="20"/>
                <w:lang w:val="de-DE"/>
              </w:rPr>
              <w:t>29 </w:t>
            </w:r>
          </w:p>
        </w:tc>
        <w:tc>
          <w:tcPr>
            <w:tcW w:w="995" w:type="dxa"/>
          </w:tcPr>
          <w:p w14:paraId="08D5D0B4" w14:textId="77777777" w:rsidR="00776822" w:rsidRPr="00843FE8" w:rsidRDefault="00776822" w:rsidP="00F93C37">
            <w:pPr>
              <w:autoSpaceDE w:val="0"/>
              <w:autoSpaceDN w:val="0"/>
              <w:adjustRightInd w:val="0"/>
              <w:jc w:val="center"/>
              <w:rPr>
                <w:rFonts w:ascii="Arial" w:hAnsi="Arial" w:cs="Arial"/>
                <w:b/>
                <w:bCs/>
                <w:sz w:val="20"/>
                <w:szCs w:val="20"/>
                <w:lang w:val="de-DE"/>
              </w:rPr>
            </w:pPr>
            <w:r w:rsidRPr="00843FE8">
              <w:rPr>
                <w:rFonts w:ascii="Arial" w:hAnsi="Arial" w:cs="Arial"/>
                <w:b/>
                <w:bCs/>
                <w:sz w:val="20"/>
                <w:szCs w:val="20"/>
                <w:lang w:val="de-DE"/>
              </w:rPr>
              <w:t>65</w:t>
            </w:r>
          </w:p>
        </w:tc>
        <w:tc>
          <w:tcPr>
            <w:tcW w:w="1418" w:type="dxa"/>
          </w:tcPr>
          <w:p w14:paraId="0DB434B4" w14:textId="77777777" w:rsidR="00776822" w:rsidRPr="00843FE8" w:rsidRDefault="00776822" w:rsidP="00F93C37">
            <w:pPr>
              <w:autoSpaceDE w:val="0"/>
              <w:autoSpaceDN w:val="0"/>
              <w:adjustRightInd w:val="0"/>
              <w:rPr>
                <w:rFonts w:ascii="Arial" w:hAnsi="Arial" w:cs="Arial"/>
                <w:b/>
                <w:bCs/>
                <w:sz w:val="20"/>
                <w:szCs w:val="20"/>
                <w:lang w:val="de-DE"/>
              </w:rPr>
            </w:pPr>
            <w:r w:rsidRPr="00843FE8">
              <w:rPr>
                <w:rFonts w:ascii="Arial" w:hAnsi="Arial" w:cs="Arial"/>
                <w:b/>
                <w:bCs/>
                <w:sz w:val="20"/>
                <w:szCs w:val="20"/>
                <w:lang w:val="de-DE"/>
              </w:rPr>
              <w:t>0.10 </w:t>
            </w:r>
          </w:p>
        </w:tc>
      </w:tr>
      <w:tr w:rsidR="00776822" w:rsidRPr="00843FE8" w14:paraId="23215D34" w14:textId="77777777" w:rsidTr="00F93C37">
        <w:trPr>
          <w:trHeight w:val="247"/>
        </w:trPr>
        <w:tc>
          <w:tcPr>
            <w:tcW w:w="1262" w:type="dxa"/>
          </w:tcPr>
          <w:p w14:paraId="74EF2718" w14:textId="77777777" w:rsidR="00776822" w:rsidRPr="00843FE8" w:rsidRDefault="00776822" w:rsidP="00F93C37">
            <w:pPr>
              <w:autoSpaceDE w:val="0"/>
              <w:autoSpaceDN w:val="0"/>
              <w:adjustRightInd w:val="0"/>
              <w:rPr>
                <w:rFonts w:ascii="Arial" w:hAnsi="Arial" w:cs="Arial"/>
                <w:sz w:val="20"/>
                <w:szCs w:val="20"/>
                <w:lang w:val="de-DE"/>
              </w:rPr>
            </w:pPr>
          </w:p>
        </w:tc>
        <w:tc>
          <w:tcPr>
            <w:tcW w:w="1608" w:type="dxa"/>
          </w:tcPr>
          <w:p w14:paraId="15BBB5D6" w14:textId="77777777" w:rsidR="00776822" w:rsidRPr="00843FE8" w:rsidRDefault="00776822" w:rsidP="00F93C37">
            <w:pPr>
              <w:autoSpaceDE w:val="0"/>
              <w:autoSpaceDN w:val="0"/>
              <w:adjustRightInd w:val="0"/>
              <w:rPr>
                <w:rFonts w:ascii="Arial" w:hAnsi="Arial" w:cs="Arial"/>
                <w:sz w:val="20"/>
                <w:szCs w:val="20"/>
                <w:lang w:val="de-DE"/>
              </w:rPr>
            </w:pPr>
            <w:r w:rsidRPr="00843FE8">
              <w:rPr>
                <w:rFonts w:ascii="Arial" w:hAnsi="Arial" w:cs="Arial"/>
                <w:sz w:val="20"/>
                <w:szCs w:val="20"/>
                <w:lang w:val="de-DE"/>
              </w:rPr>
              <w:t>Operated VUR </w:t>
            </w:r>
          </w:p>
        </w:tc>
        <w:tc>
          <w:tcPr>
            <w:tcW w:w="1263" w:type="dxa"/>
          </w:tcPr>
          <w:p w14:paraId="5D3B9ECB" w14:textId="77777777" w:rsidR="00776822" w:rsidRPr="00843FE8" w:rsidRDefault="00776822" w:rsidP="00F93C37">
            <w:pPr>
              <w:autoSpaceDE w:val="0"/>
              <w:autoSpaceDN w:val="0"/>
              <w:adjustRightInd w:val="0"/>
              <w:rPr>
                <w:rFonts w:ascii="Arial" w:hAnsi="Arial" w:cs="Arial"/>
                <w:sz w:val="20"/>
                <w:szCs w:val="20"/>
                <w:lang w:val="de-DE"/>
              </w:rPr>
            </w:pPr>
            <w:r w:rsidRPr="00843FE8">
              <w:rPr>
                <w:rFonts w:ascii="Arial" w:hAnsi="Arial" w:cs="Arial"/>
                <w:sz w:val="20"/>
                <w:szCs w:val="20"/>
                <w:lang w:val="de-DE"/>
              </w:rPr>
              <w:t>53 </w:t>
            </w:r>
          </w:p>
        </w:tc>
        <w:tc>
          <w:tcPr>
            <w:tcW w:w="995" w:type="dxa"/>
          </w:tcPr>
          <w:p w14:paraId="5347B999" w14:textId="77777777" w:rsidR="00776822" w:rsidRPr="00843FE8" w:rsidRDefault="00776822" w:rsidP="00F93C37">
            <w:pPr>
              <w:autoSpaceDE w:val="0"/>
              <w:autoSpaceDN w:val="0"/>
              <w:adjustRightInd w:val="0"/>
              <w:jc w:val="center"/>
              <w:rPr>
                <w:rFonts w:ascii="Arial" w:hAnsi="Arial" w:cs="Arial"/>
                <w:sz w:val="20"/>
                <w:szCs w:val="20"/>
                <w:lang w:val="de-DE"/>
              </w:rPr>
            </w:pPr>
            <w:r w:rsidRPr="00843FE8">
              <w:rPr>
                <w:rFonts w:ascii="Arial" w:hAnsi="Arial" w:cs="Arial"/>
                <w:sz w:val="20"/>
                <w:szCs w:val="20"/>
                <w:lang w:val="de-DE"/>
              </w:rPr>
              <w:t>124</w:t>
            </w:r>
          </w:p>
        </w:tc>
        <w:tc>
          <w:tcPr>
            <w:tcW w:w="1418" w:type="dxa"/>
          </w:tcPr>
          <w:p w14:paraId="01A7F2FC" w14:textId="77777777" w:rsidR="00776822" w:rsidRPr="00843FE8" w:rsidRDefault="00776822" w:rsidP="00F93C37">
            <w:pPr>
              <w:autoSpaceDE w:val="0"/>
              <w:autoSpaceDN w:val="0"/>
              <w:adjustRightInd w:val="0"/>
              <w:rPr>
                <w:rFonts w:ascii="Arial" w:hAnsi="Arial" w:cs="Arial"/>
                <w:sz w:val="20"/>
                <w:szCs w:val="20"/>
                <w:lang w:val="de-DE"/>
              </w:rPr>
            </w:pPr>
            <w:r w:rsidRPr="00843FE8">
              <w:rPr>
                <w:rFonts w:ascii="Arial" w:hAnsi="Arial" w:cs="Arial"/>
                <w:sz w:val="20"/>
                <w:szCs w:val="20"/>
                <w:lang w:val="de-DE"/>
              </w:rPr>
              <w:t>0.05 </w:t>
            </w:r>
          </w:p>
        </w:tc>
      </w:tr>
      <w:tr w:rsidR="00776822" w:rsidRPr="00843FE8" w14:paraId="1BB114FF" w14:textId="77777777" w:rsidTr="00F93C37">
        <w:trPr>
          <w:trHeight w:val="247"/>
        </w:trPr>
        <w:tc>
          <w:tcPr>
            <w:tcW w:w="1262" w:type="dxa"/>
          </w:tcPr>
          <w:p w14:paraId="52015B73" w14:textId="77777777" w:rsidR="00776822" w:rsidRPr="00843FE8" w:rsidRDefault="00776822" w:rsidP="00F93C37">
            <w:pPr>
              <w:autoSpaceDE w:val="0"/>
              <w:autoSpaceDN w:val="0"/>
              <w:adjustRightInd w:val="0"/>
              <w:jc w:val="right"/>
              <w:rPr>
                <w:sz w:val="20"/>
                <w:szCs w:val="20"/>
                <w:lang w:val="de-DE"/>
              </w:rPr>
            </w:pPr>
          </w:p>
        </w:tc>
        <w:tc>
          <w:tcPr>
            <w:tcW w:w="1608" w:type="dxa"/>
          </w:tcPr>
          <w:p w14:paraId="191E1BAA" w14:textId="77777777" w:rsidR="00776822" w:rsidRPr="00843FE8" w:rsidRDefault="00776822" w:rsidP="00F93C37">
            <w:pPr>
              <w:autoSpaceDE w:val="0"/>
              <w:autoSpaceDN w:val="0"/>
              <w:adjustRightInd w:val="0"/>
              <w:rPr>
                <w:rFonts w:ascii="Arial" w:hAnsi="Arial" w:cs="Arial"/>
                <w:sz w:val="20"/>
                <w:szCs w:val="20"/>
                <w:lang w:val="de-DE"/>
              </w:rPr>
            </w:pPr>
            <w:r w:rsidRPr="00843FE8">
              <w:rPr>
                <w:rFonts w:ascii="Arial" w:hAnsi="Arial" w:cs="Arial"/>
                <w:sz w:val="20"/>
                <w:szCs w:val="20"/>
                <w:lang w:val="de-DE"/>
              </w:rPr>
              <w:t>Control</w:t>
            </w:r>
          </w:p>
        </w:tc>
        <w:tc>
          <w:tcPr>
            <w:tcW w:w="1263" w:type="dxa"/>
          </w:tcPr>
          <w:p w14:paraId="3318127D" w14:textId="77777777" w:rsidR="00776822" w:rsidRPr="00843FE8" w:rsidRDefault="00776822" w:rsidP="00F93C37">
            <w:pPr>
              <w:autoSpaceDE w:val="0"/>
              <w:autoSpaceDN w:val="0"/>
              <w:adjustRightInd w:val="0"/>
              <w:rPr>
                <w:rFonts w:ascii="Arial" w:hAnsi="Arial" w:cs="Arial"/>
                <w:sz w:val="20"/>
                <w:szCs w:val="20"/>
                <w:lang w:val="de-DE"/>
              </w:rPr>
            </w:pPr>
            <w:r w:rsidRPr="00843FE8">
              <w:rPr>
                <w:rFonts w:ascii="Arial" w:hAnsi="Arial" w:cs="Arial"/>
                <w:sz w:val="20"/>
                <w:szCs w:val="20"/>
                <w:lang w:val="de-DE"/>
              </w:rPr>
              <w:t>34 </w:t>
            </w:r>
          </w:p>
        </w:tc>
        <w:tc>
          <w:tcPr>
            <w:tcW w:w="995" w:type="dxa"/>
          </w:tcPr>
          <w:p w14:paraId="3D8A150F" w14:textId="77777777" w:rsidR="00776822" w:rsidRPr="00843FE8" w:rsidRDefault="00776822" w:rsidP="00F93C37">
            <w:pPr>
              <w:autoSpaceDE w:val="0"/>
              <w:autoSpaceDN w:val="0"/>
              <w:adjustRightInd w:val="0"/>
              <w:jc w:val="center"/>
              <w:rPr>
                <w:rFonts w:ascii="Arial" w:hAnsi="Arial" w:cs="Arial"/>
                <w:sz w:val="20"/>
                <w:szCs w:val="20"/>
                <w:lang w:val="de-DE"/>
              </w:rPr>
            </w:pPr>
            <w:r w:rsidRPr="00843FE8">
              <w:rPr>
                <w:rFonts w:ascii="Arial" w:hAnsi="Arial" w:cs="Arial"/>
                <w:sz w:val="20"/>
                <w:szCs w:val="20"/>
                <w:lang w:val="de-DE"/>
              </w:rPr>
              <w:t>101</w:t>
            </w:r>
          </w:p>
        </w:tc>
        <w:tc>
          <w:tcPr>
            <w:tcW w:w="1418" w:type="dxa"/>
          </w:tcPr>
          <w:p w14:paraId="7556BD82" w14:textId="77777777" w:rsidR="00776822" w:rsidRPr="00843FE8" w:rsidRDefault="00776822" w:rsidP="00F93C37">
            <w:pPr>
              <w:autoSpaceDE w:val="0"/>
              <w:autoSpaceDN w:val="0"/>
              <w:adjustRightInd w:val="0"/>
              <w:rPr>
                <w:rFonts w:ascii="Arial" w:hAnsi="Arial" w:cs="Arial"/>
                <w:sz w:val="20"/>
                <w:szCs w:val="20"/>
                <w:lang w:val="de-DE"/>
              </w:rPr>
            </w:pPr>
            <w:r w:rsidRPr="00843FE8">
              <w:rPr>
                <w:rFonts w:ascii="Arial" w:hAnsi="Arial" w:cs="Arial"/>
                <w:sz w:val="20"/>
                <w:szCs w:val="20"/>
                <w:lang w:val="de-DE"/>
              </w:rPr>
              <w:t>0.06</w:t>
            </w:r>
          </w:p>
        </w:tc>
      </w:tr>
      <w:tr w:rsidR="00776822" w:rsidRPr="00843FE8" w14:paraId="0ED903F8" w14:textId="77777777" w:rsidTr="00F93C37">
        <w:trPr>
          <w:trHeight w:val="247"/>
        </w:trPr>
        <w:tc>
          <w:tcPr>
            <w:tcW w:w="1262" w:type="dxa"/>
          </w:tcPr>
          <w:p w14:paraId="737F3C59" w14:textId="77777777" w:rsidR="00776822" w:rsidRPr="00843FE8" w:rsidRDefault="00776822" w:rsidP="00F93C37">
            <w:pPr>
              <w:autoSpaceDE w:val="0"/>
              <w:autoSpaceDN w:val="0"/>
              <w:adjustRightInd w:val="0"/>
              <w:jc w:val="right"/>
              <w:rPr>
                <w:sz w:val="20"/>
                <w:szCs w:val="20"/>
                <w:lang w:val="de-DE"/>
              </w:rPr>
            </w:pPr>
          </w:p>
        </w:tc>
        <w:tc>
          <w:tcPr>
            <w:tcW w:w="1608" w:type="dxa"/>
          </w:tcPr>
          <w:p w14:paraId="733B07A2" w14:textId="77777777" w:rsidR="00776822" w:rsidRPr="00843FE8" w:rsidRDefault="00776822" w:rsidP="00F93C37">
            <w:pPr>
              <w:autoSpaceDE w:val="0"/>
              <w:autoSpaceDN w:val="0"/>
              <w:adjustRightInd w:val="0"/>
              <w:jc w:val="right"/>
              <w:rPr>
                <w:sz w:val="20"/>
                <w:szCs w:val="20"/>
                <w:lang w:val="de-DE"/>
              </w:rPr>
            </w:pPr>
          </w:p>
        </w:tc>
        <w:tc>
          <w:tcPr>
            <w:tcW w:w="1263" w:type="dxa"/>
          </w:tcPr>
          <w:p w14:paraId="3AA0C1DF" w14:textId="77777777" w:rsidR="00776822" w:rsidRPr="00843FE8" w:rsidRDefault="00776822" w:rsidP="00F93C37">
            <w:pPr>
              <w:autoSpaceDE w:val="0"/>
              <w:autoSpaceDN w:val="0"/>
              <w:adjustRightInd w:val="0"/>
              <w:jc w:val="right"/>
              <w:rPr>
                <w:sz w:val="20"/>
                <w:szCs w:val="20"/>
                <w:lang w:val="de-DE"/>
              </w:rPr>
            </w:pPr>
          </w:p>
        </w:tc>
        <w:tc>
          <w:tcPr>
            <w:tcW w:w="995" w:type="dxa"/>
          </w:tcPr>
          <w:p w14:paraId="443A50C4" w14:textId="77777777" w:rsidR="00776822" w:rsidRPr="00843FE8" w:rsidRDefault="00776822" w:rsidP="00F93C37">
            <w:pPr>
              <w:autoSpaceDE w:val="0"/>
              <w:autoSpaceDN w:val="0"/>
              <w:adjustRightInd w:val="0"/>
              <w:jc w:val="center"/>
              <w:rPr>
                <w:sz w:val="20"/>
                <w:szCs w:val="20"/>
                <w:lang w:val="de-DE"/>
              </w:rPr>
            </w:pPr>
          </w:p>
        </w:tc>
        <w:tc>
          <w:tcPr>
            <w:tcW w:w="1418" w:type="dxa"/>
          </w:tcPr>
          <w:p w14:paraId="0C39575B" w14:textId="77777777" w:rsidR="00776822" w:rsidRPr="00843FE8" w:rsidRDefault="00776822" w:rsidP="00F93C37">
            <w:pPr>
              <w:autoSpaceDE w:val="0"/>
              <w:autoSpaceDN w:val="0"/>
              <w:adjustRightInd w:val="0"/>
              <w:jc w:val="right"/>
              <w:rPr>
                <w:sz w:val="20"/>
                <w:szCs w:val="20"/>
                <w:lang w:val="de-DE"/>
              </w:rPr>
            </w:pPr>
          </w:p>
        </w:tc>
      </w:tr>
      <w:tr w:rsidR="00776822" w:rsidRPr="00843FE8" w14:paraId="54D20CEB" w14:textId="77777777" w:rsidTr="00F93C37">
        <w:trPr>
          <w:trHeight w:val="276"/>
        </w:trPr>
        <w:tc>
          <w:tcPr>
            <w:tcW w:w="1262" w:type="dxa"/>
          </w:tcPr>
          <w:p w14:paraId="367A06A1" w14:textId="77777777" w:rsidR="00776822" w:rsidRPr="00843FE8" w:rsidRDefault="00776822" w:rsidP="00F93C37">
            <w:pPr>
              <w:autoSpaceDE w:val="0"/>
              <w:autoSpaceDN w:val="0"/>
              <w:adjustRightInd w:val="0"/>
              <w:rPr>
                <w:rFonts w:ascii="Segoe UI Symbol" w:hAnsi="Segoe UI Symbol" w:cs="Segoe UI Symbol"/>
                <w:sz w:val="20"/>
                <w:szCs w:val="20"/>
                <w:lang w:val="de-DE"/>
              </w:rPr>
            </w:pPr>
            <w:r w:rsidRPr="00843FE8">
              <w:rPr>
                <w:rFonts w:ascii="Arial" w:hAnsi="Arial" w:cs="Arial"/>
                <w:sz w:val="20"/>
                <w:szCs w:val="20"/>
                <w:lang w:val="de-DE"/>
              </w:rPr>
              <w:t xml:space="preserve">Madani </w:t>
            </w:r>
            <w:r w:rsidRPr="00843FE8">
              <w:rPr>
                <w:rFonts w:ascii="Arial" w:hAnsi="Arial" w:cs="Arial"/>
                <w:sz w:val="20"/>
                <w:szCs w:val="20"/>
                <w:lang w:val="de-DE"/>
              </w:rPr>
              <w:fldChar w:fldCharType="begin" w:fldLock="1"/>
            </w:r>
            <w:r w:rsidRPr="00843FE8">
              <w:rPr>
                <w:rFonts w:ascii="Arial" w:hAnsi="Arial" w:cs="Arial"/>
                <w:sz w:val="20"/>
                <w:szCs w:val="20"/>
                <w:lang w:val="de-DE"/>
              </w:rPr>
              <w:instrText>ADDIN CSL_CITATION {"citationItems":[{"id":"ITEM-1","itemData":{"DOI":"10.1007/s00467-011-1936-4","ISSN":"0931041X","PMID":"21814729","abstract":"Urolithiasis is relatively common in children, and identifiable predisposing factors for stone formation, including metabolic and structural derangements, can be established in most cases. Vesicoureteral reflux (VUR) is a common cause of kidney stone formation. The pathophysiological mechanism of urolithiasis in reflux is related to urinary tract infection and urinary stasis, both of which promote urinary crystal formation, but metabolic causes, such as crystallurias (mostly hypercalciuria), may also be involved in this process. However, few studies on urinary calcium and uric acid excretion in children with VUR have been conducted. We have studied the frequency of hypercalciuria and hyperuricosuria in children with VUR and compared the results with those from a control group. The VUR group comprised 108 children with VUR (19 boys, 89 girls; age range 3 months to 12 years), and the control group comprised 110 healthy children without any history of reflux or urinary tract infection (30 boys, 80 girls; age range 2 months to 12 years). Fasting urine was analyzed for the calcium/creatinine (Ca/Cr) and uric acid/creatinine (UA/Cr) ratios. Hypercalciuria was more frequently diagnosed in the VUR patients than in the control group (21.3 vs. 3.6%; P</w:instrText>
            </w:r>
            <w:r w:rsidRPr="00843FE8">
              <w:rPr>
                <w:rFonts w:ascii="Cambria Math" w:hAnsi="Cambria Math" w:cs="Cambria Math"/>
                <w:sz w:val="20"/>
                <w:szCs w:val="20"/>
                <w:lang w:val="de-DE"/>
              </w:rPr>
              <w:instrText>∈</w:instrText>
            </w:r>
            <w:r w:rsidRPr="00843FE8">
              <w:rPr>
                <w:rFonts w:ascii="Arial" w:hAnsi="Arial" w:cs="Arial"/>
                <w:sz w:val="20"/>
                <w:szCs w:val="20"/>
                <w:lang w:val="de-DE"/>
              </w:rPr>
              <w:instrText>=</w:instrText>
            </w:r>
            <w:r w:rsidRPr="00843FE8">
              <w:rPr>
                <w:rFonts w:ascii="Cambria Math" w:hAnsi="Cambria Math" w:cs="Cambria Math"/>
                <w:sz w:val="20"/>
                <w:szCs w:val="20"/>
                <w:lang w:val="de-DE"/>
              </w:rPr>
              <w:instrText>∈</w:instrText>
            </w:r>
            <w:r w:rsidRPr="00843FE8">
              <w:rPr>
                <w:rFonts w:ascii="Arial" w:hAnsi="Arial" w:cs="Arial"/>
                <w:sz w:val="20"/>
                <w:szCs w:val="20"/>
                <w:lang w:val="de-DE"/>
              </w:rPr>
              <w:instrText>0.0001). Significant differences between the two groups were also found for the mean Ca/Cr and UA/Cr ratios (P</w:instrText>
            </w:r>
            <w:r w:rsidRPr="00843FE8">
              <w:rPr>
                <w:rFonts w:ascii="Cambria Math" w:hAnsi="Cambria Math" w:cs="Cambria Math"/>
                <w:sz w:val="20"/>
                <w:szCs w:val="20"/>
                <w:lang w:val="de-DE"/>
              </w:rPr>
              <w:instrText>∈</w:instrText>
            </w:r>
            <w:r w:rsidRPr="00843FE8">
              <w:rPr>
                <w:rFonts w:ascii="Arial" w:hAnsi="Arial" w:cs="Arial"/>
                <w:sz w:val="20"/>
                <w:szCs w:val="20"/>
                <w:lang w:val="de-DE"/>
              </w:rPr>
              <w:instrText>=</w:instrText>
            </w:r>
            <w:r w:rsidRPr="00843FE8">
              <w:rPr>
                <w:rFonts w:ascii="Cambria Math" w:hAnsi="Cambria Math" w:cs="Cambria Math"/>
                <w:sz w:val="20"/>
                <w:szCs w:val="20"/>
                <w:lang w:val="de-DE"/>
              </w:rPr>
              <w:instrText>∈</w:instrText>
            </w:r>
            <w:r w:rsidRPr="00843FE8">
              <w:rPr>
                <w:rFonts w:ascii="Arial" w:hAnsi="Arial" w:cs="Arial"/>
                <w:sz w:val="20"/>
                <w:szCs w:val="20"/>
                <w:lang w:val="de-DE"/>
              </w:rPr>
              <w:instrText>0.0001 and P</w:instrText>
            </w:r>
            <w:r w:rsidRPr="00843FE8">
              <w:rPr>
                <w:rFonts w:ascii="Cambria Math" w:hAnsi="Cambria Math" w:cs="Cambria Math"/>
                <w:sz w:val="20"/>
                <w:szCs w:val="20"/>
                <w:lang w:val="de-DE"/>
              </w:rPr>
              <w:instrText>∈</w:instrText>
            </w:r>
            <w:r w:rsidRPr="00843FE8">
              <w:rPr>
                <w:rFonts w:ascii="Arial" w:hAnsi="Arial" w:cs="Arial"/>
                <w:sz w:val="20"/>
                <w:szCs w:val="20"/>
                <w:lang w:val="de-DE"/>
              </w:rPr>
              <w:instrText>=</w:instrText>
            </w:r>
            <w:r w:rsidRPr="00843FE8">
              <w:rPr>
                <w:rFonts w:ascii="Cambria Math" w:hAnsi="Cambria Math" w:cs="Cambria Math"/>
                <w:sz w:val="20"/>
                <w:szCs w:val="20"/>
                <w:lang w:val="de-DE"/>
              </w:rPr>
              <w:instrText>∈</w:instrText>
            </w:r>
            <w:r w:rsidRPr="00843FE8">
              <w:rPr>
                <w:rFonts w:ascii="Arial" w:hAnsi="Arial" w:cs="Arial"/>
                <w:sz w:val="20"/>
                <w:szCs w:val="20"/>
                <w:lang w:val="de-DE"/>
              </w:rPr>
              <w:instrText>0.0001, respectively). No differences were found in the urinary Ca/Cr or UA/Cr ratios related to VUR grading or unilateral/bilateral VUR in the patient group, with the exception of those for hypercalciuria and mild VUR (P</w:instrText>
            </w:r>
            <w:r w:rsidRPr="00843FE8">
              <w:rPr>
                <w:rFonts w:ascii="Cambria Math" w:hAnsi="Cambria Math" w:cs="Cambria Math"/>
                <w:sz w:val="20"/>
                <w:szCs w:val="20"/>
                <w:lang w:val="de-DE"/>
              </w:rPr>
              <w:instrText>∈</w:instrText>
            </w:r>
            <w:r w:rsidRPr="00843FE8">
              <w:rPr>
                <w:rFonts w:ascii="Arial" w:hAnsi="Arial" w:cs="Arial"/>
                <w:sz w:val="20"/>
                <w:szCs w:val="20"/>
                <w:lang w:val="de-DE"/>
              </w:rPr>
              <w:instrText>=</w:instrText>
            </w:r>
            <w:r w:rsidRPr="00843FE8">
              <w:rPr>
                <w:rFonts w:ascii="Cambria Math" w:hAnsi="Cambria Math" w:cs="Cambria Math"/>
                <w:sz w:val="20"/>
                <w:szCs w:val="20"/>
                <w:lang w:val="de-DE"/>
              </w:rPr>
              <w:instrText>∈</w:instrText>
            </w:r>
            <w:r w:rsidRPr="00843FE8">
              <w:rPr>
                <w:rFonts w:ascii="Arial" w:hAnsi="Arial" w:cs="Arial"/>
                <w:sz w:val="20"/>
                <w:szCs w:val="20"/>
                <w:lang w:val="de-DE"/>
              </w:rPr>
              <w:instrText>0.03). The association of urinary stones and microlithiasis in the VUR group was 29.6%. Our results demonstrate that the frequency of hypercalciuria and hyperuricosuria was higher in pediatric patients with VUR than in healthy children. Knowing this relationship, preventive and therapeutic interventions for stone formation in VUR could be greatly expanded. © 2011 IPNA.","author":[{"dropping-particle":"","family":"Madani","given":"Abbas","non-dropping-particle":"","parse-names":false,"suffix":""},{"dropping-particle":"","family":"Kermani","given":"Nooshin","non-dropping-particle":"","parse-names":false,"suffix":""},{"dropping-particle":"","family":"Ataei","given":"Neamatollah","non-dropping-particle":"","parse-names":false,"suffix":""},{"dropping-particle":"","family":"Esfahani","given":"Seyed Taher","non-dropping-particle":"","parse-names":false,"suffix":""},{"dropping-particle":"","family":"Hajizadeh","given":"Niloufar","non-dropping-particle":"","parse-names":false,"suffix":""},{"dropping-particle":"","family":"Khazaeipour","given":"Zahra","non-dropping-particle":"","parse-names":false,"suffix":""},{"dropping-particle":"","family":"Rafiei","given":"Sima","non-dropping-particle":"","parse-names":false,"suffix":""}],"container-title":"Pediatric Nephrology","id":"ITEM-1","issue":"1","issued":{"date-parts":[["2012","1"]]},"page":"95-99","title":"Urinary calcium and uric acid excretion in children with vesicoureteral reflux","type":"article-journal","volume":"27"},"uris":["http://www.mendeley.com/documents/?uuid=5693ef25-fd6a-320c-81f0-d2066c1d2887"]}],"mendeley":{"formattedCitation":"[2]","plainTextFormattedCitation":"[2]","previouslyFormattedCitation":"[2]"},"properties":{"noteIndex":0},"schema":"https://github.com/citation-style-language/schema/raw/master/csl-citation.json"}</w:instrText>
            </w:r>
            <w:r w:rsidRPr="00843FE8">
              <w:rPr>
                <w:rFonts w:ascii="Arial" w:hAnsi="Arial" w:cs="Arial"/>
                <w:sz w:val="20"/>
                <w:szCs w:val="20"/>
                <w:lang w:val="de-DE"/>
              </w:rPr>
              <w:fldChar w:fldCharType="separate"/>
            </w:r>
            <w:r w:rsidRPr="00843FE8">
              <w:rPr>
                <w:rFonts w:ascii="Arial" w:hAnsi="Arial" w:cs="Arial"/>
                <w:noProof/>
                <w:sz w:val="20"/>
                <w:szCs w:val="20"/>
                <w:lang w:val="de-DE"/>
              </w:rPr>
              <w:t>[2]</w:t>
            </w:r>
            <w:r w:rsidRPr="00843FE8">
              <w:rPr>
                <w:rFonts w:ascii="Arial" w:hAnsi="Arial" w:cs="Arial"/>
                <w:sz w:val="20"/>
                <w:szCs w:val="20"/>
                <w:lang w:val="de-DE"/>
              </w:rPr>
              <w:fldChar w:fldCharType="end"/>
            </w:r>
          </w:p>
        </w:tc>
        <w:tc>
          <w:tcPr>
            <w:tcW w:w="1608" w:type="dxa"/>
          </w:tcPr>
          <w:p w14:paraId="025D178C" w14:textId="77777777" w:rsidR="00776822" w:rsidRPr="00843FE8" w:rsidRDefault="00776822" w:rsidP="00F93C37">
            <w:pPr>
              <w:autoSpaceDE w:val="0"/>
              <w:autoSpaceDN w:val="0"/>
              <w:adjustRightInd w:val="0"/>
              <w:rPr>
                <w:rFonts w:ascii="Arial" w:hAnsi="Arial" w:cs="Arial"/>
                <w:b/>
                <w:bCs/>
                <w:sz w:val="20"/>
                <w:szCs w:val="20"/>
                <w:lang w:val="de-DE"/>
              </w:rPr>
            </w:pPr>
            <w:r w:rsidRPr="00843FE8">
              <w:rPr>
                <w:rFonts w:ascii="Arial" w:hAnsi="Arial" w:cs="Arial"/>
                <w:b/>
                <w:bCs/>
                <w:sz w:val="20"/>
                <w:szCs w:val="20"/>
                <w:lang w:val="de-DE"/>
              </w:rPr>
              <w:t>VUR </w:t>
            </w:r>
          </w:p>
        </w:tc>
        <w:tc>
          <w:tcPr>
            <w:tcW w:w="1263" w:type="dxa"/>
          </w:tcPr>
          <w:p w14:paraId="485D0D28" w14:textId="77777777" w:rsidR="00776822" w:rsidRPr="00843FE8" w:rsidRDefault="00776822" w:rsidP="00F93C37">
            <w:pPr>
              <w:autoSpaceDE w:val="0"/>
              <w:autoSpaceDN w:val="0"/>
              <w:adjustRightInd w:val="0"/>
              <w:rPr>
                <w:rFonts w:ascii="Arial" w:hAnsi="Arial" w:cs="Arial"/>
                <w:b/>
                <w:bCs/>
                <w:sz w:val="20"/>
                <w:szCs w:val="20"/>
                <w:lang w:val="de-DE"/>
              </w:rPr>
            </w:pPr>
            <w:r w:rsidRPr="00843FE8">
              <w:rPr>
                <w:rFonts w:ascii="Arial" w:hAnsi="Arial" w:cs="Arial"/>
                <w:b/>
                <w:bCs/>
                <w:sz w:val="20"/>
                <w:szCs w:val="20"/>
                <w:lang w:val="de-DE"/>
              </w:rPr>
              <w:t>108 </w:t>
            </w:r>
          </w:p>
        </w:tc>
        <w:tc>
          <w:tcPr>
            <w:tcW w:w="995" w:type="dxa"/>
          </w:tcPr>
          <w:p w14:paraId="34CE9352" w14:textId="77777777" w:rsidR="00776822" w:rsidRPr="00843FE8" w:rsidRDefault="00776822" w:rsidP="00F93C37">
            <w:pPr>
              <w:autoSpaceDE w:val="0"/>
              <w:autoSpaceDN w:val="0"/>
              <w:adjustRightInd w:val="0"/>
              <w:jc w:val="center"/>
              <w:rPr>
                <w:rFonts w:ascii="Arial" w:hAnsi="Arial" w:cs="Arial"/>
                <w:b/>
                <w:bCs/>
                <w:sz w:val="20"/>
                <w:szCs w:val="20"/>
                <w:lang w:val="de-DE"/>
              </w:rPr>
            </w:pPr>
            <w:r w:rsidRPr="00843FE8">
              <w:rPr>
                <w:rFonts w:ascii="Arial" w:hAnsi="Arial" w:cs="Arial"/>
                <w:b/>
                <w:bCs/>
                <w:sz w:val="20"/>
                <w:szCs w:val="20"/>
                <w:lang w:val="de-DE"/>
              </w:rPr>
              <w:t>30</w:t>
            </w:r>
          </w:p>
        </w:tc>
        <w:tc>
          <w:tcPr>
            <w:tcW w:w="1418" w:type="dxa"/>
          </w:tcPr>
          <w:p w14:paraId="73F68ED2" w14:textId="77777777" w:rsidR="00776822" w:rsidRPr="00843FE8" w:rsidRDefault="00776822" w:rsidP="00F93C37">
            <w:pPr>
              <w:autoSpaceDE w:val="0"/>
              <w:autoSpaceDN w:val="0"/>
              <w:adjustRightInd w:val="0"/>
              <w:rPr>
                <w:rFonts w:ascii="Arial" w:hAnsi="Arial" w:cs="Arial"/>
                <w:b/>
                <w:bCs/>
                <w:sz w:val="20"/>
                <w:szCs w:val="20"/>
                <w:lang w:val="de-DE"/>
              </w:rPr>
            </w:pPr>
            <w:r w:rsidRPr="00843FE8">
              <w:rPr>
                <w:rFonts w:ascii="Arial" w:hAnsi="Arial" w:cs="Arial"/>
                <w:b/>
                <w:bCs/>
                <w:sz w:val="20"/>
                <w:szCs w:val="20"/>
                <w:lang w:val="de-DE"/>
              </w:rPr>
              <w:t>0.31</w:t>
            </w:r>
          </w:p>
        </w:tc>
      </w:tr>
      <w:tr w:rsidR="00776822" w:rsidRPr="00843FE8" w14:paraId="07AB9520" w14:textId="77777777" w:rsidTr="00F93C37">
        <w:trPr>
          <w:trHeight w:val="247"/>
        </w:trPr>
        <w:tc>
          <w:tcPr>
            <w:tcW w:w="1262" w:type="dxa"/>
          </w:tcPr>
          <w:p w14:paraId="19466C50" w14:textId="77777777" w:rsidR="00776822" w:rsidRPr="00843FE8" w:rsidRDefault="00776822" w:rsidP="00F93C37">
            <w:pPr>
              <w:autoSpaceDE w:val="0"/>
              <w:autoSpaceDN w:val="0"/>
              <w:adjustRightInd w:val="0"/>
              <w:rPr>
                <w:rFonts w:ascii="Arial" w:hAnsi="Arial" w:cs="Arial"/>
                <w:sz w:val="20"/>
                <w:szCs w:val="20"/>
                <w:lang w:val="de-DE"/>
              </w:rPr>
            </w:pPr>
          </w:p>
        </w:tc>
        <w:tc>
          <w:tcPr>
            <w:tcW w:w="1608" w:type="dxa"/>
          </w:tcPr>
          <w:p w14:paraId="3DB603D7" w14:textId="77777777" w:rsidR="00776822" w:rsidRPr="00843FE8" w:rsidRDefault="00776822" w:rsidP="00F93C37">
            <w:pPr>
              <w:autoSpaceDE w:val="0"/>
              <w:autoSpaceDN w:val="0"/>
              <w:adjustRightInd w:val="0"/>
              <w:rPr>
                <w:rFonts w:ascii="Arial" w:hAnsi="Arial" w:cs="Arial"/>
                <w:sz w:val="20"/>
                <w:szCs w:val="20"/>
                <w:lang w:val="de-DE"/>
              </w:rPr>
            </w:pPr>
            <w:r w:rsidRPr="00843FE8">
              <w:rPr>
                <w:rFonts w:ascii="Arial" w:hAnsi="Arial" w:cs="Arial"/>
                <w:sz w:val="20"/>
                <w:szCs w:val="20"/>
                <w:lang w:val="de-DE"/>
              </w:rPr>
              <w:t>Control </w:t>
            </w:r>
          </w:p>
        </w:tc>
        <w:tc>
          <w:tcPr>
            <w:tcW w:w="1263" w:type="dxa"/>
          </w:tcPr>
          <w:p w14:paraId="0ABE3396" w14:textId="77777777" w:rsidR="00776822" w:rsidRPr="00843FE8" w:rsidRDefault="00776822" w:rsidP="00F93C37">
            <w:pPr>
              <w:autoSpaceDE w:val="0"/>
              <w:autoSpaceDN w:val="0"/>
              <w:adjustRightInd w:val="0"/>
              <w:rPr>
                <w:rFonts w:ascii="Arial" w:hAnsi="Arial" w:cs="Arial"/>
                <w:sz w:val="20"/>
                <w:szCs w:val="20"/>
                <w:lang w:val="de-DE"/>
              </w:rPr>
            </w:pPr>
            <w:r w:rsidRPr="00843FE8">
              <w:rPr>
                <w:rFonts w:ascii="Arial" w:hAnsi="Arial" w:cs="Arial"/>
                <w:sz w:val="20"/>
                <w:szCs w:val="20"/>
                <w:lang w:val="de-DE"/>
              </w:rPr>
              <w:t>110 </w:t>
            </w:r>
          </w:p>
        </w:tc>
        <w:tc>
          <w:tcPr>
            <w:tcW w:w="995" w:type="dxa"/>
          </w:tcPr>
          <w:p w14:paraId="3DCDCB39" w14:textId="77777777" w:rsidR="00776822" w:rsidRPr="00843FE8" w:rsidRDefault="00776822" w:rsidP="00F93C37">
            <w:pPr>
              <w:autoSpaceDE w:val="0"/>
              <w:autoSpaceDN w:val="0"/>
              <w:adjustRightInd w:val="0"/>
              <w:jc w:val="center"/>
              <w:rPr>
                <w:rFonts w:ascii="Arial" w:hAnsi="Arial" w:cs="Arial"/>
                <w:sz w:val="20"/>
                <w:szCs w:val="20"/>
                <w:lang w:val="de-DE"/>
              </w:rPr>
            </w:pPr>
            <w:r w:rsidRPr="00843FE8">
              <w:rPr>
                <w:rFonts w:ascii="Arial" w:hAnsi="Arial" w:cs="Arial"/>
                <w:sz w:val="20"/>
                <w:szCs w:val="20"/>
                <w:lang w:val="de-DE"/>
              </w:rPr>
              <w:t>59</w:t>
            </w:r>
          </w:p>
        </w:tc>
        <w:tc>
          <w:tcPr>
            <w:tcW w:w="1418" w:type="dxa"/>
          </w:tcPr>
          <w:p w14:paraId="1AFA195C" w14:textId="77777777" w:rsidR="00776822" w:rsidRPr="00843FE8" w:rsidRDefault="00776822" w:rsidP="00F93C37">
            <w:pPr>
              <w:autoSpaceDE w:val="0"/>
              <w:autoSpaceDN w:val="0"/>
              <w:adjustRightInd w:val="0"/>
              <w:rPr>
                <w:rFonts w:ascii="Arial" w:hAnsi="Arial" w:cs="Arial"/>
                <w:sz w:val="20"/>
                <w:szCs w:val="20"/>
                <w:lang w:val="de-DE"/>
              </w:rPr>
            </w:pPr>
            <w:r w:rsidRPr="00843FE8">
              <w:rPr>
                <w:rFonts w:ascii="Arial" w:hAnsi="Arial" w:cs="Arial"/>
                <w:sz w:val="20"/>
                <w:szCs w:val="20"/>
                <w:lang w:val="de-DE"/>
              </w:rPr>
              <w:t>0.18</w:t>
            </w:r>
          </w:p>
        </w:tc>
      </w:tr>
      <w:tr w:rsidR="00776822" w:rsidRPr="00843FE8" w14:paraId="13196E5A" w14:textId="77777777" w:rsidTr="00F93C37">
        <w:trPr>
          <w:trHeight w:val="247"/>
        </w:trPr>
        <w:tc>
          <w:tcPr>
            <w:tcW w:w="1262" w:type="dxa"/>
          </w:tcPr>
          <w:p w14:paraId="5C8490AA" w14:textId="77777777" w:rsidR="00776822" w:rsidRPr="00843FE8" w:rsidRDefault="00776822" w:rsidP="00F93C37">
            <w:pPr>
              <w:autoSpaceDE w:val="0"/>
              <w:autoSpaceDN w:val="0"/>
              <w:adjustRightInd w:val="0"/>
              <w:jc w:val="right"/>
              <w:rPr>
                <w:sz w:val="20"/>
                <w:szCs w:val="20"/>
                <w:lang w:val="de-DE"/>
              </w:rPr>
            </w:pPr>
          </w:p>
        </w:tc>
        <w:tc>
          <w:tcPr>
            <w:tcW w:w="1608" w:type="dxa"/>
          </w:tcPr>
          <w:p w14:paraId="64AEB1C2" w14:textId="77777777" w:rsidR="00776822" w:rsidRPr="00843FE8" w:rsidRDefault="00776822" w:rsidP="00F93C37">
            <w:pPr>
              <w:autoSpaceDE w:val="0"/>
              <w:autoSpaceDN w:val="0"/>
              <w:adjustRightInd w:val="0"/>
              <w:jc w:val="right"/>
              <w:rPr>
                <w:sz w:val="20"/>
                <w:szCs w:val="20"/>
                <w:lang w:val="de-DE"/>
              </w:rPr>
            </w:pPr>
          </w:p>
        </w:tc>
        <w:tc>
          <w:tcPr>
            <w:tcW w:w="1263" w:type="dxa"/>
          </w:tcPr>
          <w:p w14:paraId="1CE63DD0" w14:textId="77777777" w:rsidR="00776822" w:rsidRPr="00843FE8" w:rsidRDefault="00776822" w:rsidP="00F93C37">
            <w:pPr>
              <w:autoSpaceDE w:val="0"/>
              <w:autoSpaceDN w:val="0"/>
              <w:adjustRightInd w:val="0"/>
              <w:jc w:val="right"/>
              <w:rPr>
                <w:sz w:val="20"/>
                <w:szCs w:val="20"/>
                <w:lang w:val="de-DE"/>
              </w:rPr>
            </w:pPr>
          </w:p>
        </w:tc>
        <w:tc>
          <w:tcPr>
            <w:tcW w:w="995" w:type="dxa"/>
          </w:tcPr>
          <w:p w14:paraId="47DE2257" w14:textId="77777777" w:rsidR="00776822" w:rsidRPr="00843FE8" w:rsidRDefault="00776822" w:rsidP="00F93C37">
            <w:pPr>
              <w:autoSpaceDE w:val="0"/>
              <w:autoSpaceDN w:val="0"/>
              <w:adjustRightInd w:val="0"/>
              <w:jc w:val="center"/>
              <w:rPr>
                <w:sz w:val="20"/>
                <w:szCs w:val="20"/>
                <w:lang w:val="de-DE"/>
              </w:rPr>
            </w:pPr>
          </w:p>
        </w:tc>
        <w:tc>
          <w:tcPr>
            <w:tcW w:w="1418" w:type="dxa"/>
          </w:tcPr>
          <w:p w14:paraId="2FD82BEA" w14:textId="77777777" w:rsidR="00776822" w:rsidRPr="00843FE8" w:rsidRDefault="00776822" w:rsidP="00F93C37">
            <w:pPr>
              <w:autoSpaceDE w:val="0"/>
              <w:autoSpaceDN w:val="0"/>
              <w:adjustRightInd w:val="0"/>
              <w:jc w:val="right"/>
              <w:rPr>
                <w:sz w:val="20"/>
                <w:szCs w:val="20"/>
                <w:lang w:val="de-DE"/>
              </w:rPr>
            </w:pPr>
          </w:p>
        </w:tc>
      </w:tr>
      <w:tr w:rsidR="00776822" w:rsidRPr="00843FE8" w14:paraId="604F55D3" w14:textId="77777777" w:rsidTr="00F93C37">
        <w:trPr>
          <w:trHeight w:val="247"/>
        </w:trPr>
        <w:tc>
          <w:tcPr>
            <w:tcW w:w="1262" w:type="dxa"/>
          </w:tcPr>
          <w:p w14:paraId="51AB2AF7" w14:textId="77777777" w:rsidR="00776822" w:rsidRPr="00843FE8" w:rsidRDefault="00776822" w:rsidP="00F93C37">
            <w:pPr>
              <w:autoSpaceDE w:val="0"/>
              <w:autoSpaceDN w:val="0"/>
              <w:adjustRightInd w:val="0"/>
              <w:rPr>
                <w:rFonts w:ascii="Arial" w:hAnsi="Arial" w:cs="Arial"/>
                <w:sz w:val="20"/>
                <w:szCs w:val="20"/>
                <w:lang w:val="en-US"/>
              </w:rPr>
            </w:pPr>
            <w:r w:rsidRPr="00843FE8">
              <w:rPr>
                <w:rFonts w:ascii="Arial" w:hAnsi="Arial" w:cs="Arial"/>
                <w:sz w:val="20"/>
                <w:szCs w:val="20"/>
                <w:lang w:val="de-DE"/>
              </w:rPr>
              <w:t xml:space="preserve">Mahyar </w:t>
            </w:r>
            <w:r w:rsidRPr="00843FE8">
              <w:rPr>
                <w:rFonts w:ascii="Arial" w:hAnsi="Arial" w:cs="Arial"/>
                <w:sz w:val="20"/>
                <w:szCs w:val="20"/>
                <w:lang w:val="de-DE"/>
              </w:rPr>
              <w:fldChar w:fldCharType="begin" w:fldLock="1"/>
            </w:r>
            <w:r w:rsidRPr="00843FE8">
              <w:rPr>
                <w:rFonts w:ascii="Arial" w:hAnsi="Arial" w:cs="Arial"/>
                <w:sz w:val="20"/>
                <w:szCs w:val="20"/>
                <w:lang w:val="de-DE"/>
              </w:rPr>
              <w:instrText>ADDIN CSL_CITATION {"citationItems":[{"id":"ITEM-1","itemData":{"DOI":"10.1007/s10157-016-1236-1","ISSN":"14377799","PMID":"26820845","abstract":"Objectives: One of the important complications of vesicoureteral reflux (VUR) is the development of urolithiasis. Identifying factors involved in development of urolithiasis in children with VUR is immensely important. This study was conducted to determine the association between hypercalciuria and hyperuricosuria with VUR in children. Methods: One-hundred children with VUR (case group) were compared to 100 healthy children (control group) in terms of hypercalciuria and hyperuricosuria. To measure these markers, random morning fasting urine samples were used. Data were analyzed using statistical tests. Results: Hypercalciuria and hyperuricosuria frequencies, and also urine calcium/creatinine (Ca/Cr) and urine uric acid/creatinine (UA/Cr) ratios were significantly higher in the case group compared to the control group (P &lt; 0.05). A significant difference was found between hypercalciuria and hyperuricosuria in severity of VUR (P &lt; 0.05). A positive correlation was observed between hypercalciuria and hyperuricosuria and severity of VUR (P &lt; 0.05). Conclusions: The present study showed that there is association between hypercalciuria, hyperuricosuria and VUR in children. It is recommended to adopt measures to prevent the development of urolithiasis in VUR patients.","author":[{"dropping-particle":"","family":"Mahyar","given":"Abolfazl","non-dropping-particle":"","parse-names":false,"suffix":""},{"dropping-particle":"","family":"Dalirani","given":"Reza","non-dropping-particle":"","parse-names":false,"suffix":""}</w:instrText>
            </w:r>
            <w:r w:rsidRPr="00843FE8">
              <w:rPr>
                <w:rFonts w:ascii="Arial" w:hAnsi="Arial" w:cs="Arial"/>
                <w:sz w:val="20"/>
                <w:szCs w:val="20"/>
                <w:lang w:val="en-GB"/>
              </w:rPr>
              <w:instrText>,{"dropping-particle":"","family":"Ayazi","given":"Parviz","non-dropping-particle":"","parse-names":false,"suffix":""},{"dropping-particle":"","family":"Hamzehloo","given":"Samaneh","non-dropping-particle":"","parse-names":false,"suffix":""},{"dropping-particle":"","family":"Moshiri","given":"Seyed Alireza","non-dropping-particle":"","parse-names":false,"suffix":""},{"dropping-particle":"","family":"Khoshbakht Ahmadi","given":"Negin","non-dropping-particle":"","parse-names":false,"suffix":""},{"dropping-particle":"","family":"Talebi Pour Nikoo","given":"Sara","non-dropping-particle":"","parse-names":false,"suffix":""},{"dropping-particle":"","family":"Yazdi","given":"Zohreh","non-dropping-particle":"","parse-names":false,"suffix":""},{"dropping-particle":"","family":"Esmaeily","given":"Shiva","non-dropping-particle":"","parse-names":false,"suffix":""}],"container-title":"Clinical and Experimental Nephrology","id":"ITEM-1","issue":"1","issued":{"date-parts":[["2017","2","1"]]},"page":"112-116","publisher":"Springer Tokyo","title":"The association of hypercalciuria and hyperuricosuria with vesicoureteral reflux in children","type":"article-journal","volume":"21"},"uris":["http://www.mendeley.com/documents/?uuid=246dbbdf-545e-3d8a-861c-002d9ce74774"]}],"mendeley":{"formattedCitation":"[3]","plainTextFormattedCitation":"[3]","previouslyFormattedCitation":"[3]"},"properties":{"noteIndex":0},"schema":"https://github.com/citation-style-language/schema/raw/master/csl-citation.json"}</w:instrText>
            </w:r>
            <w:r w:rsidRPr="00843FE8">
              <w:rPr>
                <w:rFonts w:ascii="Arial" w:hAnsi="Arial" w:cs="Arial"/>
                <w:sz w:val="20"/>
                <w:szCs w:val="20"/>
                <w:lang w:val="de-DE"/>
              </w:rPr>
              <w:fldChar w:fldCharType="separate"/>
            </w:r>
            <w:r w:rsidRPr="00843FE8">
              <w:rPr>
                <w:rFonts w:ascii="Arial" w:hAnsi="Arial" w:cs="Arial"/>
                <w:noProof/>
                <w:sz w:val="20"/>
                <w:szCs w:val="20"/>
                <w:lang w:val="en-US"/>
              </w:rPr>
              <w:t>[3]</w:t>
            </w:r>
            <w:r w:rsidRPr="00843FE8">
              <w:rPr>
                <w:rFonts w:ascii="Arial" w:hAnsi="Arial" w:cs="Arial"/>
                <w:sz w:val="20"/>
                <w:szCs w:val="20"/>
                <w:lang w:val="de-DE"/>
              </w:rPr>
              <w:fldChar w:fldCharType="end"/>
            </w:r>
          </w:p>
        </w:tc>
        <w:tc>
          <w:tcPr>
            <w:tcW w:w="1608" w:type="dxa"/>
          </w:tcPr>
          <w:p w14:paraId="2E9C2F61" w14:textId="77777777" w:rsidR="00776822" w:rsidRPr="00843FE8" w:rsidRDefault="00776822" w:rsidP="00F93C37">
            <w:pPr>
              <w:autoSpaceDE w:val="0"/>
              <w:autoSpaceDN w:val="0"/>
              <w:adjustRightInd w:val="0"/>
              <w:rPr>
                <w:rFonts w:ascii="Arial" w:hAnsi="Arial" w:cs="Arial"/>
                <w:b/>
                <w:bCs/>
                <w:sz w:val="20"/>
                <w:szCs w:val="20"/>
                <w:lang w:val="en-US"/>
              </w:rPr>
            </w:pPr>
            <w:r w:rsidRPr="00843FE8">
              <w:rPr>
                <w:rFonts w:ascii="Arial" w:hAnsi="Arial" w:cs="Arial"/>
                <w:b/>
                <w:bCs/>
                <w:sz w:val="20"/>
                <w:szCs w:val="20"/>
                <w:lang w:val="en-US"/>
              </w:rPr>
              <w:t>VUR</w:t>
            </w:r>
          </w:p>
        </w:tc>
        <w:tc>
          <w:tcPr>
            <w:tcW w:w="1263" w:type="dxa"/>
          </w:tcPr>
          <w:p w14:paraId="38D27A6D" w14:textId="77777777" w:rsidR="00776822" w:rsidRPr="00843FE8" w:rsidRDefault="00776822" w:rsidP="00F93C37">
            <w:pPr>
              <w:autoSpaceDE w:val="0"/>
              <w:autoSpaceDN w:val="0"/>
              <w:adjustRightInd w:val="0"/>
              <w:rPr>
                <w:rFonts w:ascii="Arial" w:hAnsi="Arial" w:cs="Arial"/>
                <w:b/>
                <w:bCs/>
                <w:sz w:val="20"/>
                <w:szCs w:val="20"/>
                <w:lang w:val="en-US"/>
              </w:rPr>
            </w:pPr>
            <w:r w:rsidRPr="00843FE8">
              <w:rPr>
                <w:rFonts w:ascii="Arial" w:hAnsi="Arial" w:cs="Arial"/>
                <w:b/>
                <w:bCs/>
                <w:sz w:val="20"/>
                <w:szCs w:val="20"/>
                <w:lang w:val="en-US"/>
              </w:rPr>
              <w:t>100 </w:t>
            </w:r>
          </w:p>
        </w:tc>
        <w:tc>
          <w:tcPr>
            <w:tcW w:w="995" w:type="dxa"/>
          </w:tcPr>
          <w:p w14:paraId="7DAF676F" w14:textId="77777777" w:rsidR="00776822" w:rsidRPr="00843FE8" w:rsidRDefault="00776822" w:rsidP="00F93C37">
            <w:pPr>
              <w:autoSpaceDE w:val="0"/>
              <w:autoSpaceDN w:val="0"/>
              <w:adjustRightInd w:val="0"/>
              <w:jc w:val="center"/>
              <w:rPr>
                <w:rFonts w:ascii="Arial" w:hAnsi="Arial" w:cs="Arial"/>
                <w:b/>
                <w:bCs/>
                <w:sz w:val="20"/>
                <w:szCs w:val="20"/>
                <w:lang w:val="en-US"/>
              </w:rPr>
            </w:pPr>
            <w:r w:rsidRPr="00843FE8">
              <w:rPr>
                <w:rFonts w:ascii="Arial" w:hAnsi="Arial" w:cs="Arial"/>
                <w:b/>
                <w:bCs/>
                <w:sz w:val="20"/>
                <w:szCs w:val="20"/>
                <w:lang w:val="en-US"/>
              </w:rPr>
              <w:t>19</w:t>
            </w:r>
          </w:p>
        </w:tc>
        <w:tc>
          <w:tcPr>
            <w:tcW w:w="1418" w:type="dxa"/>
          </w:tcPr>
          <w:p w14:paraId="4D20043C" w14:textId="77777777" w:rsidR="00776822" w:rsidRPr="00843FE8" w:rsidRDefault="00776822" w:rsidP="00F93C37">
            <w:pPr>
              <w:autoSpaceDE w:val="0"/>
              <w:autoSpaceDN w:val="0"/>
              <w:adjustRightInd w:val="0"/>
              <w:rPr>
                <w:rFonts w:ascii="Arial" w:hAnsi="Arial" w:cs="Arial"/>
                <w:b/>
                <w:bCs/>
                <w:sz w:val="20"/>
                <w:szCs w:val="20"/>
                <w:lang w:val="en-US"/>
              </w:rPr>
            </w:pPr>
            <w:r w:rsidRPr="00843FE8">
              <w:rPr>
                <w:rFonts w:ascii="Arial" w:hAnsi="Arial" w:cs="Arial"/>
                <w:b/>
                <w:bCs/>
                <w:sz w:val="20"/>
                <w:szCs w:val="20"/>
                <w:lang w:val="en-US"/>
              </w:rPr>
              <w:t>0.25</w:t>
            </w:r>
          </w:p>
        </w:tc>
      </w:tr>
      <w:tr w:rsidR="00776822" w:rsidRPr="00843FE8" w14:paraId="13BAF02C" w14:textId="77777777" w:rsidTr="00F93C37">
        <w:trPr>
          <w:trHeight w:val="67"/>
        </w:trPr>
        <w:tc>
          <w:tcPr>
            <w:tcW w:w="1262" w:type="dxa"/>
          </w:tcPr>
          <w:p w14:paraId="5E9C6C4C" w14:textId="77777777" w:rsidR="00776822" w:rsidRPr="00843FE8" w:rsidRDefault="00776822" w:rsidP="00F93C37">
            <w:pPr>
              <w:autoSpaceDE w:val="0"/>
              <w:autoSpaceDN w:val="0"/>
              <w:adjustRightInd w:val="0"/>
              <w:rPr>
                <w:rFonts w:ascii="Arial" w:hAnsi="Arial" w:cs="Arial"/>
                <w:sz w:val="20"/>
                <w:szCs w:val="20"/>
                <w:lang w:val="en-US"/>
              </w:rPr>
            </w:pPr>
          </w:p>
        </w:tc>
        <w:tc>
          <w:tcPr>
            <w:tcW w:w="1608" w:type="dxa"/>
          </w:tcPr>
          <w:p w14:paraId="31F387FC" w14:textId="77777777" w:rsidR="00776822" w:rsidRPr="00843FE8" w:rsidRDefault="00776822" w:rsidP="00F93C37">
            <w:pPr>
              <w:autoSpaceDE w:val="0"/>
              <w:autoSpaceDN w:val="0"/>
              <w:adjustRightInd w:val="0"/>
              <w:rPr>
                <w:rFonts w:ascii="Arial" w:hAnsi="Arial" w:cs="Arial"/>
                <w:sz w:val="20"/>
                <w:szCs w:val="20"/>
                <w:lang w:val="en-US"/>
              </w:rPr>
            </w:pPr>
            <w:r w:rsidRPr="00843FE8">
              <w:rPr>
                <w:rFonts w:ascii="Arial" w:hAnsi="Arial" w:cs="Arial"/>
                <w:sz w:val="20"/>
                <w:szCs w:val="20"/>
                <w:lang w:val="en-US"/>
              </w:rPr>
              <w:t>Control</w:t>
            </w:r>
          </w:p>
        </w:tc>
        <w:tc>
          <w:tcPr>
            <w:tcW w:w="1263" w:type="dxa"/>
          </w:tcPr>
          <w:p w14:paraId="66B4A95C" w14:textId="77777777" w:rsidR="00776822" w:rsidRPr="00843FE8" w:rsidRDefault="00776822" w:rsidP="00F93C37">
            <w:pPr>
              <w:autoSpaceDE w:val="0"/>
              <w:autoSpaceDN w:val="0"/>
              <w:adjustRightInd w:val="0"/>
              <w:rPr>
                <w:rFonts w:ascii="Arial" w:hAnsi="Arial" w:cs="Arial"/>
                <w:sz w:val="20"/>
                <w:szCs w:val="20"/>
                <w:lang w:val="en-US"/>
              </w:rPr>
            </w:pPr>
            <w:r w:rsidRPr="00843FE8">
              <w:rPr>
                <w:rFonts w:ascii="Arial" w:hAnsi="Arial" w:cs="Arial"/>
                <w:sz w:val="20"/>
                <w:szCs w:val="20"/>
                <w:lang w:val="en-US"/>
              </w:rPr>
              <w:t>100 </w:t>
            </w:r>
          </w:p>
        </w:tc>
        <w:tc>
          <w:tcPr>
            <w:tcW w:w="995" w:type="dxa"/>
          </w:tcPr>
          <w:p w14:paraId="3BD20DF5" w14:textId="77777777" w:rsidR="00776822" w:rsidRPr="00843FE8" w:rsidRDefault="00776822" w:rsidP="00F93C37">
            <w:pPr>
              <w:autoSpaceDE w:val="0"/>
              <w:autoSpaceDN w:val="0"/>
              <w:adjustRightInd w:val="0"/>
              <w:jc w:val="center"/>
              <w:rPr>
                <w:rFonts w:ascii="Arial" w:hAnsi="Arial" w:cs="Arial"/>
                <w:sz w:val="20"/>
                <w:szCs w:val="20"/>
                <w:lang w:val="en-US"/>
              </w:rPr>
            </w:pPr>
            <w:r w:rsidRPr="00843FE8">
              <w:rPr>
                <w:rFonts w:ascii="Arial" w:hAnsi="Arial" w:cs="Arial"/>
                <w:sz w:val="20"/>
                <w:szCs w:val="20"/>
                <w:lang w:val="en-US"/>
              </w:rPr>
              <w:t>23</w:t>
            </w:r>
          </w:p>
        </w:tc>
        <w:tc>
          <w:tcPr>
            <w:tcW w:w="1418" w:type="dxa"/>
          </w:tcPr>
          <w:p w14:paraId="046E3A30" w14:textId="77777777" w:rsidR="00776822" w:rsidRPr="00843FE8" w:rsidRDefault="00776822" w:rsidP="00F93C37">
            <w:pPr>
              <w:autoSpaceDE w:val="0"/>
              <w:autoSpaceDN w:val="0"/>
              <w:adjustRightInd w:val="0"/>
              <w:rPr>
                <w:rFonts w:ascii="Arial" w:hAnsi="Arial" w:cs="Arial"/>
                <w:sz w:val="20"/>
                <w:szCs w:val="20"/>
                <w:lang w:val="en-US"/>
              </w:rPr>
            </w:pPr>
            <w:r w:rsidRPr="00843FE8">
              <w:rPr>
                <w:rFonts w:ascii="Arial" w:hAnsi="Arial" w:cs="Arial"/>
                <w:sz w:val="20"/>
                <w:szCs w:val="20"/>
                <w:lang w:val="en-US"/>
              </w:rPr>
              <w:t>0.10</w:t>
            </w:r>
          </w:p>
        </w:tc>
      </w:tr>
    </w:tbl>
    <w:p w14:paraId="059C8C53" w14:textId="77777777" w:rsidR="00776822" w:rsidRPr="00843FE8" w:rsidRDefault="00776822" w:rsidP="00776822">
      <w:pPr>
        <w:ind w:right="3225"/>
        <w:rPr>
          <w:rFonts w:ascii="Arial" w:hAnsi="Arial" w:cs="Arial"/>
          <w:sz w:val="20"/>
          <w:szCs w:val="20"/>
          <w:lang w:val="en-US" w:eastAsia="de-AT"/>
        </w:rPr>
      </w:pPr>
      <w:r w:rsidRPr="00843FE8">
        <w:rPr>
          <w:rFonts w:ascii="Arial" w:hAnsi="Arial" w:cs="Arial"/>
          <w:b/>
          <w:bCs/>
          <w:sz w:val="20"/>
          <w:szCs w:val="20"/>
          <w:lang w:val="en-US" w:eastAsia="de-AT"/>
        </w:rPr>
        <w:t>Suppl. table 1:</w:t>
      </w:r>
      <w:r w:rsidRPr="00843FE8">
        <w:rPr>
          <w:rFonts w:ascii="Arial" w:hAnsi="Arial" w:cs="Arial"/>
          <w:sz w:val="20"/>
          <w:szCs w:val="20"/>
          <w:lang w:val="en-US" w:eastAsia="de-AT"/>
        </w:rPr>
        <w:t xml:space="preserve"> Studies on urinary Calcium/Creatinine (Ca/Cr) ratios in children with VUR. Mean Ca/Cr are biased, because VUR groups are younger than the control groups. </w:t>
      </w:r>
    </w:p>
    <w:p w14:paraId="2BC97926" w14:textId="7BF9B731" w:rsidR="009002C6" w:rsidRPr="00776822" w:rsidRDefault="009002C6" w:rsidP="00776822">
      <w:pPr>
        <w:spacing w:line="480" w:lineRule="auto"/>
        <w:rPr>
          <w:rFonts w:asciiTheme="minorBidi" w:hAnsiTheme="minorBidi"/>
          <w:sz w:val="20"/>
          <w:szCs w:val="20"/>
          <w:lang w:val="en-GB"/>
        </w:rPr>
      </w:pPr>
    </w:p>
    <w:sectPr w:rsidR="009002C6" w:rsidRPr="00776822">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mbria Math">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76822"/>
    <w:rsid w:val="00776822"/>
    <w:rsid w:val="009002C6"/>
    <w:rsid w:val="00D44139"/>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5CF83AF"/>
  <w15:chartTrackingRefBased/>
  <w15:docId w15:val="{896A03F8-5688-4493-8E09-94988BAA4C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IN"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76822"/>
    <w:pPr>
      <w:spacing w:after="0" w:line="240" w:lineRule="auto"/>
    </w:pPr>
    <w:rPr>
      <w:rFonts w:ascii="Times New Roman" w:eastAsia="Times New Roman" w:hAnsi="Times New Roman" w:cs="Times New Roman"/>
      <w:kern w:val="0"/>
      <w:sz w:val="24"/>
      <w:szCs w:val="24"/>
      <w:lang w:val="de-AT" w:eastAsia="zh-CN"/>
      <w14:ligatures w14:val="none"/>
    </w:rPr>
  </w:style>
  <w:style w:type="paragraph" w:styleId="Heading1">
    <w:name w:val="heading 1"/>
    <w:basedOn w:val="Normal"/>
    <w:next w:val="Normal"/>
    <w:link w:val="Heading1Char"/>
    <w:uiPriority w:val="9"/>
    <w:qFormat/>
    <w:rsid w:val="00776822"/>
    <w:pPr>
      <w:keepNext/>
      <w:keepLines/>
      <w:spacing w:before="360" w:after="80" w:line="259" w:lineRule="auto"/>
      <w:outlineLvl w:val="0"/>
    </w:pPr>
    <w:rPr>
      <w:rFonts w:asciiTheme="majorHAnsi" w:eastAsiaTheme="majorEastAsia" w:hAnsiTheme="majorHAnsi" w:cstheme="majorBidi"/>
      <w:color w:val="0F4761" w:themeColor="accent1" w:themeShade="BF"/>
      <w:kern w:val="2"/>
      <w:sz w:val="40"/>
      <w:szCs w:val="40"/>
      <w:lang w:val="en-IN" w:eastAsia="en-US"/>
      <w14:ligatures w14:val="standardContextual"/>
    </w:rPr>
  </w:style>
  <w:style w:type="paragraph" w:styleId="Heading2">
    <w:name w:val="heading 2"/>
    <w:basedOn w:val="Normal"/>
    <w:next w:val="Normal"/>
    <w:link w:val="Heading2Char"/>
    <w:uiPriority w:val="9"/>
    <w:semiHidden/>
    <w:unhideWhenUsed/>
    <w:qFormat/>
    <w:rsid w:val="00776822"/>
    <w:pPr>
      <w:keepNext/>
      <w:keepLines/>
      <w:spacing w:before="160" w:after="80" w:line="259" w:lineRule="auto"/>
      <w:outlineLvl w:val="1"/>
    </w:pPr>
    <w:rPr>
      <w:rFonts w:asciiTheme="majorHAnsi" w:eastAsiaTheme="majorEastAsia" w:hAnsiTheme="majorHAnsi" w:cstheme="majorBidi"/>
      <w:color w:val="0F4761" w:themeColor="accent1" w:themeShade="BF"/>
      <w:kern w:val="2"/>
      <w:sz w:val="32"/>
      <w:szCs w:val="32"/>
      <w:lang w:val="en-IN" w:eastAsia="en-US"/>
      <w14:ligatures w14:val="standardContextual"/>
    </w:rPr>
  </w:style>
  <w:style w:type="paragraph" w:styleId="Heading3">
    <w:name w:val="heading 3"/>
    <w:basedOn w:val="Normal"/>
    <w:next w:val="Normal"/>
    <w:link w:val="Heading3Char"/>
    <w:uiPriority w:val="9"/>
    <w:semiHidden/>
    <w:unhideWhenUsed/>
    <w:qFormat/>
    <w:rsid w:val="00776822"/>
    <w:pPr>
      <w:keepNext/>
      <w:keepLines/>
      <w:spacing w:before="160" w:after="80" w:line="259" w:lineRule="auto"/>
      <w:outlineLvl w:val="2"/>
    </w:pPr>
    <w:rPr>
      <w:rFonts w:asciiTheme="minorHAnsi" w:eastAsiaTheme="majorEastAsia" w:hAnsiTheme="minorHAnsi" w:cstheme="majorBidi"/>
      <w:color w:val="0F4761" w:themeColor="accent1" w:themeShade="BF"/>
      <w:kern w:val="2"/>
      <w:sz w:val="28"/>
      <w:szCs w:val="28"/>
      <w:lang w:val="en-IN" w:eastAsia="en-US"/>
      <w14:ligatures w14:val="standardContextual"/>
    </w:rPr>
  </w:style>
  <w:style w:type="paragraph" w:styleId="Heading4">
    <w:name w:val="heading 4"/>
    <w:basedOn w:val="Normal"/>
    <w:next w:val="Normal"/>
    <w:link w:val="Heading4Char"/>
    <w:uiPriority w:val="9"/>
    <w:semiHidden/>
    <w:unhideWhenUsed/>
    <w:qFormat/>
    <w:rsid w:val="00776822"/>
    <w:pPr>
      <w:keepNext/>
      <w:keepLines/>
      <w:spacing w:before="80" w:after="40" w:line="259" w:lineRule="auto"/>
      <w:outlineLvl w:val="3"/>
    </w:pPr>
    <w:rPr>
      <w:rFonts w:asciiTheme="minorHAnsi" w:eastAsiaTheme="majorEastAsia" w:hAnsiTheme="minorHAnsi" w:cstheme="majorBidi"/>
      <w:i/>
      <w:iCs/>
      <w:color w:val="0F4761" w:themeColor="accent1" w:themeShade="BF"/>
      <w:kern w:val="2"/>
      <w:sz w:val="22"/>
      <w:szCs w:val="22"/>
      <w:lang w:val="en-IN" w:eastAsia="en-US"/>
      <w14:ligatures w14:val="standardContextual"/>
    </w:rPr>
  </w:style>
  <w:style w:type="paragraph" w:styleId="Heading5">
    <w:name w:val="heading 5"/>
    <w:basedOn w:val="Normal"/>
    <w:next w:val="Normal"/>
    <w:link w:val="Heading5Char"/>
    <w:uiPriority w:val="9"/>
    <w:semiHidden/>
    <w:unhideWhenUsed/>
    <w:qFormat/>
    <w:rsid w:val="00776822"/>
    <w:pPr>
      <w:keepNext/>
      <w:keepLines/>
      <w:spacing w:before="80" w:after="40" w:line="259" w:lineRule="auto"/>
      <w:outlineLvl w:val="4"/>
    </w:pPr>
    <w:rPr>
      <w:rFonts w:asciiTheme="minorHAnsi" w:eastAsiaTheme="majorEastAsia" w:hAnsiTheme="minorHAnsi" w:cstheme="majorBidi"/>
      <w:color w:val="0F4761" w:themeColor="accent1" w:themeShade="BF"/>
      <w:kern w:val="2"/>
      <w:sz w:val="22"/>
      <w:szCs w:val="22"/>
      <w:lang w:val="en-IN" w:eastAsia="en-US"/>
      <w14:ligatures w14:val="standardContextual"/>
    </w:rPr>
  </w:style>
  <w:style w:type="paragraph" w:styleId="Heading6">
    <w:name w:val="heading 6"/>
    <w:basedOn w:val="Normal"/>
    <w:next w:val="Normal"/>
    <w:link w:val="Heading6Char"/>
    <w:uiPriority w:val="9"/>
    <w:semiHidden/>
    <w:unhideWhenUsed/>
    <w:qFormat/>
    <w:rsid w:val="00776822"/>
    <w:pPr>
      <w:keepNext/>
      <w:keepLines/>
      <w:spacing w:before="40" w:line="259" w:lineRule="auto"/>
      <w:outlineLvl w:val="5"/>
    </w:pPr>
    <w:rPr>
      <w:rFonts w:asciiTheme="minorHAnsi" w:eastAsiaTheme="majorEastAsia" w:hAnsiTheme="minorHAnsi" w:cstheme="majorBidi"/>
      <w:i/>
      <w:iCs/>
      <w:color w:val="595959" w:themeColor="text1" w:themeTint="A6"/>
      <w:kern w:val="2"/>
      <w:sz w:val="22"/>
      <w:szCs w:val="22"/>
      <w:lang w:val="en-IN" w:eastAsia="en-US"/>
      <w14:ligatures w14:val="standardContextual"/>
    </w:rPr>
  </w:style>
  <w:style w:type="paragraph" w:styleId="Heading7">
    <w:name w:val="heading 7"/>
    <w:basedOn w:val="Normal"/>
    <w:next w:val="Normal"/>
    <w:link w:val="Heading7Char"/>
    <w:uiPriority w:val="9"/>
    <w:semiHidden/>
    <w:unhideWhenUsed/>
    <w:qFormat/>
    <w:rsid w:val="00776822"/>
    <w:pPr>
      <w:keepNext/>
      <w:keepLines/>
      <w:spacing w:before="40" w:line="259" w:lineRule="auto"/>
      <w:outlineLvl w:val="6"/>
    </w:pPr>
    <w:rPr>
      <w:rFonts w:asciiTheme="minorHAnsi" w:eastAsiaTheme="majorEastAsia" w:hAnsiTheme="minorHAnsi" w:cstheme="majorBidi"/>
      <w:color w:val="595959" w:themeColor="text1" w:themeTint="A6"/>
      <w:kern w:val="2"/>
      <w:sz w:val="22"/>
      <w:szCs w:val="22"/>
      <w:lang w:val="en-IN" w:eastAsia="en-US"/>
      <w14:ligatures w14:val="standardContextual"/>
    </w:rPr>
  </w:style>
  <w:style w:type="paragraph" w:styleId="Heading8">
    <w:name w:val="heading 8"/>
    <w:basedOn w:val="Normal"/>
    <w:next w:val="Normal"/>
    <w:link w:val="Heading8Char"/>
    <w:uiPriority w:val="9"/>
    <w:semiHidden/>
    <w:unhideWhenUsed/>
    <w:qFormat/>
    <w:rsid w:val="00776822"/>
    <w:pPr>
      <w:keepNext/>
      <w:keepLines/>
      <w:spacing w:line="259" w:lineRule="auto"/>
      <w:outlineLvl w:val="7"/>
    </w:pPr>
    <w:rPr>
      <w:rFonts w:asciiTheme="minorHAnsi" w:eastAsiaTheme="majorEastAsia" w:hAnsiTheme="minorHAnsi" w:cstheme="majorBidi"/>
      <w:i/>
      <w:iCs/>
      <w:color w:val="272727" w:themeColor="text1" w:themeTint="D8"/>
      <w:kern w:val="2"/>
      <w:sz w:val="22"/>
      <w:szCs w:val="22"/>
      <w:lang w:val="en-IN" w:eastAsia="en-US"/>
      <w14:ligatures w14:val="standardContextual"/>
    </w:rPr>
  </w:style>
  <w:style w:type="paragraph" w:styleId="Heading9">
    <w:name w:val="heading 9"/>
    <w:basedOn w:val="Normal"/>
    <w:next w:val="Normal"/>
    <w:link w:val="Heading9Char"/>
    <w:uiPriority w:val="9"/>
    <w:semiHidden/>
    <w:unhideWhenUsed/>
    <w:qFormat/>
    <w:rsid w:val="00776822"/>
    <w:pPr>
      <w:keepNext/>
      <w:keepLines/>
      <w:spacing w:line="259" w:lineRule="auto"/>
      <w:outlineLvl w:val="8"/>
    </w:pPr>
    <w:rPr>
      <w:rFonts w:asciiTheme="minorHAnsi" w:eastAsiaTheme="majorEastAsia" w:hAnsiTheme="minorHAnsi" w:cstheme="majorBidi"/>
      <w:color w:val="272727" w:themeColor="text1" w:themeTint="D8"/>
      <w:kern w:val="2"/>
      <w:sz w:val="22"/>
      <w:szCs w:val="22"/>
      <w:lang w:val="en-IN" w:eastAsia="en-US"/>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76822"/>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776822"/>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776822"/>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776822"/>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776822"/>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776822"/>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776822"/>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776822"/>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776822"/>
    <w:rPr>
      <w:rFonts w:eastAsiaTheme="majorEastAsia" w:cstheme="majorBidi"/>
      <w:color w:val="272727" w:themeColor="text1" w:themeTint="D8"/>
    </w:rPr>
  </w:style>
  <w:style w:type="paragraph" w:styleId="Title">
    <w:name w:val="Title"/>
    <w:basedOn w:val="Normal"/>
    <w:next w:val="Normal"/>
    <w:link w:val="TitleChar"/>
    <w:uiPriority w:val="10"/>
    <w:qFormat/>
    <w:rsid w:val="00776822"/>
    <w:pPr>
      <w:spacing w:after="80"/>
      <w:contextualSpacing/>
    </w:pPr>
    <w:rPr>
      <w:rFonts w:asciiTheme="majorHAnsi" w:eastAsiaTheme="majorEastAsia" w:hAnsiTheme="majorHAnsi" w:cstheme="majorBidi"/>
      <w:spacing w:val="-10"/>
      <w:kern w:val="28"/>
      <w:sz w:val="56"/>
      <w:szCs w:val="56"/>
      <w:lang w:val="en-IN" w:eastAsia="en-US"/>
      <w14:ligatures w14:val="standardContextual"/>
    </w:rPr>
  </w:style>
  <w:style w:type="character" w:customStyle="1" w:styleId="TitleChar">
    <w:name w:val="Title Char"/>
    <w:basedOn w:val="DefaultParagraphFont"/>
    <w:link w:val="Title"/>
    <w:uiPriority w:val="10"/>
    <w:rsid w:val="00776822"/>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76822"/>
    <w:pPr>
      <w:numPr>
        <w:ilvl w:val="1"/>
      </w:numPr>
      <w:spacing w:after="160" w:line="259" w:lineRule="auto"/>
    </w:pPr>
    <w:rPr>
      <w:rFonts w:asciiTheme="minorHAnsi" w:eastAsiaTheme="majorEastAsia" w:hAnsiTheme="minorHAnsi" w:cstheme="majorBidi"/>
      <w:color w:val="595959" w:themeColor="text1" w:themeTint="A6"/>
      <w:spacing w:val="15"/>
      <w:kern w:val="2"/>
      <w:sz w:val="28"/>
      <w:szCs w:val="28"/>
      <w:lang w:val="en-IN" w:eastAsia="en-US"/>
      <w14:ligatures w14:val="standardContextual"/>
    </w:rPr>
  </w:style>
  <w:style w:type="character" w:customStyle="1" w:styleId="SubtitleChar">
    <w:name w:val="Subtitle Char"/>
    <w:basedOn w:val="DefaultParagraphFont"/>
    <w:link w:val="Subtitle"/>
    <w:uiPriority w:val="11"/>
    <w:rsid w:val="00776822"/>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776822"/>
    <w:pPr>
      <w:spacing w:before="160" w:after="160" w:line="259" w:lineRule="auto"/>
      <w:jc w:val="center"/>
    </w:pPr>
    <w:rPr>
      <w:rFonts w:asciiTheme="minorHAnsi" w:eastAsiaTheme="minorHAnsi" w:hAnsiTheme="minorHAnsi" w:cstheme="minorBidi"/>
      <w:i/>
      <w:iCs/>
      <w:color w:val="404040" w:themeColor="text1" w:themeTint="BF"/>
      <w:kern w:val="2"/>
      <w:sz w:val="22"/>
      <w:szCs w:val="22"/>
      <w:lang w:val="en-IN" w:eastAsia="en-US"/>
      <w14:ligatures w14:val="standardContextual"/>
    </w:rPr>
  </w:style>
  <w:style w:type="character" w:customStyle="1" w:styleId="QuoteChar">
    <w:name w:val="Quote Char"/>
    <w:basedOn w:val="DefaultParagraphFont"/>
    <w:link w:val="Quote"/>
    <w:uiPriority w:val="29"/>
    <w:rsid w:val="00776822"/>
    <w:rPr>
      <w:i/>
      <w:iCs/>
      <w:color w:val="404040" w:themeColor="text1" w:themeTint="BF"/>
    </w:rPr>
  </w:style>
  <w:style w:type="paragraph" w:styleId="ListParagraph">
    <w:name w:val="List Paragraph"/>
    <w:basedOn w:val="Normal"/>
    <w:uiPriority w:val="34"/>
    <w:qFormat/>
    <w:rsid w:val="00776822"/>
    <w:pPr>
      <w:spacing w:after="160" w:line="259" w:lineRule="auto"/>
      <w:ind w:left="720"/>
      <w:contextualSpacing/>
    </w:pPr>
    <w:rPr>
      <w:rFonts w:asciiTheme="minorHAnsi" w:eastAsiaTheme="minorHAnsi" w:hAnsiTheme="minorHAnsi" w:cstheme="minorBidi"/>
      <w:kern w:val="2"/>
      <w:sz w:val="22"/>
      <w:szCs w:val="22"/>
      <w:lang w:val="en-IN" w:eastAsia="en-US"/>
      <w14:ligatures w14:val="standardContextual"/>
    </w:rPr>
  </w:style>
  <w:style w:type="character" w:styleId="IntenseEmphasis">
    <w:name w:val="Intense Emphasis"/>
    <w:basedOn w:val="DefaultParagraphFont"/>
    <w:uiPriority w:val="21"/>
    <w:qFormat/>
    <w:rsid w:val="00776822"/>
    <w:rPr>
      <w:i/>
      <w:iCs/>
      <w:color w:val="0F4761" w:themeColor="accent1" w:themeShade="BF"/>
    </w:rPr>
  </w:style>
  <w:style w:type="paragraph" w:styleId="IntenseQuote">
    <w:name w:val="Intense Quote"/>
    <w:basedOn w:val="Normal"/>
    <w:next w:val="Normal"/>
    <w:link w:val="IntenseQuoteChar"/>
    <w:uiPriority w:val="30"/>
    <w:qFormat/>
    <w:rsid w:val="00776822"/>
    <w:pPr>
      <w:pBdr>
        <w:top w:val="single" w:sz="4" w:space="10" w:color="0F4761" w:themeColor="accent1" w:themeShade="BF"/>
        <w:bottom w:val="single" w:sz="4" w:space="10" w:color="0F4761" w:themeColor="accent1" w:themeShade="BF"/>
      </w:pBdr>
      <w:spacing w:before="360" w:after="360" w:line="259" w:lineRule="auto"/>
      <w:ind w:left="864" w:right="864"/>
      <w:jc w:val="center"/>
    </w:pPr>
    <w:rPr>
      <w:rFonts w:asciiTheme="minorHAnsi" w:eastAsiaTheme="minorHAnsi" w:hAnsiTheme="minorHAnsi" w:cstheme="minorBidi"/>
      <w:i/>
      <w:iCs/>
      <w:color w:val="0F4761" w:themeColor="accent1" w:themeShade="BF"/>
      <w:kern w:val="2"/>
      <w:sz w:val="22"/>
      <w:szCs w:val="22"/>
      <w:lang w:val="en-IN" w:eastAsia="en-US"/>
      <w14:ligatures w14:val="standardContextual"/>
    </w:rPr>
  </w:style>
  <w:style w:type="character" w:customStyle="1" w:styleId="IntenseQuoteChar">
    <w:name w:val="Intense Quote Char"/>
    <w:basedOn w:val="DefaultParagraphFont"/>
    <w:link w:val="IntenseQuote"/>
    <w:uiPriority w:val="30"/>
    <w:rsid w:val="00776822"/>
    <w:rPr>
      <w:i/>
      <w:iCs/>
      <w:color w:val="0F4761" w:themeColor="accent1" w:themeShade="BF"/>
    </w:rPr>
  </w:style>
  <w:style w:type="character" w:styleId="IntenseReference">
    <w:name w:val="Intense Reference"/>
    <w:basedOn w:val="DefaultParagraphFont"/>
    <w:uiPriority w:val="32"/>
    <w:qFormat/>
    <w:rsid w:val="00776822"/>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1654</Words>
  <Characters>9433</Characters>
  <Application>Microsoft Office Word</Application>
  <DocSecurity>0</DocSecurity>
  <Lines>78</Lines>
  <Paragraphs>22</Paragraphs>
  <ScaleCrop>false</ScaleCrop>
  <Company>Springer Nature</Company>
  <LinksUpToDate>false</LinksUpToDate>
  <CharactersWithSpaces>11065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Amruta Dange</dc:creator>
  <cp:keywords/>
  <dc:description/>
  <cp:lastModifiedBy>Amruta Dange</cp:lastModifiedBy>
  <cp:revision>1</cp:revision>
  <dcterms:created xsi:type="dcterms:W3CDTF">2024-06-25T18:51:00Z</dcterms:created>
  <dcterms:modified xsi:type="dcterms:W3CDTF">2024-06-25T18:51:00Z</dcterms:modified>
</cp:coreProperties>
</file>