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FD08DC8" w14:textId="77777777" w:rsidR="00FC77E1" w:rsidRPr="00172DC0" w:rsidRDefault="00FC77E1" w:rsidP="00FC77E1">
      <w:pPr>
        <w:spacing w:after="0pt" w:line="24pt" w:lineRule="auto"/>
        <w:jc w:val="both"/>
        <w:rPr>
          <w:rFonts w:ascii="Times New Roman" w:eastAsia="Segoe UI" w:hAnsi="Times New Roman" w:cs="Times New Roman"/>
          <w:b/>
          <w:bCs/>
          <w:kern w:val="0"/>
          <w:sz w:val="20"/>
          <w:szCs w:val="20"/>
          <w14:ligatures w14:val="none"/>
        </w:rPr>
      </w:pPr>
      <w:r w:rsidRPr="00172DC0">
        <w:rPr>
          <w:rFonts w:ascii="Times New Roman" w:eastAsia="Segoe UI" w:hAnsi="Times New Roman" w:cs="Times New Roman"/>
          <w:b/>
          <w:bCs/>
          <w:kern w:val="0"/>
          <w:sz w:val="20"/>
          <w:szCs w:val="20"/>
          <w14:ligatures w14:val="none"/>
        </w:rPr>
        <w:t xml:space="preserve">Table 1.  Parameter values </w:t>
      </w:r>
      <w:r>
        <w:rPr>
          <w:rFonts w:ascii="Times New Roman" w:eastAsia="Segoe UI" w:hAnsi="Times New Roman" w:cs="Times New Roman"/>
          <w:b/>
          <w:bCs/>
          <w:kern w:val="0"/>
          <w:sz w:val="20"/>
          <w:szCs w:val="20"/>
          <w14:ligatures w14:val="none"/>
        </w:rPr>
        <w:t>used</w:t>
      </w:r>
      <w:r w:rsidRPr="00172DC0">
        <w:rPr>
          <w:rFonts w:ascii="Times New Roman" w:eastAsia="Segoe UI" w:hAnsi="Times New Roman" w:cs="Times New Roman"/>
          <w:b/>
          <w:bCs/>
          <w:kern w:val="0"/>
          <w:sz w:val="20"/>
          <w:szCs w:val="20"/>
          <w14:ligatures w14:val="none"/>
        </w:rPr>
        <w:t xml:space="preserve"> in the model analysis</w:t>
      </w:r>
      <w:r>
        <w:rPr>
          <w:rFonts w:ascii="Times New Roman" w:eastAsia="Segoe UI" w:hAnsi="Times New Roman" w:cs="Times New Roman"/>
          <w:b/>
          <w:bCs/>
          <w:kern w:val="0"/>
          <w:sz w:val="20"/>
          <w:szCs w:val="20"/>
          <w14:ligatures w14:val="none"/>
        </w:rPr>
        <w:t xml:space="preserve"> and data sources</w:t>
      </w:r>
      <w:r w:rsidRPr="00172DC0">
        <w:rPr>
          <w:rFonts w:ascii="Times New Roman" w:eastAsia="Segoe UI" w:hAnsi="Times New Roman" w:cs="Times New Roman"/>
          <w:b/>
          <w:bCs/>
          <w:kern w:val="0"/>
          <w:sz w:val="20"/>
          <w:szCs w:val="20"/>
          <w14:ligatures w14:val="none"/>
        </w:rPr>
        <w:t>.</w:t>
      </w:r>
    </w:p>
    <w:tbl>
      <w:tblPr>
        <w:tblW w:w="511.20pt" w:type="dxa"/>
        <w:tblInd w:w="-28.35pt" w:type="dxa"/>
        <w:tblLook w:firstRow="1" w:lastRow="0" w:firstColumn="1" w:lastColumn="0" w:noHBand="0" w:noVBand="1"/>
      </w:tblPr>
      <w:tblGrid>
        <w:gridCol w:w="2977"/>
        <w:gridCol w:w="714"/>
        <w:gridCol w:w="987"/>
        <w:gridCol w:w="5546"/>
      </w:tblGrid>
      <w:tr w:rsidR="00FC77E1" w:rsidRPr="007C771F" w14:paraId="79ECD420" w14:textId="77777777" w:rsidTr="001D0140">
        <w:trPr>
          <w:trHeight w:val="408"/>
        </w:trPr>
        <w:tc>
          <w:tcPr>
            <w:tcW w:w="148.8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center"/>
            <w:hideMark/>
          </w:tcPr>
          <w:p w14:paraId="4EDBDCBD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Parameter</w:t>
            </w:r>
          </w:p>
        </w:tc>
        <w:tc>
          <w:tcPr>
            <w:tcW w:w="35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center"/>
            <w:hideMark/>
          </w:tcPr>
          <w:p w14:paraId="63B02982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Symbol</w:t>
            </w:r>
          </w:p>
        </w:tc>
        <w:tc>
          <w:tcPr>
            <w:tcW w:w="49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center"/>
            <w:hideMark/>
          </w:tcPr>
          <w:p w14:paraId="78353AD0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Value</w:t>
            </w:r>
          </w:p>
        </w:tc>
        <w:tc>
          <w:tcPr>
            <w:tcW w:w="277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center"/>
            <w:hideMark/>
          </w:tcPr>
          <w:p w14:paraId="2D1E2E8E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Data source</w:t>
            </w:r>
          </w:p>
        </w:tc>
      </w:tr>
      <w:tr w:rsidR="00FC77E1" w:rsidRPr="007C771F" w14:paraId="59EE9170" w14:textId="77777777" w:rsidTr="001D0140">
        <w:trPr>
          <w:trHeight w:val="204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0D92C7F7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Underutilised persons initial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530DF76A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</w:t>
            </w: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:lang w:eastAsia="en-AU"/>
                <w14:ligatures w14:val="none"/>
              </w:rPr>
              <w:t>0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59D98F8C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1,445,000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0A64D93C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Unemployed plus underemployed persons in Australia as of 30</w:t>
            </w:r>
            <w:r w:rsidRPr="007C771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en-AU"/>
                <w14:ligatures w14:val="none"/>
              </w:rPr>
              <w:t>th</w:t>
            </w:r>
            <w:r w:rsidRPr="007C771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June 2023 – seasonally adjusted (ABS, 6202.0 Labour Force, Australia, Table 22. </w:t>
            </w:r>
            <w:hyperlink r:id="rId4" w:history="1">
              <w:r w:rsidRPr="007C771F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https://www.abs.gov.au/statistics/labour/employment-and-unemployment/labour-force-australia/latest-release</w:t>
              </w:r>
            </w:hyperlink>
            <w:r w:rsidRPr="007C771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) </w:t>
            </w:r>
          </w:p>
        </w:tc>
      </w:tr>
      <w:tr w:rsidR="00FC77E1" w:rsidRPr="007C771F" w14:paraId="76E29CDE" w14:textId="77777777" w:rsidTr="001D0140">
        <w:trPr>
          <w:trHeight w:val="204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304E49D5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Ratio of underemployed to unemployed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4673498B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10F5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4FD9392E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1.6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5B7371D3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Derived from </w:t>
            </w:r>
            <w:r w:rsidRPr="007C771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ABS, 6202.0 Labour Force, Australia, Table 22. </w:t>
            </w:r>
            <w:hyperlink r:id="rId5" w:history="1">
              <w:r w:rsidRPr="007C771F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https://www.abs.gov.au/statistics/labour/employment-and-unemployment/labour-force-australia/latest-release</w:t>
              </w:r>
            </w:hyperlink>
            <w:r>
              <w:rPr>
                <w:rStyle w:val="Hyperlink"/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. </w:t>
            </w:r>
            <w:r w:rsidRPr="00D003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A</w:t>
            </w:r>
            <w:r w:rsidRPr="00D00313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817EA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erage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value </w:t>
            </w:r>
            <w:r w:rsidRPr="00817EA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over the 10-year period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,</w:t>
            </w:r>
            <w:r w:rsidRPr="00817EA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Dec 2013 – Nov 2023. </w:t>
            </w:r>
            <w:r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en-AU"/>
                <w14:ligatures w14:val="none"/>
              </w:rPr>
              <w:t>V</w:t>
            </w:r>
            <w:r w:rsidRPr="00C32A5D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en-AU"/>
                <w14:ligatures w14:val="none"/>
              </w:rPr>
              <w:t>aried by +/-</w:t>
            </w:r>
            <w:r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  <w:r w:rsidRPr="00C32A5D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en-AU"/>
                <w14:ligatures w14:val="none"/>
              </w:rPr>
              <w:t>0% in sensitivity analyses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.</w:t>
            </w:r>
          </w:p>
        </w:tc>
      </w:tr>
      <w:tr w:rsidR="00FC77E1" w:rsidRPr="007C771F" w14:paraId="323EA7C3" w14:textId="77777777" w:rsidTr="001D0140">
        <w:trPr>
          <w:trHeight w:val="204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6EA8DC18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Ratio of disposable income of an underemployed to fully employed person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5F1070D7" w14:textId="77777777" w:rsidR="00FC77E1" w:rsidRPr="0018072C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highlight w:val="yellow"/>
                <w:lang w:eastAsia="en-AU"/>
                <w14:ligatures w14:val="none"/>
              </w:rPr>
            </w:pPr>
            <w:r w:rsidRPr="000D0D6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-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14C5C625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77%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024F2B59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Derived from Table 25 of: </w:t>
            </w:r>
            <w:r w:rsidRPr="00D03D4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Campbell I., Parkinson, S. and Wood, G. (2014)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Pr="00D03D4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Underemployment and housing insecurity: an empirical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Pr="00D03D4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analysis of HILDA data, AHURI Final Report No.230.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Pr="00D03D4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Melbourne: Australian Housing and Urban Research Institute.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</w:p>
        </w:tc>
      </w:tr>
      <w:tr w:rsidR="00FC77E1" w:rsidRPr="007C771F" w14:paraId="2FF4D1BE" w14:textId="77777777" w:rsidTr="001D0140">
        <w:trPr>
          <w:trHeight w:val="204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28B6A0B0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Labour underutilisation onset rate initial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013F36F0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18072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</w:t>
            </w:r>
            <w:r w:rsidRPr="001807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:lang w:eastAsia="en-AU"/>
                <w14:ligatures w14:val="none"/>
              </w:rPr>
              <w:t>0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712B5519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9.9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%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266C9DF7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Derived from </w:t>
            </w:r>
            <w:r w:rsidRPr="007C771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ABS, 6202.0 Labour Force, Australia, Table 22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hyperlink r:id="rId6" w:history="1">
              <w:r w:rsidRPr="00CC63B0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https://www.abs.gov.au/statistics/labour/employment-and-unemployent/labour-force-australia/latest-release</w:t>
              </w:r>
            </w:hyperlink>
          </w:p>
        </w:tc>
      </w:tr>
      <w:tr w:rsidR="00FC77E1" w:rsidRPr="007C771F" w14:paraId="469DB9EB" w14:textId="77777777" w:rsidTr="001D0140">
        <w:trPr>
          <w:trHeight w:val="204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5E1F24A9" w14:textId="77777777" w:rsidR="00FC77E1" w:rsidRPr="00942058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4205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Base labour underutilisation onset rate increase per year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6BCE61E6" w14:textId="77777777" w:rsidR="00FC77E1" w:rsidRPr="00942058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4205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β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678EB415" w14:textId="77777777" w:rsidR="00FC77E1" w:rsidRPr="00942058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4205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015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689F6976" w14:textId="77777777" w:rsidR="00FC77E1" w:rsidRPr="00942058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Reasoned estimate based on plausible forward projections of labour underutilisation to 2050.5.</w:t>
            </w:r>
            <w:r w:rsidRPr="005B102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Pr="00C32A5D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en-AU"/>
                <w14:ligatures w14:val="none"/>
              </w:rPr>
              <w:t>Varied by +/-</w:t>
            </w:r>
            <w:r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  <w:r w:rsidRPr="00C32A5D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en-AU"/>
                <w14:ligatures w14:val="none"/>
              </w:rPr>
              <w:t>0% in sensitivity analyses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.</w:t>
            </w:r>
          </w:p>
        </w:tc>
      </w:tr>
      <w:tr w:rsidR="00FC77E1" w:rsidRPr="007C771F" w14:paraId="28094B53" w14:textId="77777777" w:rsidTr="001D0140">
        <w:trPr>
          <w:trHeight w:val="204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2BF25559" w14:textId="77777777" w:rsidR="00FC77E1" w:rsidRPr="00942058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4205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Labour force initial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0AC0FD2B" w14:textId="77777777" w:rsidR="00FC77E1" w:rsidRPr="00942058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4205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i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28BD1930" w14:textId="77777777" w:rsidR="00FC77E1" w:rsidRPr="00942058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4205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14,585,316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797C139C" w14:textId="77777777" w:rsidR="00FC77E1" w:rsidRPr="00942058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4205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Labour force total persons as of 30</w:t>
            </w:r>
            <w:r w:rsidRPr="0094205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en-AU"/>
                <w14:ligatures w14:val="none"/>
              </w:rPr>
              <w:t>th</w:t>
            </w:r>
            <w:r w:rsidRPr="0094205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June 2023. ABS, 6202.0 Labour Force, Australia, Table 22: </w:t>
            </w:r>
            <w:hyperlink r:id="rId7" w:history="1">
              <w:r w:rsidRPr="00942058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https://www.abs.gov.au/statistics/labour/employment-and-unemployment/labour-force-australia/latest-release</w:t>
              </w:r>
            </w:hyperlink>
            <w:r w:rsidRPr="0094205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. </w:t>
            </w:r>
          </w:p>
        </w:tc>
      </w:tr>
      <w:tr w:rsidR="00FC77E1" w:rsidRPr="007C771F" w14:paraId="01FFBC52" w14:textId="77777777" w:rsidTr="001D0140">
        <w:trPr>
          <w:trHeight w:val="204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079B682D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Capital-to-labour ratio (K-L ratio) initial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6FF84296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</w:t>
            </w: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:lang w:eastAsia="en-AU"/>
                <w14:ligatures w14:val="none"/>
              </w:rPr>
              <w:t>0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221F7632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FC10D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94.6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2C061FD3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A4C7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ABS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, </w:t>
            </w:r>
            <w:r w:rsidRPr="005A4C7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Australian National Accounts, 2022-23, Cat. no. 5204.0,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T</w:t>
            </w:r>
            <w:r w:rsidRPr="005A4C7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able 13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: </w:t>
            </w:r>
            <w:hyperlink r:id="rId8" w:history="1">
              <w:r w:rsidRPr="001934EF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https://www.abs.gov.au/statistics/economy/national-accounts/australian-system-national-accounts/latest-release</w:t>
              </w:r>
            </w:hyperlink>
            <w:r>
              <w:rPr>
                <w:rStyle w:val="Hyperlink"/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Pr="00480B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Quality adjusted hours worked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and indexed (2021=100)</w:t>
            </w:r>
          </w:p>
        </w:tc>
      </w:tr>
      <w:tr w:rsidR="00FC77E1" w:rsidRPr="007C771F" w14:paraId="4D46ED0F" w14:textId="77777777" w:rsidTr="001D0140">
        <w:trPr>
          <w:trHeight w:val="204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4AE84106" w14:textId="77777777" w:rsidR="00FC77E1" w:rsidRPr="00353233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35323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K-L ratio percent increase per annum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4B13559A" w14:textId="77777777" w:rsidR="00FC77E1" w:rsidRPr="00353233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3532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α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3FC7DE4B" w14:textId="77777777" w:rsidR="00FC77E1" w:rsidRPr="00353233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35323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1.8%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71A7CBEB" w14:textId="77777777" w:rsidR="00FC77E1" w:rsidRPr="00353233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35323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ABS, Australian National Accounts, 2022-23, Cat. no. 5204.0, Table 13: </w:t>
            </w:r>
            <w:hyperlink r:id="rId9" w:history="1">
              <w:r w:rsidRPr="00353233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https://www.abs.gov.au/statistics/economy/national-accounts/australian-system-national-accounts/latest-release</w:t>
              </w:r>
            </w:hyperlink>
            <w:r w:rsidRPr="00353233">
              <w:rPr>
                <w:rStyle w:val="Hyperlink"/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.</w:t>
            </w:r>
            <w:r w:rsidRPr="0035323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Average annual increase in the K-L ratio over the period 1995 to 2023 derived from regression model.</w:t>
            </w:r>
          </w:p>
        </w:tc>
      </w:tr>
      <w:tr w:rsidR="00FC77E1" w:rsidRPr="007C771F" w14:paraId="0550FDFB" w14:textId="77777777" w:rsidTr="001D0140">
        <w:trPr>
          <w:trHeight w:val="408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5012780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Initial population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855252E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</w:t>
            </w: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:lang w:eastAsia="en-AU"/>
                <w14:ligatures w14:val="none"/>
              </w:rPr>
              <w:t>0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5801AB8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26,638,544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5E8DE9D8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The population of Australia as of 30</w:t>
            </w: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en-AU"/>
                <w14:ligatures w14:val="none"/>
              </w:rPr>
              <w:t>th</w:t>
            </w: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June 2023 (</w:t>
            </w:r>
            <w:hyperlink r:id="rId10" w:history="1">
              <w:r w:rsidRPr="007C771F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https://www.abs.gov.au/statistics/people/population</w:t>
              </w:r>
            </w:hyperlink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) </w:t>
            </w:r>
          </w:p>
        </w:tc>
      </w:tr>
      <w:tr w:rsidR="00FC77E1" w:rsidRPr="007C771F" w14:paraId="749ACE59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0F2C38FD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Population increase percent per annum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2E92FB3B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F26AFA">
              <w:rPr>
                <w:rFonts w:ascii="Cambria Math" w:hAnsi="Cambria Math"/>
                <w:i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 w:val="16"/>
                  <w:szCs w:val="16"/>
                  <w:lang w:eastAsia="en-AU"/>
                  <w14:ligatures w14:val="none"/>
                </w:rPr>
                <m:t>g</m:t>
              </m:r>
            </m:oMath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57BCDE8C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C242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1.1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03B29214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Population projections, Australia:</w:t>
            </w:r>
            <w:hyperlink r:id="rId11" w:history="1">
              <w:r w:rsidRPr="001934EF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https://www.abs.gov.au/statistics/people/population/population-projections-australia/2022-base-2071</w:t>
              </w:r>
            </w:hyperlink>
            <w:r>
              <w:rPr>
                <w:rStyle w:val="Hyperlink"/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This approximates medium series by 2050.5.</w:t>
            </w:r>
          </w:p>
        </w:tc>
      </w:tr>
      <w:tr w:rsidR="00FC77E1" w:rsidRPr="007C771F" w14:paraId="61CE5E03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71EB184D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Mortality rate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6310386F" w14:textId="77777777" w:rsidR="00FC77E1" w:rsidRPr="00F366E2" w:rsidRDefault="00FC77E1" w:rsidP="001D0140">
            <w:pPr>
              <w:spacing w:after="0pt" w:line="12pt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366E2">
              <w:rPr>
                <w:rFonts w:ascii="Times New Roman" w:hAnsi="Times New Roman" w:cs="Times New Roman"/>
                <w:i/>
                <w:sz w:val="16"/>
                <w:szCs w:val="16"/>
              </w:rPr>
              <w:t>m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0051DAE9" w14:textId="77777777" w:rsidR="00FC77E1" w:rsidRPr="005C242A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E36D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5F47D54A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Derived from Australian Bureau of Statistics. Table 1.9, Life Tables, Australia, 2020-2022 </w:t>
            </w:r>
            <w:hyperlink r:id="rId12" w:history="1">
              <w:r w:rsidRPr="004073D6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https://www.abs.gov.au/statistics/people/population/life-expectancy/latest-release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and population data for each age.</w:t>
            </w:r>
          </w:p>
        </w:tc>
      </w:tr>
      <w:tr w:rsidR="00FC77E1" w:rsidRPr="007C771F" w14:paraId="4C43DCC7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44F9710E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New job creation rate per capita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3073095E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502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λ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483B2879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62B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0.0021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208C952F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93F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Australian Bureau of Statistics. (2019, December 10). Jobs growth over the past 25 years. ABS. </w:t>
            </w:r>
            <w:hyperlink r:id="rId13" w:history="1">
              <w:r w:rsidRPr="00CC63B0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https://www.abs.gov.au/articles/jobs-growth-over-past-25-years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. </w:t>
            </w:r>
            <w:r w:rsidRPr="001A47A3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en-AU"/>
                <w14:ligatures w14:val="none"/>
              </w:rPr>
              <w:t xml:space="preserve">Varied between 0.001 (half the default value) and 0.0042 (double the default value) in sensitivity analyses. </w:t>
            </w:r>
          </w:p>
        </w:tc>
      </w:tr>
      <w:tr w:rsidR="00FC77E1" w:rsidRPr="007C771F" w14:paraId="186EAAE0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62799AAE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</w:t>
            </w:r>
            <w:r w:rsidRPr="003560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elay in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change to </w:t>
            </w:r>
            <w:r w:rsidRPr="003560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underutilisation onset rate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E2FDDA0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D0A3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d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D5629DA" w14:textId="77777777" w:rsidR="00FC77E1" w:rsidRPr="00462B2C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2D906B3C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 years – an estimate. D</w:t>
            </w:r>
            <w:r w:rsidRPr="00DF56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elay in changes to the underutilisation onset rate as a result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of</w:t>
            </w:r>
            <w:r w:rsidRPr="00DF56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changes to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the</w:t>
            </w:r>
            <w:r w:rsidRPr="00DF56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K-L ratio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.</w:t>
            </w:r>
          </w:p>
        </w:tc>
      </w:tr>
      <w:tr w:rsidR="00FC77E1" w:rsidRPr="007C771F" w14:paraId="690DB5BE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689E1130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Base Multi-Factor Productivity (MFP) rate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3065906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CD0D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ν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591F4F2" w14:textId="77777777" w:rsidR="00FC77E1" w:rsidRPr="00462B2C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CD0DB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0.56298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7B6EE9D6" w14:textId="77777777" w:rsidR="00FC77E1" w:rsidRPr="007C771F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Derived from MFP data, OECD, Australia, 1985-2022: </w:t>
            </w:r>
            <w:hyperlink r:id="rId14" w:history="1">
              <w:r w:rsidRPr="00CC63B0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https://data.oecd.org/lprdty/multifactor-productivity.htm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</w:p>
        </w:tc>
      </w:tr>
      <w:tr w:rsidR="00FC77E1" w:rsidRPr="007C771F" w14:paraId="7C20B3E8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4E0235BB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Scaling factor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5D41C80" w14:textId="77777777" w:rsidR="00FC77E1" w:rsidRPr="00CD0DBE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E7A2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τ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55644F8" w14:textId="77777777" w:rsidR="00FC77E1" w:rsidRPr="00CD0DBE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3521F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,</w:t>
            </w:r>
            <w:r w:rsidRPr="003521F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985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09A0E292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FA66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To align the model's output with the June 2023 Real Net National Dispos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</w:t>
            </w:r>
            <w:r w:rsidRPr="00FA66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ble Income (RNNDI)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per capita in Australia, </w:t>
            </w:r>
            <w:r w:rsidRPr="00FA66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a scaling </w:t>
            </w:r>
            <w:r w:rsidRPr="008B36D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factor of 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,985</w:t>
            </w:r>
            <w:r w:rsidRPr="00FA66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was applied. This calibration ensures the model's initial conditions broadly reflect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a </w:t>
            </w:r>
            <w:r w:rsidRPr="00FA66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real world economic indicator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of disposable income (data: Table 1: </w:t>
            </w:r>
            <w:hyperlink r:id="rId15" w:anchor="data-downloads" w:history="1">
              <w:r w:rsidRPr="00313681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https://www.abs.gov.au/statistics/economy/national-accounts/australian-national-accounts-national-income-expenditure-and-product/latest-release#data-downloads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) </w:t>
            </w:r>
          </w:p>
        </w:tc>
      </w:tr>
      <w:tr w:rsidR="00FC77E1" w:rsidRPr="007C771F" w14:paraId="4CD9E6E0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0DA2C651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Proportion of disposable income affected by </w:t>
            </w:r>
            <w:r w:rsidRPr="001B7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productivity related price decreases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.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89ECECB" w14:textId="77777777" w:rsidR="00FC77E1" w:rsidRPr="007E7A25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389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ω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F701285" w14:textId="77777777" w:rsidR="00FC77E1" w:rsidRPr="00255BC0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50%</w:t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49834AD0" w14:textId="77777777" w:rsidR="00FC77E1" w:rsidRPr="00FA6675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Reasoned estimate. </w:t>
            </w:r>
            <w:r w:rsidRPr="00C32A5D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en-AU"/>
                <w14:ligatures w14:val="none"/>
              </w:rPr>
              <w:t>Varied between 30% and 70% in sensitivity analyses.</w:t>
            </w:r>
          </w:p>
        </w:tc>
      </w:tr>
      <w:tr w:rsidR="00FC77E1" w:rsidRPr="007C771F" w14:paraId="7D3CFF03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5E7B0CFE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</w:t>
            </w:r>
            <w:r w:rsidRPr="00D502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he per unit change in average disposable income as the proportion of the population underutilised changes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1AE6283" w14:textId="77777777" w:rsidR="00FC77E1" w:rsidRPr="00CD0DBE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5026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θ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A060732" w14:textId="77777777" w:rsidR="00FC77E1" w:rsidRPr="00CD0DBE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4CC69ED7" wp14:editId="7AC88700">
                  <wp:extent cx="230505" cy="230505"/>
                  <wp:effectExtent l="0" t="0" r="0" b="0"/>
                  <wp:docPr id="579657018" name="Picture 5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244EC735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6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Graphical converter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: </w:t>
            </w:r>
            <w:r w:rsidRPr="00D544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Points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(underutilisation, disposable income)</w:t>
            </w:r>
            <w:r w:rsidRPr="00D544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: (0.000, 1.359), (0.500, 1.152), (</w:t>
            </w:r>
            <w:r w:rsidRPr="009856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1.000, 1.000</w:t>
            </w:r>
            <w:r w:rsidRPr="00D544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), (1.500, 0.876), (</w:t>
            </w:r>
            <w:r w:rsidRPr="008B1F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2.000, 0.796</w:t>
            </w:r>
            <w:r w:rsidRPr="00D544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), (2.500, 0.748), (3.000, 0.705), (3.500, 0.676), (4.000, 0.648), (4.500, 0.631), (5.000, 0.612)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. Value of 1 is reference point (i.e. current values of underutilisation and average disposable income). Highlighted example says that if underutilisation was double the current rate, then average disposable income (wages) would be 79.6% the current level (or 20.4% less than the current level). Approximates Phillips Curve provided by the Reserve Bank of Australia (Figure 3 in </w:t>
            </w:r>
            <w:hyperlink r:id="rId17" w:history="1">
              <w:r w:rsidRPr="004073D6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lang w:eastAsia="en-AU"/>
                  <w14:ligatures w14:val="none"/>
                </w:rPr>
                <w:t>https://www.rba.gov.au/publications/rdp/2021/pdf/rdp2021-09.pdf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) </w:t>
            </w:r>
          </w:p>
        </w:tc>
      </w:tr>
      <w:tr w:rsidR="00FC77E1" w:rsidRPr="007C771F" w14:paraId="33032A72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2810103A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T</w:t>
            </w:r>
            <w:r w:rsidRPr="009A4E4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he per unit change in the underutilisation onset rate as a result of changes to the K-L ratio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due to generative AI</w:t>
            </w:r>
            <w:r w:rsidRPr="009A4E4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B4B378C" w14:textId="77777777" w:rsidR="00FC77E1" w:rsidRPr="00CD0DBE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D29F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η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F9EAB5B" w14:textId="77777777" w:rsidR="00FC77E1" w:rsidRPr="00CD0DBE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79F01697" wp14:editId="0A9F87FC">
                  <wp:extent cx="230505" cy="230505"/>
                  <wp:effectExtent l="0" t="0" r="0" b="0"/>
                  <wp:docPr id="641395390" name="Picture 4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6520B66C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Graphical converter: </w:t>
            </w:r>
            <w:r w:rsidRPr="00A6502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Points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(K-L ratio, labour underutilisation onset rate)</w:t>
            </w:r>
            <w:r w:rsidRPr="00A6502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: (0.000, 0.000), (0.500, 0.291), (</w:t>
            </w:r>
            <w:r w:rsidRPr="009C405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1.000, 1.000</w:t>
            </w:r>
            <w:r w:rsidRPr="00A6502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), (1.500, 1.990), (2.000, 3.083), (2.500, </w:t>
            </w:r>
            <w:r w:rsidRPr="00A6502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4.029), (3.000, 4.636), (3.500, 4.976), (4.000, 5.000), (4.500, 5.000), (5.000, 5.000)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.</w:t>
            </w:r>
          </w:p>
        </w:tc>
      </w:tr>
      <w:tr w:rsidR="00FC77E1" w:rsidRPr="007C771F" w14:paraId="03DCD863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1B802FC2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T</w:t>
            </w:r>
            <w:r w:rsidRPr="00D502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he per unit change in the MFP rate as a result of changes to the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Pr="00D502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K-L ratio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due to generative AI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FB4DEE0" w14:textId="77777777" w:rsidR="00FC77E1" w:rsidRPr="00CD0DBE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9A4E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δ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8D6F018" w14:textId="77777777" w:rsidR="00FC77E1" w:rsidRPr="00CD0DBE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5307C08" wp14:editId="5012FC32">
                  <wp:extent cx="230505" cy="230505"/>
                  <wp:effectExtent l="0" t="0" r="0" b="0"/>
                  <wp:docPr id="1833387922" name="Picture 3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68C5B5D0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6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Graphical converter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: </w:t>
            </w:r>
            <w:r w:rsidRPr="00A6502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Points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(K-L ratio, MFP)</w:t>
            </w:r>
            <w:r w:rsidRPr="00A6502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: (0.000, 0.000), (0.500, 0.415), (1.000, 1.000), (1.500, 1.524), (2.000, 2.214), (2.500, 3.135), (3.000, 4.093), (3.500, 4.667), (4.000, 4.929), (4.500, 5.000), (5.000, 5.000)</w:t>
            </w:r>
          </w:p>
        </w:tc>
      </w:tr>
      <w:tr w:rsidR="00FC77E1" w:rsidRPr="007C771F" w14:paraId="7353FFE7" w14:textId="77777777" w:rsidTr="001D0140">
        <w:trPr>
          <w:trHeight w:val="236"/>
        </w:trPr>
        <w:tc>
          <w:tcPr>
            <w:tcW w:w="148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4A66100D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E153C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The per unit change in prices as MFP increases </w:t>
            </w:r>
          </w:p>
        </w:tc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882A481" w14:textId="77777777" w:rsidR="00FC77E1" w:rsidRPr="00CD0DBE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E153C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ρ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6EDC446" w14:textId="77777777" w:rsidR="00FC77E1" w:rsidRPr="00CD0DBE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361FA56" wp14:editId="60CD657F">
                  <wp:extent cx="230505" cy="230505"/>
                  <wp:effectExtent l="0" t="0" r="0" b="0"/>
                  <wp:docPr id="53688829" name="Picture 2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</w:tcPr>
          <w:p w14:paraId="7A8FA258" w14:textId="77777777" w:rsidR="00FC77E1" w:rsidRDefault="00FC77E1" w:rsidP="001D0140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6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Graphical converter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(MFP, prices): </w:t>
            </w:r>
            <w:r w:rsidRPr="00114D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Points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(MFP, Prices)</w:t>
            </w:r>
            <w:r w:rsidRPr="00114D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: (0.000, 1.3890), (0.500, 1.1500), (1.000, 1.0000), (1.500, 0.9223), (2.000, 0.8870), (2.500, 0.8560), (3.000, 0.8332), (3.500, 0.8083), (4.000, 0.8000), (4.500, 0.8000), (5.000, 0.8000)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</w:p>
        </w:tc>
      </w:tr>
      <w:tr w:rsidR="00FC77E1" w:rsidRPr="007C771F" w14:paraId="2FA44A64" w14:textId="77777777" w:rsidTr="001D0140">
        <w:trPr>
          <w:trHeight w:val="74"/>
        </w:trPr>
        <w:tc>
          <w:tcPr>
            <w:tcW w:w="148.8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788D3D85" w14:textId="77777777" w:rsidR="00FC77E1" w:rsidRPr="007C771F" w:rsidRDefault="00FC77E1" w:rsidP="001D0140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 </w:t>
            </w:r>
          </w:p>
        </w:tc>
        <w:tc>
          <w:tcPr>
            <w:tcW w:w="35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5D7E1A37" w14:textId="77777777" w:rsidR="00FC77E1" w:rsidRPr="007C771F" w:rsidRDefault="00FC77E1" w:rsidP="001D0140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 </w:t>
            </w:r>
          </w:p>
        </w:tc>
        <w:tc>
          <w:tcPr>
            <w:tcW w:w="49.3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49C09668" w14:textId="77777777" w:rsidR="00FC77E1" w:rsidRPr="007C771F" w:rsidRDefault="00FC77E1" w:rsidP="001D0140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7C771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 </w:t>
            </w:r>
          </w:p>
        </w:tc>
        <w:tc>
          <w:tcPr>
            <w:tcW w:w="277.3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</w:tcPr>
          <w:p w14:paraId="7C56F93B" w14:textId="77777777" w:rsidR="00FC77E1" w:rsidRPr="007C771F" w:rsidRDefault="00FC77E1" w:rsidP="001D0140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</w:tr>
    </w:tbl>
    <w:p w14:paraId="536EBAB3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E1"/>
    <w:rsid w:val="002A5090"/>
    <w:rsid w:val="003F36CB"/>
    <w:rsid w:val="00772EA9"/>
    <w:rsid w:val="008C374B"/>
    <w:rsid w:val="00954821"/>
    <w:rsid w:val="00AF416B"/>
    <w:rsid w:val="00E459B1"/>
    <w:rsid w:val="00E910FB"/>
    <w:rsid w:val="00FC77E1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9CF1F"/>
  <w15:chartTrackingRefBased/>
  <w15:docId w15:val="{A6F26068-01ED-49C2-A872-EBBA8182CBA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7E1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7E1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7E1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7E1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7E1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7E1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7E1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7E1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7E1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7E1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7E1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C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C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7E1"/>
    <w:pPr>
      <w:spacing w:before="8pt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C7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7E1"/>
    <w:pPr>
      <w:ind w:start="36pt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FC7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7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77E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s://www.abs.gov.au/statistics/economy/national-accounts/australian-system-national-accounts/latest-release" TargetMode="External"/><Relationship Id="rId13" Type="http://purl.oclc.org/ooxml/officeDocument/relationships/hyperlink" Target="https://www.abs.gov.au/articles/jobs-growth-over-past-25-years" TargetMode="External"/><Relationship Id="rId18" Type="http://purl.oclc.org/ooxml/officeDocument/relationships/image" Target="media/image2.png"/><Relationship Id="rId3" Type="http://purl.oclc.org/ooxml/officeDocument/relationships/webSettings" Target="webSettings.xml"/><Relationship Id="rId21" Type="http://purl.oclc.org/ooxml/officeDocument/relationships/fontTable" Target="fontTable.xml"/><Relationship Id="rId7" Type="http://purl.oclc.org/ooxml/officeDocument/relationships/hyperlink" Target="https://www.abs.gov.au/statistics/labour/employment-and-unemployment/labour-force-australia/latest-release" TargetMode="External"/><Relationship Id="rId12" Type="http://purl.oclc.org/ooxml/officeDocument/relationships/hyperlink" Target="https://www.abs.gov.au/statistics/people/population/life-expectancy/latest-release" TargetMode="External"/><Relationship Id="rId17" Type="http://purl.oclc.org/ooxml/officeDocument/relationships/hyperlink" Target="https://www.rba.gov.au/publications/rdp/2021/pdf/rdp2021-09.pdf" TargetMode="External"/><Relationship Id="rId2" Type="http://purl.oclc.org/ooxml/officeDocument/relationships/settings" Target="settings.xml"/><Relationship Id="rId16" Type="http://purl.oclc.org/ooxml/officeDocument/relationships/image" Target="media/image1.png"/><Relationship Id="rId20" Type="http://purl.oclc.org/ooxml/officeDocument/relationships/image" Target="media/image4.png"/><Relationship Id="rId1" Type="http://purl.oclc.org/ooxml/officeDocument/relationships/styles" Target="styles.xml"/><Relationship Id="rId6" Type="http://purl.oclc.org/ooxml/officeDocument/relationships/hyperlink" Target="https://www.abs.gov.au/statistics/labour/employment-and-unemployent/labour-force-australia/latest-release" TargetMode="External"/><Relationship Id="rId11" Type="http://purl.oclc.org/ooxml/officeDocument/relationships/hyperlink" Target="https://www.abs.gov.au/statistics/people/population/population-projections-australia/2022-base-2071" TargetMode="External"/><Relationship Id="rId5" Type="http://purl.oclc.org/ooxml/officeDocument/relationships/hyperlink" Target="https://www.abs.gov.au/statistics/labour/employment-and-unemployment/labour-force-australia/latest-release" TargetMode="External"/><Relationship Id="rId15" Type="http://purl.oclc.org/ooxml/officeDocument/relationships/hyperlink" Target="https://www.abs.gov.au/statistics/economy/national-accounts/australian-national-accounts-national-income-expenditure-and-product/latest-release" TargetMode="External"/><Relationship Id="rId10" Type="http://purl.oclc.org/ooxml/officeDocument/relationships/hyperlink" Target="https://www.abs.gov.au/statistics/people/population" TargetMode="External"/><Relationship Id="rId19" Type="http://purl.oclc.org/ooxml/officeDocument/relationships/image" Target="media/image3.png"/><Relationship Id="rId4" Type="http://purl.oclc.org/ooxml/officeDocument/relationships/hyperlink" Target="https://www.abs.gov.au/statistics/labour/employment-and-unemployment/labour-force-australia/latest-release" TargetMode="External"/><Relationship Id="rId9" Type="http://purl.oclc.org/ooxml/officeDocument/relationships/hyperlink" Target="https://www.abs.gov.au/statistics/economy/national-accounts/australian-system-national-accounts/latest-release" TargetMode="External"/><Relationship Id="rId14" Type="http://purl.oclc.org/ooxml/officeDocument/relationships/hyperlink" Target="https://data.oecd.org/lprdty/multifactor-productivity.htm" TargetMode="External"/><Relationship Id="rId22" Type="http://purl.oclc.org/ooxml/officeDocument/relationships/theme" Target="theme/theme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1108</Words>
  <Characters>6318</Characters>
  <Application>Microsoft Office Word</Application>
  <DocSecurity>0</DocSecurity>
  <Lines>52</Lines>
  <Paragraphs>14</Paragraphs>
  <ScaleCrop>false</ScaleCrop>
  <Company>Springer Nature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2024-08-20T06:27:00Z</dcterms:created>
  <dcterms:modified xsi:type="dcterms:W3CDTF">2024-08-20T06:27:00Z</dcterms:modified>
</cp:coreProperties>
</file>