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 w:hAnsi="Arial" w:eastAsia="宋体" w:cs="Arial"/>
          <w:b/>
          <w:bCs/>
          <w:sz w:val="21"/>
          <w:szCs w:val="21"/>
          <w:lang w:bidi="ar"/>
        </w:rPr>
      </w:pP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Supplement Figure 1.  Comparisons of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outcomes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between CP with different ELTS risk cohorts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and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AP subgroups in subjects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b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y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ICC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criteria receiving initial imatinib therapy.</w:t>
      </w:r>
    </w:p>
    <w:p>
      <w:pPr>
        <w:jc w:val="center"/>
        <w:rPr>
          <w:rFonts w:ascii="Arial" w:hAnsi="Arial" w:eastAsia="宋体" w:cs="Arial"/>
          <w:b/>
          <w:bCs/>
          <w:sz w:val="21"/>
          <w:szCs w:val="21"/>
          <w:lang w:bidi="ar"/>
        </w:rPr>
      </w:pPr>
      <w:r>
        <w:t xml:space="preserve"> </w:t>
      </w:r>
      <w:r>
        <w:drawing>
          <wp:inline distT="0" distB="0" distL="0" distR="0">
            <wp:extent cx="7869555" cy="4798695"/>
            <wp:effectExtent l="0" t="0" r="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69600" cy="47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br w:type="page"/>
      </w:r>
    </w:p>
    <w:p>
      <w:pPr>
        <w:rPr>
          <w:rFonts w:ascii="Arial" w:hAnsi="Arial" w:eastAsia="宋体" w:cs="Arial"/>
          <w:b/>
          <w:bCs/>
          <w:sz w:val="21"/>
          <w:szCs w:val="21"/>
          <w:lang w:bidi="ar"/>
        </w:rPr>
      </w:pP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Supplement Figure 2.  Comparisons of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outcomes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between CP with different ELTS risk cohorts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and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AP subgroups in subjects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b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y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ICC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criteria receiving initial 2G-TKI therapy.</w:t>
      </w:r>
    </w:p>
    <w:p>
      <w:pPr>
        <w:jc w:val="center"/>
        <w:rPr>
          <w:rFonts w:ascii="Arial" w:hAnsi="Arial" w:eastAsia="宋体" w:cs="Arial"/>
          <w:b/>
          <w:bCs/>
          <w:sz w:val="21"/>
          <w:szCs w:val="21"/>
          <w:lang w:bidi="ar"/>
        </w:rPr>
      </w:pPr>
      <w:r>
        <w:rPr>
          <w:rFonts w:ascii="Arial" w:hAnsi="Arial" w:eastAsia="宋体" w:cs="Arial"/>
          <w:b/>
          <w:bCs/>
          <w:sz w:val="21"/>
          <w:szCs w:val="21"/>
          <w:lang w:bidi="ar"/>
        </w:rPr>
        <w:drawing>
          <wp:inline distT="0" distB="0" distL="0" distR="0">
            <wp:extent cx="7757795" cy="4798695"/>
            <wp:effectExtent l="0" t="0" r="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58000" cy="47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Arial" w:hAnsi="Arial" w:eastAsia="宋体" w:cs="Arial"/>
          <w:b/>
          <w:bCs/>
          <w:sz w:val="21"/>
          <w:szCs w:val="21"/>
          <w:lang w:bidi="ar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</w:p>
    <w:p>
      <w:pPr>
        <w:rPr>
          <w:rFonts w:ascii="Arial" w:hAnsi="Arial" w:eastAsia="宋体" w:cs="Arial"/>
          <w:b/>
          <w:bCs/>
          <w:sz w:val="21"/>
          <w:szCs w:val="21"/>
          <w:lang w:bidi="ar"/>
        </w:rPr>
      </w:pPr>
      <w:bookmarkStart w:id="0" w:name="_Hlk163761139"/>
      <w:r>
        <w:rPr>
          <w:rFonts w:ascii="Arial" w:hAnsi="Arial" w:eastAsia="宋体" w:cs="Arial"/>
          <w:b/>
          <w:bCs/>
          <w:sz w:val="21"/>
          <w:szCs w:val="21"/>
          <w:lang w:bidi="ar"/>
        </w:rPr>
        <w:t>Supplement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 xml:space="preserve"> Figure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</w:t>
      </w:r>
      <w:bookmarkEnd w:id="0"/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3.  Study flow chart in subjects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b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y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ICC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criteria.</w:t>
      </w:r>
    </w:p>
    <w:p>
      <w:pPr>
        <w:rPr>
          <w:rFonts w:ascii="Arial" w:hAnsi="Arial" w:eastAsia="宋体" w:cs="Arial"/>
          <w:b/>
          <w:bCs/>
          <w:sz w:val="21"/>
          <w:szCs w:val="21"/>
          <w:lang w:bidi="ar"/>
        </w:rPr>
      </w:pPr>
      <w:r>
        <w:rPr>
          <w:rFonts w:ascii="Arial" w:hAnsi="Arial" w:eastAsia="宋体" w:cs="Arial"/>
          <w:b/>
          <w:bCs/>
          <w:sz w:val="21"/>
          <w:szCs w:val="21"/>
          <w:lang w:bidi="ar"/>
        </w:rPr>
        <w:drawing>
          <wp:inline distT="0" distB="0" distL="0" distR="0">
            <wp:extent cx="8863330" cy="358457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Arial" w:hAnsi="Arial" w:eastAsia="宋体" w:cs="Arial"/>
          <w:b/>
          <w:bCs/>
          <w:sz w:val="21"/>
          <w:szCs w:val="21"/>
          <w:lang w:bidi="ar"/>
        </w:rPr>
      </w:pPr>
      <w:r>
        <w:rPr>
          <w:rFonts w:ascii="Arial" w:hAnsi="Arial" w:eastAsia="宋体" w:cs="Arial"/>
          <w:b/>
          <w:bCs/>
          <w:sz w:val="21"/>
          <w:szCs w:val="21"/>
          <w:lang w:bidi="ar"/>
        </w:rPr>
        <w:br w:type="page"/>
      </w:r>
    </w:p>
    <w:p>
      <w:pPr>
        <w:rPr>
          <w:rFonts w:ascii="Arial" w:hAnsi="Arial" w:eastAsia="宋体" w:cs="Arial"/>
          <w:b/>
          <w:bCs/>
          <w:sz w:val="21"/>
          <w:szCs w:val="21"/>
          <w:lang w:bidi="ar"/>
        </w:rPr>
      </w:pPr>
      <w:r>
        <w:rPr>
          <w:rFonts w:ascii="Arial" w:hAnsi="Arial" w:eastAsia="宋体" w:cs="Arial"/>
          <w:b/>
          <w:bCs/>
          <w:sz w:val="21"/>
          <w:szCs w:val="21"/>
          <w:lang w:bidi="ar"/>
        </w:rPr>
        <w:t>Supplement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 xml:space="preserve"> F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igure 4.  Comparisons of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outcomes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between CP with different ELTS risk cohorts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and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AP subgroups in subjects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b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y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ICC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criteria.</w:t>
      </w:r>
    </w:p>
    <w:p>
      <w:pPr>
        <w:jc w:val="center"/>
        <w:rPr>
          <w:rFonts w:ascii="Arial" w:hAnsi="Arial" w:eastAsia="宋体" w:cs="Arial"/>
          <w:b/>
          <w:bCs/>
          <w:sz w:val="21"/>
          <w:szCs w:val="21"/>
          <w:lang w:bidi="ar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" w:linePitch="312" w:charSpace="0"/>
        </w:sectPr>
      </w:pPr>
      <w:r>
        <w:t xml:space="preserve"> </w:t>
      </w:r>
      <w:r>
        <w:drawing>
          <wp:inline distT="0" distB="0" distL="0" distR="0">
            <wp:extent cx="7901940" cy="4798695"/>
            <wp:effectExtent l="0" t="0" r="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02000" cy="47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</w:t>
      </w:r>
    </w:p>
    <w:p>
      <w:pPr>
        <w:rPr>
          <w:rFonts w:ascii="Arial" w:hAnsi="Arial" w:eastAsia="宋体" w:cs="Arial"/>
          <w:b/>
          <w:bCs/>
          <w:sz w:val="21"/>
          <w:szCs w:val="21"/>
          <w:lang w:bidi="ar"/>
        </w:rPr>
      </w:pP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Supplement Figure 5.  Comparisons of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outcomes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between CP with different ELTS risk cohorts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and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AP subgroups in subjects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b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y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ICC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criteria receiving initial imatinib therapy.</w:t>
      </w:r>
    </w:p>
    <w:p>
      <w:pPr>
        <w:jc w:val="center"/>
        <w:rPr>
          <w:rFonts w:ascii="Arial" w:hAnsi="Arial" w:eastAsia="宋体" w:cs="Arial"/>
          <w:b/>
          <w:bCs/>
          <w:sz w:val="21"/>
          <w:szCs w:val="21"/>
          <w:lang w:bidi="ar"/>
        </w:rPr>
      </w:pPr>
      <w:r>
        <w:t xml:space="preserve"> </w:t>
      </w:r>
      <w:r>
        <w:drawing>
          <wp:inline distT="0" distB="0" distL="0" distR="0">
            <wp:extent cx="8049260" cy="478409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49600" cy="47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br w:type="page"/>
      </w:r>
    </w:p>
    <w:p>
      <w:pPr>
        <w:rPr>
          <w:rFonts w:ascii="Arial" w:hAnsi="Arial" w:eastAsia="宋体" w:cs="Arial"/>
          <w:b/>
          <w:bCs/>
          <w:sz w:val="21"/>
          <w:szCs w:val="21"/>
          <w:lang w:bidi="ar"/>
        </w:rPr>
      </w:pPr>
      <w:bookmarkStart w:id="1" w:name="_Hlk163770549"/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Supplement </w:t>
      </w:r>
      <w:bookmarkEnd w:id="1"/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Figure 6.  Comparisons of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outcomes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between CP with different ELTS risk cohorts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and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AP subgroups in subjects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b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y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ICC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criteria receiving initial 2G-TKI therapy.</w:t>
      </w:r>
    </w:p>
    <w:p>
      <w:pPr>
        <w:jc w:val="center"/>
        <w:rPr>
          <w:rFonts w:ascii="Arial" w:hAnsi="Arial" w:eastAsia="宋体" w:cs="Arial"/>
          <w:b/>
          <w:bCs/>
          <w:sz w:val="21"/>
          <w:szCs w:val="21"/>
          <w:lang w:bidi="ar"/>
        </w:rPr>
      </w:pP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drawing>
          <wp:inline distT="0" distB="0" distL="0" distR="0">
            <wp:extent cx="7678420" cy="4798695"/>
            <wp:effectExtent l="0" t="0" r="0" b="19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78800" cy="47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br w:type="page"/>
      </w:r>
    </w:p>
    <w:p>
      <w:pPr>
        <w:rPr>
          <w:rFonts w:ascii="Arial" w:hAnsi="Arial" w:eastAsia="宋体" w:cs="Arial"/>
          <w:b/>
          <w:bCs/>
          <w:sz w:val="21"/>
          <w:szCs w:val="21"/>
          <w:lang w:bidi="ar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" w:linePitch="312" w:charSpace="0"/>
        </w:sectPr>
      </w:pPr>
    </w:p>
    <w:p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Supplement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F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igure 7.  Comparisons of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outcomes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between AP subjects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divided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by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ELTS score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b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y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ICC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criteria.</w:t>
      </w:r>
      <w:r>
        <w:t xml:space="preserve"> </w:t>
      </w:r>
    </w:p>
    <w:p>
      <w:pPr>
        <w:jc w:val="center"/>
        <w:rPr>
          <w:rFonts w:ascii="Arial" w:hAnsi="Arial" w:eastAsia="宋体" w:cs="Arial"/>
          <w:b/>
          <w:bCs/>
          <w:sz w:val="21"/>
          <w:szCs w:val="21"/>
          <w:lang w:bidi="ar"/>
        </w:rPr>
      </w:pPr>
      <w:r>
        <w:rPr>
          <w:rFonts w:ascii="Arial" w:hAnsi="Arial" w:eastAsia="宋体" w:cs="Arial"/>
          <w:b/>
          <w:bCs/>
          <w:sz w:val="21"/>
          <w:szCs w:val="21"/>
          <w:lang w:bidi="ar"/>
        </w:rPr>
        <w:drawing>
          <wp:inline distT="0" distB="0" distL="0" distR="0">
            <wp:extent cx="8553450" cy="474472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0"/>
                    <a:srcRect b="38065"/>
                    <a:stretch>
                      <a:fillRect/>
                    </a:stretch>
                  </pic:blipFill>
                  <pic:spPr>
                    <a:xfrm>
                      <a:off x="0" y="0"/>
                      <a:ext cx="8553600" cy="4744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br w:type="page"/>
      </w:r>
    </w:p>
    <w:p>
      <w:r>
        <w:rPr>
          <w:rFonts w:ascii="Arial" w:hAnsi="Arial" w:eastAsia="宋体" w:cs="Arial"/>
          <w:b/>
          <w:bCs/>
          <w:sz w:val="21"/>
          <w:szCs w:val="21"/>
          <w:lang w:bidi="ar"/>
        </w:rPr>
        <w:t>Supplement Figure 8.  The monitoring milestones of BCR-ABL1 transcript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 xml:space="preserve"> 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levels by the IS at 3, 6, and 12 months in subjects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b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y ICC criteria (A. comparison between CP and AP; B. comparison between AP subgroups; C. comparison between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revised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-CP [CP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subjects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and AP subjects with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increased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basophil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s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>] and re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vised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-AP [AP subjects with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increased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blasts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>,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 xml:space="preserve"> 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ACA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or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meeting ≥ 2 criteria]).</w:t>
      </w:r>
      <w:r>
        <w:t xml:space="preserve"> </w:t>
      </w:r>
    </w:p>
    <w:p>
      <w:pPr>
        <w:jc w:val="center"/>
        <w:rPr>
          <w:rFonts w:ascii="Arial" w:hAnsi="Arial" w:eastAsia="宋体" w:cs="Arial"/>
          <w:b/>
          <w:bCs/>
          <w:sz w:val="21"/>
          <w:szCs w:val="21"/>
          <w:lang w:bidi="ar"/>
        </w:rPr>
      </w:pPr>
      <w:r>
        <w:rPr>
          <w:rFonts w:ascii="Arial" w:hAnsi="Arial" w:eastAsia="宋体" w:cs="Arial"/>
          <w:b/>
          <w:bCs/>
          <w:sz w:val="21"/>
          <w:szCs w:val="21"/>
          <w:lang w:bidi="ar"/>
        </w:rPr>
        <w:drawing>
          <wp:inline distT="0" distB="0" distL="0" distR="0">
            <wp:extent cx="2545080" cy="4525010"/>
            <wp:effectExtent l="0" t="0" r="7620" b="889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45200" cy="452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br w:type="page"/>
      </w:r>
    </w:p>
    <w:p>
      <w:pPr>
        <w:rPr>
          <w:rFonts w:ascii="Arial" w:hAnsi="Arial" w:eastAsia="宋体" w:cs="Arial"/>
          <w:b/>
          <w:bCs/>
          <w:sz w:val="21"/>
          <w:szCs w:val="21"/>
          <w:lang w:bidi="ar"/>
        </w:rPr>
      </w:pP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Supplement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F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igure 9.  Comparisons of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outcomes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between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C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P and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A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P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at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3, 6, 12 months in subjects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b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y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ICC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criteria.</w:t>
      </w:r>
    </w:p>
    <w:p>
      <w:pPr>
        <w:jc w:val="center"/>
        <w:rPr>
          <w:rFonts w:ascii="Arial" w:hAnsi="Arial" w:eastAsia="宋体" w:cs="Arial"/>
          <w:b/>
          <w:bCs/>
          <w:sz w:val="21"/>
          <w:szCs w:val="21"/>
          <w:lang w:bidi="ar"/>
        </w:rPr>
      </w:pPr>
      <w:r>
        <w:rPr>
          <w:rFonts w:ascii="Arial" w:hAnsi="Arial" w:eastAsia="宋体" w:cs="Arial"/>
          <w:b/>
          <w:bCs/>
          <w:sz w:val="21"/>
          <w:szCs w:val="21"/>
          <w:lang w:bidi="ar"/>
        </w:rPr>
        <w:drawing>
          <wp:inline distT="0" distB="0" distL="0" distR="0">
            <wp:extent cx="4265930" cy="4888230"/>
            <wp:effectExtent l="0" t="0" r="1270" b="762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66000" cy="488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Arial" w:hAnsi="Arial" w:eastAsia="宋体" w:cs="Arial"/>
          <w:b/>
          <w:bCs/>
          <w:sz w:val="21"/>
          <w:szCs w:val="21"/>
          <w:lang w:bidi="ar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ascii="Arial" w:hAnsi="Arial" w:eastAsia="宋体" w:cs="Arial"/>
          <w:b/>
          <w:bCs/>
          <w:sz w:val="21"/>
          <w:szCs w:val="21"/>
          <w:lang w:bidi="ar"/>
        </w:rPr>
      </w:pP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Supplement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Table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1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.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 Multi-variable analyses of outcomes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b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>y ELN criteria for subjects receiving 1st imatinib therapy.</w:t>
      </w:r>
    </w:p>
    <w:p>
      <w:pPr>
        <w:rPr>
          <w:rFonts w:ascii="Arial" w:hAnsi="Arial" w:eastAsia="宋体" w:cs="Arial"/>
          <w:b/>
          <w:bCs/>
          <w:sz w:val="21"/>
          <w:szCs w:val="21"/>
          <w:lang w:bidi="ar"/>
        </w:rPr>
      </w:pPr>
    </w:p>
    <w:tbl>
      <w:tblPr>
        <w:tblStyle w:val="8"/>
        <w:tblW w:w="83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1"/>
        <w:gridCol w:w="1399"/>
        <w:gridCol w:w="1399"/>
        <w:gridCol w:w="1399"/>
        <w:gridCol w:w="13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  <w:vMerge w:val="restart"/>
            <w:vAlign w:val="center"/>
          </w:tcPr>
          <w:p>
            <w:pPr>
              <w:jc w:val="center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</w:p>
        </w:tc>
        <w:tc>
          <w:tcPr>
            <w:tcW w:w="2798" w:type="dxa"/>
            <w:gridSpan w:val="2"/>
          </w:tcPr>
          <w:p>
            <w:pPr>
              <w:jc w:val="center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T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FS</w:t>
            </w:r>
          </w:p>
        </w:tc>
        <w:tc>
          <w:tcPr>
            <w:tcW w:w="2798" w:type="dxa"/>
            <w:gridSpan w:val="2"/>
          </w:tcPr>
          <w:p>
            <w:pPr>
              <w:jc w:val="center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S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urvival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  <w:vMerge w:val="continue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i/>
                <w:iCs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H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R (95% CI)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i/>
                <w:iCs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i/>
                <w:iCs/>
                <w:sz w:val="16"/>
                <w:szCs w:val="16"/>
                <w:lang w:bidi="ar"/>
              </w:rPr>
              <w:t>P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-value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i/>
                <w:iCs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H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R (95% CI)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i/>
                <w:iCs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i/>
                <w:iCs/>
                <w:sz w:val="16"/>
                <w:szCs w:val="16"/>
                <w:lang w:bidi="ar"/>
              </w:rPr>
              <w:t>P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-value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Disease 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phase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C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P Risk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240" w:firstLineChars="15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 xml:space="preserve"> Low </w:t>
            </w:r>
            <w:r>
              <w:rPr>
                <w:rFonts w:ascii="Arial" w:hAnsi="Arial" w:eastAsia="宋体" w:cs="Arial"/>
                <w:b/>
                <w:bCs/>
                <w:sz w:val="16"/>
                <w:szCs w:val="16"/>
                <w:lang w:bidi="ar"/>
              </w:rPr>
              <w:t>(ref)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Intermediate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2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.5 (1.5, 4.3)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&lt;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 0.001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2.0 (0.9, 4.2)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High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4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.3 (2.2, 8.3)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&lt;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 0.001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3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.5 (1.4, 8.4)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A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P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240" w:firstLineChars="15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 Basophils &gt; 20%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1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.9 (1.0, 3.9)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  <w:t>.05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2.4 (1.0, 5.8)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  <w:t>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Blasts &gt; 15% and &lt; 30%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6.0 (2.5, 14.7)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&lt;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 0.001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7.8 (2.5, 24.1)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&lt;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 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Platelets &lt; 100 × 10E+9/L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4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.7 (1.8, 12.3)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0.002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6.2 (1.8, 21.6)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Disease 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phase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C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P Risk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240" w:firstLineChars="15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 xml:space="preserve"> Low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.4 (0.2, 0.7)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&lt;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 0.001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.5 (0.2, 1.1)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 xml:space="preserve">Intermediate </w:t>
            </w:r>
            <w:r>
              <w:rPr>
                <w:rFonts w:ascii="Arial" w:hAnsi="Arial" w:eastAsia="宋体" w:cs="Arial"/>
                <w:b/>
                <w:bCs/>
                <w:sz w:val="16"/>
                <w:szCs w:val="16"/>
                <w:lang w:bidi="ar"/>
              </w:rPr>
              <w:t>(ref)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High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1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.7 (0.9, 3.2)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.10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1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.8 (0.7, 4.2)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A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P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240" w:firstLineChars="15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 Basophils &gt; 20%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.8 (0.4, 1.6)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.49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1.2 (0.5, 2.9)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Blasts &gt; 15% and &lt; 30%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2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.4 (1.0, 5.8)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.05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3.9 (1.3, 12.1)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Platelets &lt; 100 × 10E+9/L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1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.9 (0.7, 5.0)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.20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3.1 (0.9, 10.9)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  <w:t>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Disease 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phase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C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P Risk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240" w:firstLineChars="15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 xml:space="preserve"> Low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.2 (0.1, 0.5)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&lt;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 0.001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.3 (0.1, 0.7)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Intermediate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.6 (0.3, 1.1)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.10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.6 (0.2, 1.4)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 xml:space="preserve">High </w:t>
            </w:r>
            <w:r>
              <w:rPr>
                <w:rFonts w:ascii="Arial" w:hAnsi="Arial" w:eastAsia="宋体" w:cs="Arial"/>
                <w:b/>
                <w:bCs/>
                <w:sz w:val="16"/>
                <w:szCs w:val="16"/>
                <w:lang w:bidi="ar"/>
              </w:rPr>
              <w:t>(ref)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A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P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240" w:firstLineChars="15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 Basophils &gt; 20%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.5 (0.2, 1.0)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.05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.7 (0.3, 1.8)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.46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Blasts &gt; 15% and &lt; 30%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1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.4 (0.5, 3.7)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.48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2.2 (0.7, 7.5)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Platelets &lt; 100 × 10E+9/L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1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.1 (0.4, 3.1)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.85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1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.8 (0.5, 6.7)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.40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Age (10 years)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1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.4 (1.1, 1.6)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Male (ref. female)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WBC (</w:t>
            </w:r>
            <w:r>
              <w:rPr>
                <w:rFonts w:ascii="Arial" w:hAnsi="Arial" w:cs="Arial"/>
                <w:sz w:val="16"/>
                <w:szCs w:val="16"/>
              </w:rPr>
              <w:t>× 10E + 11/L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.8 (0.7, 1.0)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  <w:t>.02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Haemoglobin (g/dL)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.8 (0.8, 0.9)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Cs/>
                <w:color w:val="auto"/>
                <w:sz w:val="16"/>
                <w:szCs w:val="16"/>
                <w:lang w:bidi="ar"/>
              </w:rPr>
              <w:t>&lt;</w:t>
            </w:r>
            <w:r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  <w:t xml:space="preserve"> 0.001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.8 (0.7, 0.9)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Cs/>
                <w:color w:val="auto"/>
                <w:sz w:val="16"/>
                <w:szCs w:val="16"/>
                <w:lang w:bidi="ar"/>
              </w:rPr>
              <w:t>&lt;</w:t>
            </w:r>
            <w:r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  <w:t xml:space="preserve"> 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ACA 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(ref. none)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C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o-morbidity (ref. none)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</w:tbl>
    <w:p>
      <w:pPr>
        <w:rPr>
          <w:rFonts w:ascii="Arial" w:hAnsi="Arial" w:eastAsia="宋体" w:cs="Arial"/>
          <w:b/>
          <w:bCs/>
          <w:sz w:val="21"/>
          <w:szCs w:val="21"/>
          <w:lang w:bidi="ar"/>
        </w:rPr>
      </w:pPr>
      <w:r>
        <w:rPr>
          <w:rFonts w:ascii="Arial" w:hAnsi="Arial" w:cs="Arial" w:eastAsiaTheme="minorEastAsia"/>
          <w:sz w:val="18"/>
          <w:szCs w:val="18"/>
        </w:rPr>
        <w:t>Abbreviations: ELN, European LeukemiaNet; TFS, transformation-free survival; HR, hazard ratio; CP, chronic phase; AP, accelerated phase; WBC, white blood cell; ACA, additional cytogenetic abnormality.</w:t>
      </w:r>
    </w:p>
    <w:p>
      <w:pPr>
        <w:rPr>
          <w:rFonts w:ascii="Arial" w:hAnsi="Arial" w:eastAsia="宋体" w:cs="Arial"/>
          <w:b/>
          <w:bCs/>
          <w:sz w:val="21"/>
          <w:szCs w:val="21"/>
          <w:lang w:bidi="ar"/>
        </w:rPr>
      </w:pPr>
      <w:r>
        <w:rPr>
          <w:rFonts w:ascii="Arial" w:hAnsi="Arial" w:eastAsia="宋体" w:cs="Arial"/>
          <w:b/>
          <w:bCs/>
          <w:sz w:val="21"/>
          <w:szCs w:val="21"/>
          <w:lang w:bidi="ar"/>
        </w:rPr>
        <w:br w:type="page"/>
      </w:r>
    </w:p>
    <w:p>
      <w:pPr>
        <w:rPr>
          <w:rFonts w:ascii="Arial" w:hAnsi="Arial" w:eastAsia="宋体" w:cs="Arial"/>
          <w:b/>
          <w:bCs/>
          <w:sz w:val="21"/>
          <w:szCs w:val="21"/>
          <w:lang w:bidi="ar"/>
        </w:rPr>
      </w:pP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Supplement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Table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2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.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 Multi-variable analyses of outcomes in subjects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b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>y ELN criteria receiving 1</w:t>
      </w:r>
      <w:r>
        <w:rPr>
          <w:rFonts w:ascii="Arial" w:hAnsi="Arial" w:eastAsia="宋体" w:cs="Arial"/>
          <w:b/>
          <w:bCs/>
          <w:sz w:val="21"/>
          <w:szCs w:val="21"/>
          <w:vertAlign w:val="superscript"/>
          <w:lang w:bidi="ar"/>
        </w:rPr>
        <w:t>st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2G-TKI therapy.</w:t>
      </w:r>
    </w:p>
    <w:p>
      <w:pPr>
        <w:rPr>
          <w:rFonts w:ascii="Arial" w:hAnsi="Arial" w:eastAsia="宋体" w:cs="Arial"/>
          <w:b/>
          <w:bCs/>
          <w:sz w:val="21"/>
          <w:szCs w:val="21"/>
          <w:lang w:bidi="ar"/>
        </w:rPr>
      </w:pPr>
    </w:p>
    <w:tbl>
      <w:tblPr>
        <w:tblStyle w:val="8"/>
        <w:tblW w:w="84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1"/>
        <w:gridCol w:w="1423"/>
        <w:gridCol w:w="1423"/>
        <w:gridCol w:w="1423"/>
        <w:gridCol w:w="14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  <w:vMerge w:val="restart"/>
            <w:vAlign w:val="center"/>
          </w:tcPr>
          <w:p>
            <w:pPr>
              <w:jc w:val="center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</w:p>
        </w:tc>
        <w:tc>
          <w:tcPr>
            <w:tcW w:w="2846" w:type="dxa"/>
            <w:gridSpan w:val="2"/>
          </w:tcPr>
          <w:p>
            <w:pPr>
              <w:jc w:val="center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T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FS</w:t>
            </w:r>
          </w:p>
        </w:tc>
        <w:tc>
          <w:tcPr>
            <w:tcW w:w="2846" w:type="dxa"/>
            <w:gridSpan w:val="2"/>
          </w:tcPr>
          <w:p>
            <w:pPr>
              <w:jc w:val="center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S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urvival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  <w:vMerge w:val="continue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i/>
                <w:iCs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H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R (95% CI)</w:t>
            </w: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i/>
                <w:iCs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i/>
                <w:iCs/>
                <w:sz w:val="16"/>
                <w:szCs w:val="16"/>
                <w:lang w:bidi="ar"/>
              </w:rPr>
              <w:t>P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-value</w:t>
            </w: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i/>
                <w:iCs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H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R (95% CI)</w:t>
            </w: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i/>
                <w:iCs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i/>
                <w:iCs/>
                <w:sz w:val="16"/>
                <w:szCs w:val="16"/>
                <w:lang w:bidi="ar"/>
              </w:rPr>
              <w:t>P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-value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Disease 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phase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CP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 Risk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 xml:space="preserve">Low </w:t>
            </w:r>
            <w:r>
              <w:rPr>
                <w:rFonts w:ascii="Arial" w:hAnsi="Arial" w:eastAsia="宋体" w:cs="Arial"/>
                <w:b/>
                <w:bCs/>
                <w:sz w:val="16"/>
                <w:szCs w:val="16"/>
                <w:lang w:bidi="ar"/>
              </w:rPr>
              <w:t>(ref)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Intermediate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.9 (0.3, 2.7)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.89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.7 (0.1, 3.6)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High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2.7 (1.1, 7.2)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0.04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2.6 (0.8, 8.9)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AP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240" w:firstLineChars="15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 xml:space="preserve"> Basophils &gt; 20%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1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.2 (0.4, 3.5)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.73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.9 (0.2, 3.9)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.90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Blasts &gt; 15% and &lt; 30%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9.3 (3.0, 29.2)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&lt;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 0.001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 (0.0, -)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1.00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Platelets &lt; 100 × 10E+9/L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12.5 (3.8, 41.1)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&lt;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 0.001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23.2 (5.2, 102.7)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&lt;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 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Disease 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phase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CP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 Risk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240" w:firstLineChars="15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 xml:space="preserve"> Low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1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.1 (0.4, 3.2)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.89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1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.4 (0.3, 7.1)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 xml:space="preserve">Intermediate </w:t>
            </w:r>
            <w:r>
              <w:rPr>
                <w:rFonts w:ascii="Arial" w:hAnsi="Arial" w:eastAsia="宋体" w:cs="Arial"/>
                <w:b/>
                <w:bCs/>
                <w:sz w:val="16"/>
                <w:szCs w:val="16"/>
                <w:lang w:bidi="ar"/>
              </w:rPr>
              <w:t>(ref)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High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3.0 (1.0, 8.6)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.05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3.7 (0.7, 19.7)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AP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240" w:firstLineChars="15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 xml:space="preserve"> Basophils &gt; 20%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1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.3 (0.4, 4.6)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.68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1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.3 (0.2, 8.3)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Blasts &gt; 15% and &lt; 30%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10.0 (2.7, 37.5)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&lt;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 0.001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0.0 (0.0, -)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1.00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Platelets &lt; 100 × 10E+9/L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1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3.5 (3.8, 48.3)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&lt;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 0.001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32.8 (5.3, 203.5)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&lt;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 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Disease 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phase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CP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 Risk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240" w:firstLineChars="15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 xml:space="preserve"> Low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.4 (0.1, 0.9)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0.04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.4 (0.1, 1.3)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Intermediate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.3 (0.1, 1.0)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.05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.3 (0.1, 1.5)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 xml:space="preserve">High </w:t>
            </w:r>
            <w:r>
              <w:rPr>
                <w:rFonts w:ascii="Arial" w:hAnsi="Arial" w:eastAsia="宋体" w:cs="Arial"/>
                <w:b/>
                <w:bCs/>
                <w:sz w:val="16"/>
                <w:szCs w:val="16"/>
                <w:lang w:bidi="ar"/>
              </w:rPr>
              <w:t>(ref)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AP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240" w:firstLineChars="15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 xml:space="preserve"> Basophils &gt; 20%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.4 (0.1, 1.4)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.16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.4 (0.1, 1.5)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Blasts &gt; 15% and &lt; 30%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3.4 (1.0, 11.3)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  <w:t>.05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 (0.0, ∞)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1.00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Platelets &lt; 100 × 10E+9/L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4.6 (1.4, 15.3)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.01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9.0 (1.9, 41.5)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Age (10 years)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1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.3 (0.9, 1.9)</w:t>
            </w: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Male (ref. female)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2.2 (0.7, 7.1)</w:t>
            </w: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WBC (</w:t>
            </w:r>
            <w:r>
              <w:rPr>
                <w:rFonts w:ascii="Arial" w:hAnsi="Arial" w:cs="Arial"/>
                <w:sz w:val="16"/>
                <w:szCs w:val="16"/>
              </w:rPr>
              <w:t>× 10E + 11/L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1.2 (0.9, 1.5)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  <w:t>.24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Haemoglobin (g/dL)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ACA 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(ref. none)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3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.1 (1.1, 8.9)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  <w:t>.04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8.5 (2.2, 32.8)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  <w:t>.002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C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omorbidity (ref. none)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1.8 (0.6, 4.9)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  <w:t>.26</w:t>
            </w:r>
          </w:p>
        </w:tc>
      </w:tr>
    </w:tbl>
    <w:p>
      <w:pPr>
        <w:rPr>
          <w:rFonts w:ascii="Arial" w:hAnsi="Arial" w:eastAsia="宋体" w:cs="Arial"/>
          <w:b/>
          <w:bCs/>
          <w:sz w:val="16"/>
          <w:szCs w:val="16"/>
          <w:lang w:bidi="ar"/>
        </w:rPr>
      </w:pPr>
      <w:r>
        <w:rPr>
          <w:rFonts w:ascii="Arial" w:hAnsi="Arial" w:cs="Arial" w:eastAsiaTheme="minorEastAsia"/>
          <w:sz w:val="18"/>
          <w:szCs w:val="18"/>
        </w:rPr>
        <w:t>Abbreviations: ELN, European LeukemiaNet; 2G-TKI, 2</w:t>
      </w:r>
      <w:r>
        <w:rPr>
          <w:rFonts w:ascii="Arial" w:hAnsi="Arial" w:cs="Arial" w:eastAsiaTheme="minorEastAsia"/>
          <w:sz w:val="18"/>
          <w:szCs w:val="18"/>
          <w:vertAlign w:val="superscript"/>
        </w:rPr>
        <w:t>nd</w:t>
      </w:r>
      <w:r>
        <w:rPr>
          <w:rFonts w:ascii="Arial" w:hAnsi="Arial" w:cs="Arial" w:eastAsiaTheme="minorEastAsia"/>
          <w:sz w:val="18"/>
          <w:szCs w:val="18"/>
        </w:rPr>
        <w:t>-generation tyrosine kinase-inhibitor (TKI); TFS, transformation-free survival; HR, hazard ratio; CP, chronic phase; AP, accelerated phase; WBC, white blood cell; ACA, additional cytogenetic abnormality.</w:t>
      </w:r>
    </w:p>
    <w:p>
      <w:pPr>
        <w:rPr>
          <w:rFonts w:ascii="Arial" w:hAnsi="Arial" w:eastAsia="宋体" w:cs="Arial"/>
          <w:b/>
          <w:bCs/>
          <w:sz w:val="21"/>
          <w:szCs w:val="21"/>
          <w:lang w:bidi="ar"/>
        </w:rPr>
      </w:pPr>
      <w:r>
        <w:rPr>
          <w:rFonts w:ascii="Arial" w:hAnsi="Arial" w:eastAsia="宋体" w:cs="Arial"/>
          <w:b/>
          <w:bCs/>
          <w:sz w:val="21"/>
          <w:szCs w:val="21"/>
          <w:lang w:bidi="ar"/>
        </w:rPr>
        <w:br w:type="page"/>
      </w:r>
    </w:p>
    <w:p>
      <w:pPr>
        <w:rPr>
          <w:rFonts w:ascii="Arial" w:hAnsi="Arial" w:eastAsia="宋体" w:cs="Arial"/>
          <w:b/>
          <w:bCs/>
          <w:sz w:val="21"/>
          <w:szCs w:val="21"/>
          <w:lang w:bidi="ar"/>
        </w:rPr>
        <w:sectPr>
          <w:pgSz w:w="16840" w:h="15309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</w:p>
    <w:p>
      <w:pPr>
        <w:widowControl/>
        <w:spacing w:line="360" w:lineRule="auto"/>
        <w:jc w:val="center"/>
        <w:rPr>
          <w:rFonts w:ascii="Arial" w:hAnsi="Arial" w:eastAsia="宋体" w:cs="Arial"/>
          <w:b/>
          <w:bCs/>
          <w:sz w:val="21"/>
          <w:szCs w:val="21"/>
          <w:lang w:bidi="ar"/>
        </w:rPr>
      </w:pPr>
      <w:r>
        <w:rPr>
          <w:rFonts w:ascii="Arial" w:hAnsi="Arial" w:eastAsia="宋体" w:cs="Arial"/>
          <w:b/>
          <w:bCs/>
          <w:sz w:val="21"/>
          <w:szCs w:val="21"/>
          <w:lang w:bidi="ar"/>
        </w:rPr>
        <w:t>Supplement Table 3</w:t>
      </w:r>
      <w:r>
        <w:rPr>
          <w:rFonts w:hint="eastAsia" w:ascii="Arial" w:hAnsi="Arial" w:eastAsia="宋体" w:cs="Arial"/>
          <w:b/>
          <w:bCs/>
          <w:color w:val="auto"/>
          <w:sz w:val="21"/>
          <w:szCs w:val="21"/>
          <w:lang w:bidi="ar"/>
        </w:rPr>
        <w:t>.</w:t>
      </w:r>
      <w:r>
        <w:rPr>
          <w:rFonts w:ascii="Arial" w:hAnsi="Arial" w:eastAsia="宋体" w:cs="Arial"/>
          <w:b/>
          <w:bCs/>
          <w:color w:val="auto"/>
          <w:sz w:val="21"/>
          <w:szCs w:val="21"/>
          <w:lang w:bidi="ar"/>
        </w:rPr>
        <w:t xml:space="preserve">  Subject baseline co-variates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b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y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ICC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criteria.</w:t>
      </w:r>
    </w:p>
    <w:p>
      <w:pPr>
        <w:widowControl/>
        <w:spacing w:line="360" w:lineRule="auto"/>
        <w:jc w:val="center"/>
        <w:rPr>
          <w:rFonts w:ascii="Arial" w:hAnsi="Arial" w:eastAsia="宋体" w:cs="Arial"/>
          <w:b/>
          <w:bCs/>
          <w:color w:val="auto"/>
          <w:sz w:val="21"/>
          <w:szCs w:val="21"/>
          <w:lang w:bidi="ar"/>
        </w:rPr>
      </w:pPr>
    </w:p>
    <w:tbl>
      <w:tblPr>
        <w:tblStyle w:val="7"/>
        <w:tblW w:w="563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6"/>
        <w:gridCol w:w="1893"/>
        <w:gridCol w:w="1891"/>
        <w:gridCol w:w="13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8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both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</w:p>
        </w:tc>
        <w:tc>
          <w:tcPr>
            <w:tcW w:w="986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auto"/>
                <w:sz w:val="21"/>
                <w:szCs w:val="21"/>
                <w:lang w:bidi="ar"/>
              </w:rPr>
              <w:t>CP</w:t>
            </w:r>
            <w:r>
              <w:rPr>
                <w:rFonts w:hint="eastAsia" w:ascii="Arial" w:hAnsi="Arial" w:eastAsia="宋体" w:cs="Arial"/>
                <w:color w:val="auto"/>
                <w:sz w:val="21"/>
                <w:szCs w:val="21"/>
                <w:lang w:bidi="ar"/>
              </w:rPr>
              <w:t xml:space="preserve"> 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  <w:lang w:bidi="ar"/>
              </w:rPr>
              <w:t>(n = 1748)</w:t>
            </w:r>
          </w:p>
        </w:tc>
        <w:tc>
          <w:tcPr>
            <w:tcW w:w="985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i/>
                <w:iCs/>
                <w:color w:val="auto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AP</w:t>
            </w:r>
            <w:r>
              <w:rPr>
                <w:rFonts w:hint="eastAsia" w:ascii="Arial" w:hAnsi="Arial" w:eastAsia="宋体" w:cs="Arial"/>
                <w:color w:val="auto"/>
                <w:sz w:val="21"/>
                <w:szCs w:val="21"/>
              </w:rPr>
              <w:t xml:space="preserve"> 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(n = 305)</w:t>
            </w:r>
          </w:p>
        </w:tc>
        <w:tc>
          <w:tcPr>
            <w:tcW w:w="681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ascii="Arial" w:hAnsi="Arial" w:eastAsia="宋体" w:cs="Arial"/>
                <w:i/>
                <w:iCs/>
                <w:color w:val="auto"/>
                <w:sz w:val="21"/>
                <w:szCs w:val="21"/>
              </w:rPr>
              <w:t>P</w:t>
            </w:r>
            <w:r>
              <w:rPr>
                <w:rFonts w:hint="eastAsia" w:ascii="Arial" w:hAnsi="Arial" w:eastAsia="宋体" w:cs="Arial"/>
                <w:color w:val="auto"/>
                <w:sz w:val="21"/>
                <w:szCs w:val="21"/>
              </w:rPr>
              <w:t>-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8" w:type="pc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both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Age, years</w:t>
            </w:r>
            <w:r>
              <w:rPr>
                <w:rFonts w:hint="eastAsia" w:ascii="Arial" w:hAnsi="Arial" w:eastAsia="宋体" w:cs="Arial"/>
                <w:color w:val="auto"/>
                <w:sz w:val="21"/>
                <w:szCs w:val="21"/>
              </w:rPr>
              <w:t>,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 w:ascii="Arial" w:hAnsi="Arial" w:eastAsia="宋体" w:cs="Arial"/>
                <w:color w:val="auto"/>
                <w:sz w:val="21"/>
                <w:szCs w:val="21"/>
              </w:rPr>
              <w:t>m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edian</w:t>
            </w:r>
          </w:p>
          <w:p>
            <w:pPr>
              <w:spacing w:line="360" w:lineRule="auto"/>
              <w:jc w:val="both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(interquartile range, IQR</w:t>
            </w:r>
            <w:r>
              <w:rPr>
                <w:rFonts w:hint="eastAsia" w:ascii="Arial" w:hAnsi="Arial" w:eastAsia="宋体" w:cs="Arial"/>
                <w:color w:val="auto"/>
                <w:sz w:val="21"/>
                <w:szCs w:val="21"/>
              </w:rPr>
              <w:t>)</w:t>
            </w:r>
          </w:p>
        </w:tc>
        <w:tc>
          <w:tcPr>
            <w:tcW w:w="986" w:type="pc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color w:val="auto"/>
                <w:sz w:val="21"/>
                <w:szCs w:val="21"/>
              </w:rPr>
              <w:t>4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0 (29, 52)</w:t>
            </w:r>
          </w:p>
        </w:tc>
        <w:tc>
          <w:tcPr>
            <w:tcW w:w="985" w:type="pc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color w:val="auto"/>
                <w:sz w:val="21"/>
                <w:szCs w:val="21"/>
              </w:rPr>
              <w:t>4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2 (31, 55)</w:t>
            </w:r>
          </w:p>
        </w:tc>
        <w:tc>
          <w:tcPr>
            <w:tcW w:w="681" w:type="pct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0</w:t>
            </w:r>
            <w:r>
              <w:rPr>
                <w:rFonts w:hint="eastAsia" w:ascii="Arial" w:hAnsi="Arial" w:eastAsia="宋体" w:cs="Arial"/>
                <w:color w:val="auto"/>
                <w:sz w:val="21"/>
                <w:szCs w:val="21"/>
              </w:rPr>
              <w:t>.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both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Male</w:t>
            </w:r>
            <w:r>
              <w:rPr>
                <w:rFonts w:hint="eastAsia" w:ascii="Arial" w:hAnsi="Arial" w:eastAsia="宋体" w:cs="Arial"/>
                <w:color w:val="auto"/>
                <w:sz w:val="21"/>
                <w:szCs w:val="21"/>
              </w:rPr>
              <w:t>,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 w:ascii="Arial" w:hAnsi="Arial" w:eastAsia="宋体" w:cs="Arial"/>
                <w:color w:val="auto"/>
                <w:sz w:val="21"/>
                <w:szCs w:val="21"/>
              </w:rPr>
              <w:t>n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 xml:space="preserve"> (%)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color w:val="auto"/>
                <w:sz w:val="21"/>
                <w:szCs w:val="21"/>
              </w:rPr>
              <w:t>1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070 (61)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color w:val="auto"/>
                <w:sz w:val="21"/>
                <w:szCs w:val="21"/>
              </w:rPr>
              <w:t>1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82 (60)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0</w:t>
            </w:r>
            <w:r>
              <w:rPr>
                <w:rFonts w:hint="eastAsia" w:ascii="Arial" w:hAnsi="Arial" w:eastAsia="宋体" w:cs="Arial"/>
                <w:color w:val="auto"/>
                <w:sz w:val="21"/>
                <w:szCs w:val="21"/>
              </w:rPr>
              <w:t>.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both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ELTS</w:t>
            </w:r>
            <w:r>
              <w:rPr>
                <w:rFonts w:hint="eastAsia" w:ascii="Arial" w:hAnsi="Arial" w:eastAsia="宋体" w:cs="Arial"/>
                <w:color w:val="auto"/>
                <w:sz w:val="21"/>
                <w:szCs w:val="21"/>
              </w:rPr>
              <w:t xml:space="preserve"> 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risk score,</w:t>
            </w:r>
            <w:r>
              <w:rPr>
                <w:rFonts w:hint="eastAsia" w:ascii="Arial" w:hAnsi="Arial" w:eastAsia="宋体" w:cs="Arial"/>
                <w:color w:val="auto"/>
                <w:sz w:val="21"/>
                <w:szCs w:val="21"/>
              </w:rPr>
              <w:t xml:space="preserve"> n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 xml:space="preserve"> (%)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firstLine="420" w:firstLineChars="200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firstLine="420" w:firstLineChars="200"/>
              <w:jc w:val="both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Low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color w:val="auto"/>
                <w:sz w:val="21"/>
                <w:szCs w:val="21"/>
              </w:rPr>
              <w:t>1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179 (67)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firstLine="420" w:firstLineChars="200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firstLine="420" w:firstLineChars="200"/>
              <w:jc w:val="both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Intermediate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color w:val="auto"/>
                <w:sz w:val="21"/>
                <w:szCs w:val="21"/>
              </w:rPr>
              <w:t>4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21 (24)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firstLine="420" w:firstLineChars="200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firstLine="420" w:firstLineChars="200"/>
              <w:jc w:val="both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High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color w:val="auto"/>
                <w:sz w:val="21"/>
                <w:szCs w:val="21"/>
              </w:rPr>
              <w:t>1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48 (8)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firstLine="420" w:firstLineChars="200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both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color w:val="auto"/>
                <w:sz w:val="21"/>
                <w:szCs w:val="21"/>
              </w:rPr>
              <w:t>A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P criteria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firstLine="420" w:firstLineChars="200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firstLine="420" w:firstLineChars="200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firstLine="420" w:firstLineChars="200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firstLine="420" w:firstLineChars="200"/>
              <w:jc w:val="both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ascii="Arial" w:hAnsi="Arial" w:eastAsia="宋体" w:cs="Arial"/>
                <w:sz w:val="21"/>
                <w:szCs w:val="21"/>
              </w:rPr>
              <w:t>Basophils &gt; 20%</w:t>
            </w:r>
            <w:bookmarkStart w:id="9" w:name="_GoBack"/>
            <w:bookmarkEnd w:id="9"/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firstLine="420" w:firstLineChars="200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169 (55)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firstLine="420" w:firstLineChars="200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firstLine="420" w:firstLineChars="200"/>
              <w:jc w:val="both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ascii="Arial" w:hAnsi="Arial" w:eastAsia="宋体" w:cs="Arial"/>
                <w:sz w:val="21"/>
                <w:szCs w:val="21"/>
              </w:rPr>
              <w:t>Blasts &gt; 10% and &lt; 20%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firstLine="420" w:firstLineChars="200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68 (22)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firstLine="420" w:firstLineChars="200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firstLine="420" w:firstLineChars="200"/>
              <w:jc w:val="both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ACA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firstLine="420" w:firstLineChars="200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color w:val="auto"/>
                <w:sz w:val="21"/>
                <w:szCs w:val="21"/>
              </w:rPr>
              <w:t>3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2 (10)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firstLine="420" w:firstLineChars="200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firstLine="420" w:firstLineChars="200"/>
              <w:jc w:val="both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bookmarkStart w:id="2" w:name="_Hlk168493494"/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 xml:space="preserve">≥ </w:t>
            </w:r>
            <w:r>
              <w:rPr>
                <w:rFonts w:hint="eastAsia" w:ascii="Arial" w:hAnsi="Arial" w:eastAsia="宋体" w:cs="Arial"/>
                <w:color w:val="auto"/>
                <w:sz w:val="21"/>
                <w:szCs w:val="21"/>
              </w:rPr>
              <w:t>2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 xml:space="preserve"> criteria</w:t>
            </w:r>
            <w:bookmarkEnd w:id="2"/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firstLine="420" w:firstLineChars="200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color w:val="auto"/>
                <w:sz w:val="21"/>
                <w:szCs w:val="21"/>
              </w:rPr>
              <w:t>3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6 (12)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firstLine="420" w:firstLineChars="200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both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Initial TKIs-therapy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Arial" w:hAnsi="Arial" w:eastAsia="宋体" w:cs="Arial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Arial" w:hAnsi="Arial" w:eastAsia="宋体" w:cs="Arial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21"/>
                <w:szCs w:val="21"/>
              </w:rPr>
              <w:t>&lt;</w:t>
            </w:r>
            <w:r>
              <w:rPr>
                <w:rFonts w:ascii="Arial" w:hAnsi="Arial" w:eastAsia="宋体" w:cs="Arial"/>
                <w:b/>
                <w:bCs/>
                <w:color w:val="auto"/>
                <w:sz w:val="21"/>
                <w:szCs w:val="21"/>
              </w:rPr>
              <w:t xml:space="preserve"> 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firstLine="420" w:firstLineChars="200"/>
              <w:jc w:val="both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color w:val="auto"/>
                <w:sz w:val="21"/>
                <w:szCs w:val="21"/>
              </w:rPr>
              <w:t>I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matinib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color w:val="auto"/>
                <w:sz w:val="21"/>
                <w:szCs w:val="21"/>
              </w:rPr>
              <w:t>1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392 (80)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204 (67)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firstLine="420" w:firstLineChars="200"/>
              <w:jc w:val="both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color w:val="auto"/>
                <w:sz w:val="21"/>
                <w:szCs w:val="21"/>
              </w:rPr>
              <w:t>2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G-TKIs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color w:val="auto"/>
                <w:sz w:val="21"/>
                <w:szCs w:val="21"/>
              </w:rPr>
              <w:t>3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56 (20)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101 (33)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both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color w:val="auto"/>
                <w:sz w:val="21"/>
                <w:szCs w:val="21"/>
              </w:rPr>
              <w:t>T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 xml:space="preserve">ypes of </w:t>
            </w:r>
            <w:r>
              <w:rPr>
                <w:rFonts w:hint="eastAsia" w:ascii="Arial" w:hAnsi="Arial" w:eastAsia="宋体" w:cs="Arial"/>
                <w:color w:val="auto"/>
                <w:sz w:val="21"/>
                <w:szCs w:val="21"/>
              </w:rPr>
              <w:t>2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G-TKIs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firstLine="420" w:firstLineChars="200"/>
              <w:jc w:val="both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Nilotinib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color w:val="auto"/>
                <w:sz w:val="21"/>
                <w:szCs w:val="21"/>
              </w:rPr>
              <w:t>2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41 (68)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color w:val="auto"/>
                <w:sz w:val="21"/>
                <w:szCs w:val="21"/>
              </w:rPr>
              <w:t>6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8 (67)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firstLine="420" w:firstLineChars="200"/>
              <w:jc w:val="both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color w:val="auto"/>
                <w:sz w:val="21"/>
                <w:szCs w:val="21"/>
              </w:rPr>
              <w:t>D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asatinib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color w:val="auto"/>
                <w:sz w:val="21"/>
                <w:szCs w:val="21"/>
              </w:rPr>
              <w:t>6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0 (17)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color w:val="auto"/>
                <w:sz w:val="21"/>
                <w:szCs w:val="21"/>
              </w:rPr>
              <w:t>1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9 (19)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firstLine="420" w:firstLineChars="200"/>
              <w:jc w:val="both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Flumatinib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42 (12)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14 (14)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firstLine="420" w:firstLineChars="200"/>
              <w:jc w:val="both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color w:val="auto"/>
                <w:sz w:val="21"/>
                <w:szCs w:val="21"/>
              </w:rPr>
              <w:t>R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adotinib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14 (4)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0 (0)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8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tabs>
                <w:tab w:val="right" w:pos="1959"/>
              </w:tabs>
              <w:spacing w:line="360" w:lineRule="auto"/>
              <w:jc w:val="both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color w:val="auto"/>
                <w:sz w:val="21"/>
                <w:szCs w:val="21"/>
              </w:rPr>
              <w:t>F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ollow-up, months, median (IQR)</w:t>
            </w:r>
          </w:p>
        </w:tc>
        <w:tc>
          <w:tcPr>
            <w:tcW w:w="986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color w:val="auto"/>
                <w:sz w:val="21"/>
                <w:szCs w:val="21"/>
              </w:rPr>
              <w:t>5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3 (29, 85)</w:t>
            </w:r>
          </w:p>
        </w:tc>
        <w:tc>
          <w:tcPr>
            <w:tcW w:w="985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49 (22, 92)</w:t>
            </w:r>
          </w:p>
        </w:tc>
        <w:tc>
          <w:tcPr>
            <w:tcW w:w="681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Arial" w:hAnsi="Arial" w:eastAsia="宋体" w:cs="Arial"/>
                <w:color w:val="auto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0</w:t>
            </w:r>
            <w:r>
              <w:rPr>
                <w:rFonts w:hint="eastAsia" w:ascii="Arial" w:hAnsi="Arial" w:eastAsia="宋体" w:cs="Arial"/>
                <w:color w:val="auto"/>
                <w:sz w:val="21"/>
                <w:szCs w:val="21"/>
              </w:rPr>
              <w:t>.</w:t>
            </w:r>
            <w:r>
              <w:rPr>
                <w:rFonts w:ascii="Arial" w:hAnsi="Arial" w:eastAsia="宋体" w:cs="Arial"/>
                <w:color w:val="auto"/>
                <w:sz w:val="21"/>
                <w:szCs w:val="21"/>
              </w:rPr>
              <w:t>16</w:t>
            </w:r>
          </w:p>
        </w:tc>
      </w:tr>
    </w:tbl>
    <w:p>
      <w:pPr>
        <w:rPr>
          <w:rFonts w:ascii="Arial" w:hAnsi="Arial" w:cs="Arial"/>
          <w:color w:val="auto"/>
        </w:rPr>
      </w:pPr>
      <w:bookmarkStart w:id="3" w:name="_Hlk167529492"/>
      <w:r>
        <w:rPr>
          <w:rFonts w:hint="eastAsia" w:ascii="Arial" w:hAnsi="Arial" w:cs="Arial" w:eastAsiaTheme="minorEastAsia"/>
          <w:sz w:val="18"/>
          <w:szCs w:val="18"/>
        </w:rPr>
        <w:t>Abbreviations:</w:t>
      </w:r>
      <w:r>
        <w:rPr>
          <w:rFonts w:ascii="Arial" w:hAnsi="Arial" w:cs="Arial" w:eastAsiaTheme="minorEastAsia"/>
          <w:sz w:val="18"/>
          <w:szCs w:val="18"/>
        </w:rPr>
        <w:t xml:space="preserve"> </w:t>
      </w:r>
      <w:bookmarkStart w:id="4" w:name="_Hlk168494291"/>
      <w:r>
        <w:rPr>
          <w:rFonts w:ascii="Arial" w:hAnsi="Arial" w:cs="Arial" w:eastAsiaTheme="minorEastAsia"/>
          <w:sz w:val="18"/>
          <w:szCs w:val="18"/>
        </w:rPr>
        <w:t>ICC, International consensus classification</w:t>
      </w:r>
      <w:bookmarkEnd w:id="4"/>
      <w:r>
        <w:rPr>
          <w:rFonts w:ascii="Arial" w:hAnsi="Arial" w:cs="Arial" w:eastAsiaTheme="minorEastAsia"/>
          <w:sz w:val="18"/>
          <w:szCs w:val="18"/>
        </w:rPr>
        <w:t xml:space="preserve">; CP, chronic phase; AP, accelerated phase; IQR, interquartile range; ELTS, European Treatment and Outcome Study (EUTOS) Long-Term Survival; ACA, </w:t>
      </w:r>
      <w:bookmarkStart w:id="5" w:name="_Hlk168494264"/>
      <w:r>
        <w:rPr>
          <w:rFonts w:ascii="Arial" w:hAnsi="Arial" w:cs="Arial" w:eastAsiaTheme="minorEastAsia"/>
          <w:sz w:val="18"/>
          <w:szCs w:val="18"/>
        </w:rPr>
        <w:t>additional clonal</w:t>
      </w:r>
      <w:r>
        <w:rPr>
          <w:rFonts w:hint="eastAsia" w:ascii="Arial" w:hAnsi="Arial" w:cs="Arial" w:eastAsiaTheme="minorEastAsia"/>
          <w:sz w:val="18"/>
          <w:szCs w:val="18"/>
        </w:rPr>
        <w:t xml:space="preserve"> </w:t>
      </w:r>
      <w:r>
        <w:rPr>
          <w:rFonts w:ascii="Arial" w:hAnsi="Arial" w:cs="Arial" w:eastAsiaTheme="minorEastAsia"/>
          <w:sz w:val="18"/>
          <w:szCs w:val="18"/>
        </w:rPr>
        <w:t>cytogenetic abnormality in</w:t>
      </w:r>
      <w:r>
        <w:rPr>
          <w:rFonts w:hint="eastAsia" w:ascii="Arial" w:hAnsi="Arial" w:cs="Arial" w:eastAsiaTheme="minorEastAsia"/>
          <w:sz w:val="18"/>
          <w:szCs w:val="18"/>
        </w:rPr>
        <w:t xml:space="preserve"> </w:t>
      </w:r>
      <w:r>
        <w:rPr>
          <w:rFonts w:ascii="Arial" w:hAnsi="Arial" w:cs="Arial" w:eastAsiaTheme="minorEastAsia"/>
          <w:sz w:val="18"/>
          <w:szCs w:val="18"/>
        </w:rPr>
        <w:t>Ph+ cells (second Ph, trisomy 8, isochromosome 17q, trisomy 19, complex karyotype, or</w:t>
      </w:r>
      <w:r>
        <w:rPr>
          <w:rFonts w:hint="eastAsia" w:ascii="Arial" w:hAnsi="Arial" w:cs="Arial" w:eastAsiaTheme="minorEastAsia"/>
          <w:sz w:val="18"/>
          <w:szCs w:val="18"/>
        </w:rPr>
        <w:t xml:space="preserve"> </w:t>
      </w:r>
      <w:r>
        <w:rPr>
          <w:rFonts w:ascii="Arial" w:hAnsi="Arial" w:cs="Arial" w:eastAsiaTheme="minorEastAsia"/>
          <w:sz w:val="18"/>
          <w:szCs w:val="18"/>
        </w:rPr>
        <w:t>abnormalities of 3q26.2)</w:t>
      </w:r>
      <w:bookmarkEnd w:id="5"/>
      <w:r>
        <w:rPr>
          <w:rFonts w:ascii="Arial" w:hAnsi="Arial" w:cs="Arial" w:eastAsiaTheme="minorEastAsia"/>
          <w:sz w:val="18"/>
          <w:szCs w:val="18"/>
        </w:rPr>
        <w:t>; 2G-TKI, 2nd-generation tyrosine kinase-inhibitor (TKI)</w:t>
      </w:r>
      <w:bookmarkEnd w:id="3"/>
      <w:r>
        <w:rPr>
          <w:rFonts w:ascii="Arial" w:hAnsi="Arial" w:cs="Arial" w:eastAsiaTheme="minorEastAsia"/>
          <w:sz w:val="18"/>
          <w:szCs w:val="18"/>
        </w:rPr>
        <w:t xml:space="preserve">.  </w:t>
      </w:r>
    </w:p>
    <w:p>
      <w:pPr>
        <w:rPr>
          <w:rFonts w:eastAsiaTheme="minor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br w:type="page"/>
      </w:r>
    </w:p>
    <w:p>
      <w:pPr>
        <w:rPr>
          <w:rFonts w:ascii="Arial" w:hAnsi="Arial" w:eastAsia="宋体" w:cs="Arial"/>
          <w:b/>
          <w:bCs/>
          <w:sz w:val="21"/>
          <w:szCs w:val="21"/>
          <w:lang w:bidi="ar"/>
        </w:rPr>
      </w:pPr>
      <w:bookmarkStart w:id="6" w:name="_Hlk163761096"/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Supplement Table </w:t>
      </w:r>
      <w:bookmarkEnd w:id="6"/>
      <w:r>
        <w:rPr>
          <w:rFonts w:ascii="Arial" w:hAnsi="Arial" w:eastAsia="宋体" w:cs="Arial"/>
          <w:b/>
          <w:bCs/>
          <w:sz w:val="21"/>
          <w:szCs w:val="21"/>
          <w:lang w:bidi="ar"/>
        </w:rPr>
        <w:t>4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.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 Multi-variable analyses of outcomes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b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y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ICC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criteria.</w:t>
      </w:r>
    </w:p>
    <w:p>
      <w:pPr>
        <w:rPr>
          <w:rFonts w:ascii="Arial" w:hAnsi="Arial" w:eastAsia="宋体" w:cs="Arial"/>
          <w:b/>
          <w:bCs/>
          <w:sz w:val="21"/>
          <w:szCs w:val="21"/>
          <w:lang w:bidi="ar"/>
        </w:rPr>
      </w:pPr>
    </w:p>
    <w:p>
      <w:pPr>
        <w:rPr>
          <w:rFonts w:ascii="Arial" w:hAnsi="Arial" w:eastAsia="宋体" w:cs="Arial"/>
          <w:b/>
          <w:bCs/>
          <w:sz w:val="21"/>
          <w:szCs w:val="21"/>
          <w:lang w:bidi="ar"/>
        </w:rPr>
      </w:pPr>
    </w:p>
    <w:tbl>
      <w:tblPr>
        <w:tblStyle w:val="8"/>
        <w:tblW w:w="69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1"/>
        <w:gridCol w:w="1247"/>
        <w:gridCol w:w="873"/>
        <w:gridCol w:w="1247"/>
        <w:gridCol w:w="8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2120" w:type="dxa"/>
            <w:gridSpan w:val="2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T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FS</w:t>
            </w:r>
          </w:p>
        </w:tc>
        <w:tc>
          <w:tcPr>
            <w:tcW w:w="2120" w:type="dxa"/>
            <w:gridSpan w:val="2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S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urvival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247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i/>
                <w:i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H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R (95% CI)</w:t>
            </w:r>
          </w:p>
        </w:tc>
        <w:tc>
          <w:tcPr>
            <w:tcW w:w="873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i/>
                <w:i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i/>
                <w:iCs/>
                <w:color w:val="auto"/>
                <w:sz w:val="16"/>
                <w:szCs w:val="16"/>
                <w:lang w:bidi="ar"/>
              </w:rPr>
              <w:t>P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-value</w:t>
            </w:r>
          </w:p>
        </w:tc>
        <w:tc>
          <w:tcPr>
            <w:tcW w:w="1247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i/>
                <w:i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H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R (95% CI)</w:t>
            </w:r>
          </w:p>
        </w:tc>
        <w:tc>
          <w:tcPr>
            <w:tcW w:w="873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i/>
                <w:i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i/>
                <w:iCs/>
                <w:color w:val="auto"/>
                <w:sz w:val="16"/>
                <w:szCs w:val="16"/>
                <w:lang w:bidi="ar"/>
              </w:rPr>
              <w:t>P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-value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Disease 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phase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CP Risk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Low </w:t>
            </w: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(ref)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Intermediate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1.5 (0.9, 2.5)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0.09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1.7 (0.9, 3.4)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0.13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High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3.6 (2.1, 6.2)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&lt;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 0.001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3.9 (1.8, 8.3)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&lt;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 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A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P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240" w:firstLineChars="150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 Basophils &gt; 20%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1.8 (1.0, 3.3)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auto"/>
                <w:sz w:val="16"/>
                <w:szCs w:val="16"/>
              </w:rPr>
              <w:t>0.07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1.4 (0.5, 3.4)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0.53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Blasts &gt; 10% and &lt; 20%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7.2 (4.0, 12.8)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&lt; 0.001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6.4 (2.7, 15.1)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&lt;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 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ACA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5.0 (2.1, 11.7)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&lt; 0.001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6.7 (2.3, 19.6)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≥ 2 features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2.7 (1.0, 7.0)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0.04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7.1 (2.7, 18.7)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Disease 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phase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C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P Risk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Low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.7 (0.4, 1.1)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.09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.6 (0.3, 1.2)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Intermediate-risk </w:t>
            </w: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(ref)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High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2.4 (1.4, 4.1)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.002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2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.3 (1.0, 5.0)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A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P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Basophils &gt; 20%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1.2 (0.6, 2.2)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.67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0.8 (0.3, 2.1)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.64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Blasts &gt; 10% and &lt; 20%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4.7 (2.5, 8.6)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&lt;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 0.001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3.8 (1.6, 9.0)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ACA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3.2 (1.3, 7.9)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0.01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3.9 (1.3, 11.9)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≥ 2 features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1.8 (0.7, 4.7)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0.25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4.2 (1.6, 11.0)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Disease 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phase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C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P Risk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Low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.3 (0.2, 0.5)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&lt;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 0.001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.3 (0.1, 0.6)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&lt;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 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Intermediate-risk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.4 (0.2, 0.7)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.002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.4 (0.2, 1.0)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High </w:t>
            </w: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(ref)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A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P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Basophils &gt; 20%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.5 (0.2, 1.0)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.04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.4 (0.1, 1.0)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Blasts &gt; 10% and &lt; 20%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2.0 (1.0, 3.7)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  <w:t>.04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1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.7 (0.7, 4.2)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ACA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1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.4 (0.6, 3.4)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.50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1.7 (0.5, 5.5)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≥ 2 features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0.7 (0.3, 2.0)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.56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1.8 (0.7, 5.0)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Age (10 years)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247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1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.3 (1.0, 1.5)</w:t>
            </w:r>
          </w:p>
        </w:tc>
        <w:tc>
          <w:tcPr>
            <w:tcW w:w="873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Male (ref. female)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Initial imatinib-therapy (ref. 2G-TKI)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0.8 </w:t>
            </w: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(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0.5</w:t>
            </w: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,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 1.1)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0.17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0.7 </w:t>
            </w: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(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0.4</w:t>
            </w: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,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 1.2)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  <w:t>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WBC (</w:t>
            </w:r>
            <w:r>
              <w:rPr>
                <w:rFonts w:ascii="Arial" w:hAnsi="Arial" w:cs="Arial"/>
                <w:color w:val="auto"/>
                <w:sz w:val="16"/>
                <w:szCs w:val="16"/>
              </w:rPr>
              <w:t>× 10E + 11/L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)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0.9 </w:t>
            </w: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(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0.8</w:t>
            </w: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,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 1.1)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0.26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Haemoglobin (g/dL)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.9 (0.8, 1.0)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0.001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.9 (0.8, 1.0)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cs="Arial" w:asciiTheme="minorEastAsia" w:hAnsiTheme="minorEastAsia" w:eastAsiaTheme="minorEastAsia"/>
                <w:color w:val="auto"/>
                <w:sz w:val="16"/>
                <w:szCs w:val="16"/>
              </w:rPr>
              <w:t>Platelets</w:t>
            </w:r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(</w:t>
            </w:r>
            <w:r>
              <w:rPr>
                <w:rFonts w:ascii="Arial" w:hAnsi="Arial" w:cs="Arial"/>
                <w:color w:val="auto"/>
                <w:sz w:val="16"/>
                <w:szCs w:val="16"/>
              </w:rPr>
              <w:t>× 10E + 11/L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)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0.9 (0.9, 1.0)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.03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C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omorbidity (ref. none)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247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1.5 (0.9, 2.4)</w:t>
            </w:r>
          </w:p>
        </w:tc>
        <w:tc>
          <w:tcPr>
            <w:tcW w:w="87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.15</w:t>
            </w:r>
          </w:p>
        </w:tc>
      </w:tr>
    </w:tbl>
    <w:p>
      <w:pPr>
        <w:rPr>
          <w:rFonts w:ascii="Arial" w:hAnsi="Arial" w:eastAsia="宋体" w:cs="Arial"/>
          <w:b/>
          <w:bCs/>
          <w:sz w:val="21"/>
          <w:szCs w:val="21"/>
          <w:lang w:bidi="ar"/>
        </w:rPr>
      </w:pPr>
      <w:bookmarkStart w:id="7" w:name="_Hlk168491061"/>
      <w:r>
        <w:rPr>
          <w:rFonts w:hint="eastAsia" w:ascii="Arial" w:hAnsi="Arial" w:cs="Arial" w:eastAsiaTheme="minorEastAsia"/>
          <w:sz w:val="18"/>
          <w:szCs w:val="18"/>
        </w:rPr>
        <w:t>Abbreviations:</w:t>
      </w:r>
      <w:r>
        <w:rPr>
          <w:rFonts w:ascii="Arial" w:hAnsi="Arial" w:cs="Arial" w:eastAsiaTheme="minorEastAsia"/>
          <w:sz w:val="18"/>
          <w:szCs w:val="18"/>
        </w:rPr>
        <w:t xml:space="preserve"> </w:t>
      </w:r>
      <w:bookmarkStart w:id="8" w:name="_Hlk168494398"/>
      <w:r>
        <w:rPr>
          <w:rFonts w:ascii="Arial" w:hAnsi="Arial" w:cs="Arial" w:eastAsiaTheme="minorEastAsia"/>
          <w:sz w:val="18"/>
          <w:szCs w:val="18"/>
        </w:rPr>
        <w:t>ICC, International consensus classification</w:t>
      </w:r>
      <w:bookmarkEnd w:id="8"/>
      <w:r>
        <w:rPr>
          <w:rFonts w:ascii="Arial" w:hAnsi="Arial" w:cs="Arial" w:eastAsiaTheme="minorEastAsia"/>
          <w:sz w:val="18"/>
          <w:szCs w:val="18"/>
        </w:rPr>
        <w:t>; TFS, transformation-free survival; HR, hazard ratio; CP, chronic phase; AP, accelerated phase; ACA, additional clonal cytogenetic abnormality in Ph+ cells (second Ph, trisomy 8, isochromosome 17q, trisomy 19, complex karyotype, or abnormalities of 3q26.2); 2G-TKI, 2</w:t>
      </w:r>
      <w:r>
        <w:rPr>
          <w:rFonts w:ascii="Arial" w:hAnsi="Arial" w:cs="Arial" w:eastAsiaTheme="minorEastAsia"/>
          <w:sz w:val="18"/>
          <w:szCs w:val="18"/>
          <w:vertAlign w:val="superscript"/>
        </w:rPr>
        <w:t>nd</w:t>
      </w:r>
      <w:r>
        <w:rPr>
          <w:rFonts w:ascii="Arial" w:hAnsi="Arial" w:cs="Arial" w:eastAsiaTheme="minorEastAsia"/>
          <w:sz w:val="18"/>
          <w:szCs w:val="18"/>
        </w:rPr>
        <w:t>-generation tyrosine kinase-inhibitor (TKI); WBC, white blood cell</w:t>
      </w:r>
      <w:bookmarkEnd w:id="7"/>
      <w:r>
        <w:rPr>
          <w:rFonts w:ascii="Arial" w:hAnsi="Arial" w:cs="Arial" w:eastAsiaTheme="minorEastAsia"/>
          <w:sz w:val="18"/>
          <w:szCs w:val="18"/>
        </w:rPr>
        <w:t>.</w:t>
      </w:r>
    </w:p>
    <w:p>
      <w:pPr>
        <w:rPr>
          <w:rFonts w:ascii="Arial" w:hAnsi="Arial" w:eastAsia="宋体" w:cs="Arial"/>
          <w:b/>
          <w:bCs/>
          <w:sz w:val="21"/>
          <w:szCs w:val="21"/>
          <w:lang w:bidi="ar"/>
        </w:rPr>
        <w:sectPr>
          <w:pgSz w:w="16840" w:h="15309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</w:p>
    <w:p>
      <w:pPr>
        <w:rPr>
          <w:rFonts w:ascii="Arial" w:hAnsi="Arial" w:eastAsia="宋体" w:cs="Arial"/>
          <w:b/>
          <w:bCs/>
          <w:sz w:val="21"/>
          <w:szCs w:val="21"/>
          <w:lang w:bidi="ar"/>
        </w:rPr>
      </w:pP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Supplement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Table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5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.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 Multi-variable analyses of outcomes s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b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y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ICC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criteria receiving 1</w:t>
      </w:r>
      <w:r>
        <w:rPr>
          <w:rFonts w:ascii="Arial" w:hAnsi="Arial" w:eastAsia="宋体" w:cs="Arial"/>
          <w:b/>
          <w:bCs/>
          <w:sz w:val="21"/>
          <w:szCs w:val="21"/>
          <w:vertAlign w:val="superscript"/>
          <w:lang w:bidi="ar"/>
        </w:rPr>
        <w:t>st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imatinib therapy.</w:t>
      </w:r>
    </w:p>
    <w:p>
      <w:pPr>
        <w:rPr>
          <w:rFonts w:ascii="Arial" w:hAnsi="Arial" w:eastAsia="宋体" w:cs="Arial"/>
          <w:b/>
          <w:bCs/>
          <w:sz w:val="21"/>
          <w:szCs w:val="21"/>
          <w:lang w:bidi="ar"/>
        </w:rPr>
      </w:pPr>
    </w:p>
    <w:tbl>
      <w:tblPr>
        <w:tblStyle w:val="8"/>
        <w:tblW w:w="83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1"/>
        <w:gridCol w:w="1399"/>
        <w:gridCol w:w="1399"/>
        <w:gridCol w:w="1399"/>
        <w:gridCol w:w="13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  <w:vMerge w:val="restart"/>
            <w:vAlign w:val="center"/>
          </w:tcPr>
          <w:p>
            <w:pPr>
              <w:jc w:val="center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</w:p>
        </w:tc>
        <w:tc>
          <w:tcPr>
            <w:tcW w:w="2798" w:type="dxa"/>
            <w:gridSpan w:val="2"/>
          </w:tcPr>
          <w:p>
            <w:pPr>
              <w:jc w:val="center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T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FS</w:t>
            </w:r>
          </w:p>
        </w:tc>
        <w:tc>
          <w:tcPr>
            <w:tcW w:w="2798" w:type="dxa"/>
            <w:gridSpan w:val="2"/>
          </w:tcPr>
          <w:p>
            <w:pPr>
              <w:jc w:val="center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S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urvival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  <w:vMerge w:val="continue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i/>
                <w:iCs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H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R (95% CI)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i/>
                <w:iCs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i/>
                <w:iCs/>
                <w:sz w:val="16"/>
                <w:szCs w:val="16"/>
                <w:lang w:bidi="ar"/>
              </w:rPr>
              <w:t>P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-value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i/>
                <w:iCs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H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R (95% CI)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i/>
                <w:iCs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i/>
                <w:iCs/>
                <w:sz w:val="16"/>
                <w:szCs w:val="16"/>
                <w:lang w:bidi="ar"/>
              </w:rPr>
              <w:t>P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-value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Disease 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phase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C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P Risk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 xml:space="preserve">Low </w:t>
            </w:r>
            <w:r>
              <w:rPr>
                <w:rFonts w:ascii="Arial" w:hAnsi="Arial" w:eastAsia="宋体" w:cs="Arial"/>
                <w:b/>
                <w:bCs/>
                <w:sz w:val="16"/>
                <w:szCs w:val="16"/>
                <w:lang w:bidi="ar"/>
              </w:rPr>
              <w:t>(ref)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Intermediate-risk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1.8 (1.1, 3.2)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0.03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1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.9 (0.9, 4.2)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High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4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.1 (2.2, 7.9)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Cs/>
                <w:color w:val="auto"/>
                <w:sz w:val="16"/>
                <w:szCs w:val="16"/>
                <w:lang w:bidi="ar"/>
              </w:rPr>
              <w:t>&lt;</w:t>
            </w:r>
            <w:r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  <w:t xml:space="preserve"> 0.001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3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.5 (1.3, 9.2)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A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P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Basophils &gt; 20%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1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.5 (0.7, 3.1)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.33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1.6 (0.6, 4.7)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Blasts &gt; 10% and &lt; 20%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6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.3 (3.1, 12.6)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Cs/>
                <w:color w:val="auto"/>
                <w:sz w:val="16"/>
                <w:szCs w:val="16"/>
                <w:lang w:bidi="ar"/>
              </w:rPr>
              <w:t>&lt;</w:t>
            </w:r>
            <w:r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  <w:t xml:space="preserve"> 0.001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9.2 (3.6, 23.3)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&lt;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 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ACA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4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.1 (1.5, 11.7)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0.01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4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.6 (1.0, 20.2)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≥ 2 features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3.4 (1.1, 10.3)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0.03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8.0 (2.3, 27.8)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Disease 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phase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C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P Risk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Low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.5 (0.3, 1.0)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0.03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.5 (0.2, 1.1)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 xml:space="preserve">Intermediate-risk </w:t>
            </w:r>
            <w:r>
              <w:rPr>
                <w:rFonts w:ascii="Arial" w:hAnsi="Arial" w:eastAsia="宋体" w:cs="Arial"/>
                <w:b/>
                <w:bCs/>
                <w:sz w:val="16"/>
                <w:szCs w:val="16"/>
                <w:lang w:bidi="ar"/>
              </w:rPr>
              <w:t>(ref)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High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2.3 (1.2, 4.3)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0.01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1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.8 (0.7, 4.8)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A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P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Basophils &gt; 20%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.8 (0.4, 1.7)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0.56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.8 (0.3, 2.4)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.76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Blasts &gt; 10% and &lt; 20%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3.4 (1.6, 7.2)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.001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4.7 (1.8, 12.1)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ACA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2.3 (0.8, 6.6)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.13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2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.4 (0.5, 10.6)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≥ 2 features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1.9 (0.6, 5.7)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.27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4.1 (1.2, 13.8)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Disease 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phase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C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P Risk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Low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.2 (0.1, 0.5)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&lt;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 0.001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.3 (0.1, 0.8)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Intermediate-risk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.4 (0.2, 0.9)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.01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.6 (0.2, 1.5)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 xml:space="preserve">High </w:t>
            </w:r>
            <w:r>
              <w:rPr>
                <w:rFonts w:ascii="Arial" w:hAnsi="Arial" w:eastAsia="宋体" w:cs="Arial"/>
                <w:b/>
                <w:bCs/>
                <w:sz w:val="16"/>
                <w:szCs w:val="16"/>
                <w:lang w:bidi="ar"/>
              </w:rPr>
              <w:t>(ref)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A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P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Basophils &gt; 20%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.4 (0.1, 0.8)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.02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.5 (0.1, 1.6)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Blasts &gt; 10% and &lt; 20%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1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.5 (0.7, 3.4)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.31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2.7 (0.9, 7.9)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  <w:t>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ACA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1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 (0.3, 3.1)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.99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1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.3 (0.3, 6.6)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.73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≥ 2 features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0.8 (0.3, 2.6)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0.74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2.3 (0.6, 8.7)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Age (10 years)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1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.3 (1.1, 1.6)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Male (ref. female)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WBC (</w:t>
            </w:r>
            <w:r>
              <w:rPr>
                <w:rFonts w:ascii="Arial" w:hAnsi="Arial" w:cs="Arial"/>
                <w:sz w:val="16"/>
                <w:szCs w:val="16"/>
              </w:rPr>
              <w:t>× 10E + 11/L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.8 (0.7, 1.0)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  <w:t>.06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Haemoglobin (g/dL)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.8 (0.8, 0.9)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Cs/>
                <w:color w:val="auto"/>
                <w:sz w:val="16"/>
                <w:szCs w:val="16"/>
                <w:lang w:bidi="ar"/>
              </w:rPr>
              <w:t>&lt;</w:t>
            </w:r>
            <w:r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  <w:t xml:space="preserve"> 0.001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.8 (0.7, 0.9)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cs="Arial" w:asciiTheme="minorEastAsia" w:hAnsiTheme="minorEastAsia" w:eastAsiaTheme="minorEastAsia"/>
                <w:color w:val="auto"/>
                <w:sz w:val="16"/>
                <w:szCs w:val="16"/>
              </w:rPr>
              <w:t>Platelets</w:t>
            </w:r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(</w:t>
            </w:r>
            <w:r>
              <w:rPr>
                <w:rFonts w:ascii="Arial" w:hAnsi="Arial" w:cs="Arial"/>
                <w:color w:val="auto"/>
                <w:sz w:val="16"/>
                <w:szCs w:val="16"/>
              </w:rPr>
              <w:t>× 10E + 11/L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C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omorbidity (ref. none)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1.3 (0.7, 2.5)</w:t>
            </w:r>
          </w:p>
        </w:tc>
        <w:tc>
          <w:tcPr>
            <w:tcW w:w="1399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bCs/>
                <w:color w:val="auto"/>
                <w:sz w:val="16"/>
                <w:szCs w:val="16"/>
                <w:lang w:bidi="ar"/>
              </w:rPr>
              <w:t>0.38</w:t>
            </w:r>
          </w:p>
        </w:tc>
      </w:tr>
    </w:tbl>
    <w:p>
      <w:pPr>
        <w:rPr>
          <w:rFonts w:ascii="Arial" w:hAnsi="Arial" w:eastAsia="宋体" w:cs="Arial"/>
          <w:b/>
          <w:bCs/>
          <w:sz w:val="21"/>
          <w:szCs w:val="21"/>
          <w:lang w:bidi="ar"/>
        </w:rPr>
      </w:pPr>
      <w:r>
        <w:rPr>
          <w:rFonts w:ascii="Arial" w:hAnsi="Arial" w:cs="Arial" w:eastAsiaTheme="minorEastAsia"/>
          <w:sz w:val="18"/>
          <w:szCs w:val="18"/>
        </w:rPr>
        <w:t>Abbreviations: ICC, International consensus classification; TFS, transformation-free survival; HR, hazard ratio; CP, chronic phase; AP, accelerated phase; ACA, additional clonal cytogenetic abnormality in Ph+ cells (second Ph, trisomy 8, isochromosome 17q, trisomy 19, complex karyotype, or abnormalities of 3q26.2); WBC, white blood cell.</w:t>
      </w:r>
    </w:p>
    <w:p>
      <w:pPr>
        <w:rPr>
          <w:rFonts w:ascii="Arial" w:hAnsi="Arial" w:eastAsia="宋体" w:cs="Arial"/>
          <w:b/>
          <w:bCs/>
          <w:sz w:val="21"/>
          <w:szCs w:val="21"/>
          <w:lang w:bidi="ar"/>
        </w:rPr>
      </w:pPr>
      <w:r>
        <w:rPr>
          <w:rFonts w:ascii="Arial" w:hAnsi="Arial" w:eastAsia="宋体" w:cs="Arial"/>
          <w:b/>
          <w:bCs/>
          <w:sz w:val="21"/>
          <w:szCs w:val="21"/>
          <w:lang w:bidi="ar"/>
        </w:rPr>
        <w:br w:type="page"/>
      </w:r>
    </w:p>
    <w:p>
      <w:pPr>
        <w:rPr>
          <w:rFonts w:ascii="Arial" w:hAnsi="Arial" w:eastAsia="宋体" w:cs="Arial"/>
          <w:b/>
          <w:bCs/>
          <w:sz w:val="21"/>
          <w:szCs w:val="21"/>
          <w:lang w:bidi="ar"/>
        </w:rPr>
      </w:pP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Supplement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Table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6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.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 Multi-variable analyses of outcomes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b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y </w:t>
      </w:r>
      <w:r>
        <w:rPr>
          <w:rFonts w:hint="eastAsia" w:ascii="Arial" w:hAnsi="Arial" w:eastAsia="宋体" w:cs="Arial"/>
          <w:b/>
          <w:bCs/>
          <w:sz w:val="21"/>
          <w:szCs w:val="21"/>
          <w:lang w:bidi="ar"/>
        </w:rPr>
        <w:t>ICC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criteria receiving 1</w:t>
      </w:r>
      <w:r>
        <w:rPr>
          <w:rFonts w:ascii="Arial" w:hAnsi="Arial" w:eastAsia="宋体" w:cs="Arial"/>
          <w:b/>
          <w:bCs/>
          <w:sz w:val="21"/>
          <w:szCs w:val="21"/>
          <w:vertAlign w:val="superscript"/>
          <w:lang w:bidi="ar"/>
        </w:rPr>
        <w:t>st</w:t>
      </w:r>
      <w:r>
        <w:rPr>
          <w:rFonts w:ascii="Arial" w:hAnsi="Arial" w:eastAsia="宋体" w:cs="Arial"/>
          <w:b/>
          <w:bCs/>
          <w:sz w:val="21"/>
          <w:szCs w:val="21"/>
          <w:lang w:bidi="ar"/>
        </w:rPr>
        <w:t xml:space="preserve"> 2G-TKI therapy.</w:t>
      </w:r>
    </w:p>
    <w:p>
      <w:pPr>
        <w:rPr>
          <w:rFonts w:ascii="Arial" w:hAnsi="Arial" w:eastAsia="宋体" w:cs="Arial"/>
          <w:b/>
          <w:bCs/>
          <w:sz w:val="21"/>
          <w:szCs w:val="21"/>
          <w:lang w:bidi="ar"/>
        </w:rPr>
      </w:pPr>
    </w:p>
    <w:tbl>
      <w:tblPr>
        <w:tblStyle w:val="8"/>
        <w:tblW w:w="84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1"/>
        <w:gridCol w:w="1423"/>
        <w:gridCol w:w="1423"/>
        <w:gridCol w:w="1423"/>
        <w:gridCol w:w="14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  <w:vMerge w:val="restart"/>
            <w:vAlign w:val="center"/>
          </w:tcPr>
          <w:p>
            <w:pPr>
              <w:jc w:val="center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</w:p>
        </w:tc>
        <w:tc>
          <w:tcPr>
            <w:tcW w:w="2846" w:type="dxa"/>
            <w:gridSpan w:val="2"/>
          </w:tcPr>
          <w:p>
            <w:pPr>
              <w:jc w:val="center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T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FS</w:t>
            </w:r>
          </w:p>
        </w:tc>
        <w:tc>
          <w:tcPr>
            <w:tcW w:w="2846" w:type="dxa"/>
            <w:gridSpan w:val="2"/>
          </w:tcPr>
          <w:p>
            <w:pPr>
              <w:jc w:val="center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S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urvival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  <w:vMerge w:val="continue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i/>
                <w:iCs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H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R (95% CI)</w:t>
            </w: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i/>
                <w:iCs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i/>
                <w:iCs/>
                <w:sz w:val="16"/>
                <w:szCs w:val="16"/>
                <w:lang w:bidi="ar"/>
              </w:rPr>
              <w:t>P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-value</w:t>
            </w: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i/>
                <w:iCs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H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R (95% CI)</w:t>
            </w: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i/>
                <w:iCs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i/>
                <w:iCs/>
                <w:sz w:val="16"/>
                <w:szCs w:val="16"/>
                <w:lang w:bidi="ar"/>
              </w:rPr>
              <w:t>P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-value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Disease 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phase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C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P Risk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 xml:space="preserve">Low </w:t>
            </w:r>
            <w:r>
              <w:rPr>
                <w:rFonts w:ascii="Arial" w:hAnsi="Arial" w:eastAsia="宋体" w:cs="Arial"/>
                <w:b/>
                <w:bCs/>
                <w:sz w:val="16"/>
                <w:szCs w:val="16"/>
                <w:lang w:bidi="ar"/>
              </w:rPr>
              <w:t>(ref)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Intermediate-risk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.9 (0.3, 2.5)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.78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.8 (0.2, 3.4)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.81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High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3.1 (1.1, 8.2)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0.03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3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.2 (0.9, 11.1)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A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P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Basophils &gt; 20%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2.1 (0.7, 6.3)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.17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.6 (0.1, 5.1)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Blasts &gt; 10% and &lt; 20%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4.9 (1.6, 14.8)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0.004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1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.9 (0.2, 15.8)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.57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ACA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8.6 (1.8, 39.7)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0.01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1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2.4 (2.3, 66.4)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≥ 2 features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1.6 (0.2, 12.2)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.67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4.7 (0.9, 24.0)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Disease 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phase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C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P Risk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Low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1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.2 (0.4, 3.5)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.78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1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.2 (0.3, 4.9)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.81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 xml:space="preserve">Intermediate-risk </w:t>
            </w:r>
            <w:r>
              <w:rPr>
                <w:rFonts w:ascii="Arial" w:hAnsi="Arial" w:eastAsia="宋体" w:cs="Arial"/>
                <w:b/>
                <w:bCs/>
                <w:sz w:val="16"/>
                <w:szCs w:val="16"/>
                <w:lang w:bidi="ar"/>
              </w:rPr>
              <w:t>(ref)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High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3.6 (1.2, 10.4)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.02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3.9 (0.9, 16.5)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A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P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Basophils &gt; 20%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2.5 (0.7, 8.6)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.15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0.7 (0.1, 7.2)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Blasts &gt; 10% and &lt; 20%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5.8 (1.8, 18.0)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.003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2.2 (0.2, 21.9)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.49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ACA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10.0 (2.0, 51.1)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0.01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14.8 (2.2, 98.1)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≥ 2 features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1.8 (0.2, 15.9)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.59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5.6 (0.9, 36.1)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 xml:space="preserve">Disease 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phase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C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P Risk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Low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.3 (0.1, 0.9)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0.03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.3 (0.1, 1.0)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Intermediate-risk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.3 (0.1, 0.8)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.02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.2 (0.0, 1.1)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 xml:space="preserve">High </w:t>
            </w:r>
            <w:r>
              <w:rPr>
                <w:rFonts w:ascii="Arial" w:hAnsi="Arial" w:eastAsia="宋体" w:cs="Arial"/>
                <w:b/>
                <w:bCs/>
                <w:sz w:val="16"/>
                <w:szCs w:val="16"/>
                <w:lang w:bidi="ar"/>
              </w:rPr>
              <w:t>(ref)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160" w:firstLineChars="1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A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P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Basophils &gt; 20%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.7 (0.2, 2.2)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.54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.3 (0.6, 1.1)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Blasts &gt; 10% and &lt; 20%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1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.6 (0.6, 4.7)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.38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.4 (0.0, 3.3)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bCs/>
                <w:color w:val="auto"/>
                <w:sz w:val="16"/>
                <w:szCs w:val="16"/>
                <w:lang w:bidi="ar"/>
              </w:rPr>
              <w:t>.62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ACA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2.8 (0.6, 13.4)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.20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5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.4 (1.2, 23.9)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ind w:firstLine="320" w:firstLineChars="200"/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≥ 2 features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0.5 (0.1, 4.2)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.53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4.8 (1.7, 13.3)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b/>
                <w:color w:val="auto"/>
                <w:sz w:val="16"/>
                <w:szCs w:val="16"/>
                <w:lang w:bidi="ar"/>
              </w:rPr>
              <w:t>0.67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Age (10 years)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1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.2 (0.8, 1.7)</w:t>
            </w: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Male (ref. female)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1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.8 (0.6, 5.9)</w:t>
            </w: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WBC (</w:t>
            </w:r>
            <w:r>
              <w:rPr>
                <w:rFonts w:ascii="Arial" w:hAnsi="Arial" w:cs="Arial"/>
                <w:sz w:val="16"/>
                <w:szCs w:val="16"/>
              </w:rPr>
              <w:t>× 10E + 11/L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1.1 (0.9, 1.4)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.39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Haemoglobin (g/dL)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cs="Arial" w:asciiTheme="minorEastAsia" w:hAnsiTheme="minorEastAsia" w:eastAsiaTheme="minorEastAsia"/>
                <w:color w:val="auto"/>
                <w:sz w:val="16"/>
                <w:szCs w:val="16"/>
              </w:rPr>
              <w:t>Platelets</w:t>
            </w:r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(</w:t>
            </w:r>
            <w:r>
              <w:rPr>
                <w:rFonts w:ascii="Arial" w:hAnsi="Arial" w:cs="Arial"/>
                <w:color w:val="auto"/>
                <w:sz w:val="16"/>
                <w:szCs w:val="16"/>
              </w:rPr>
              <w:t>× 10E + 11/L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0.8 (0.7, 1.0)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.01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0.9 (0.8, 1.1)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21" w:type="dxa"/>
          </w:tcPr>
          <w:p>
            <w:pPr>
              <w:rPr>
                <w:rFonts w:ascii="Arial" w:hAnsi="Arial" w:eastAsia="宋体" w:cs="Arial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sz w:val="16"/>
                <w:szCs w:val="16"/>
                <w:lang w:bidi="ar"/>
              </w:rPr>
              <w:t>C</w:t>
            </w:r>
            <w:r>
              <w:rPr>
                <w:rFonts w:ascii="Arial" w:hAnsi="Arial" w:eastAsia="宋体" w:cs="Arial"/>
                <w:sz w:val="16"/>
                <w:szCs w:val="16"/>
                <w:lang w:bidi="ar"/>
              </w:rPr>
              <w:t>omorbidity (ref. none)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1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.2 (0.5, 3.4)</w:t>
            </w:r>
          </w:p>
        </w:tc>
        <w:tc>
          <w:tcPr>
            <w:tcW w:w="1423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</w:pPr>
            <w:r>
              <w:rPr>
                <w:rFonts w:hint="eastAsia" w:ascii="Arial" w:hAnsi="Arial" w:eastAsia="宋体" w:cs="Arial"/>
                <w:color w:val="auto"/>
                <w:sz w:val="16"/>
                <w:szCs w:val="16"/>
                <w:lang w:bidi="ar"/>
              </w:rPr>
              <w:t>0</w:t>
            </w:r>
            <w:r>
              <w:rPr>
                <w:rFonts w:ascii="Arial" w:hAnsi="Arial" w:eastAsia="宋体" w:cs="Arial"/>
                <w:color w:val="auto"/>
                <w:sz w:val="16"/>
                <w:szCs w:val="16"/>
                <w:lang w:bidi="ar"/>
              </w:rPr>
              <w:t>.67</w:t>
            </w:r>
          </w:p>
        </w:tc>
      </w:tr>
    </w:tbl>
    <w:p>
      <w:pPr>
        <w:rPr>
          <w:rFonts w:ascii="Arial" w:hAnsi="Arial" w:eastAsia="宋体" w:cs="Arial"/>
          <w:b/>
          <w:bCs/>
          <w:sz w:val="21"/>
          <w:szCs w:val="21"/>
          <w:lang w:bidi="ar"/>
        </w:rPr>
      </w:pPr>
      <w:r>
        <w:rPr>
          <w:rFonts w:ascii="Arial" w:hAnsi="Arial" w:cs="Arial" w:eastAsiaTheme="minorEastAsia"/>
          <w:sz w:val="18"/>
          <w:szCs w:val="18"/>
        </w:rPr>
        <w:t>Abbreviations: ICC, International consensus classification; 2G-TKI, 2</w:t>
      </w:r>
      <w:r>
        <w:rPr>
          <w:rFonts w:ascii="Arial" w:hAnsi="Arial" w:cs="Arial" w:eastAsiaTheme="minorEastAsia"/>
          <w:sz w:val="18"/>
          <w:szCs w:val="18"/>
          <w:vertAlign w:val="superscript"/>
        </w:rPr>
        <w:t>nd</w:t>
      </w:r>
      <w:r>
        <w:rPr>
          <w:rFonts w:ascii="Arial" w:hAnsi="Arial" w:cs="Arial" w:eastAsiaTheme="minorEastAsia"/>
          <w:sz w:val="18"/>
          <w:szCs w:val="18"/>
        </w:rPr>
        <w:t>-generation tyrosine kinase-inhibitor (TKI); TFS, transformation-free survival; HR, hazard ratio; CP, chronic phase; AP, accelerated phase; ACA, additional clonal cytogenetic abnormality in Ph+ cells (second Ph, trisomy 8, isochromosome 17q, trisomy 19, complex karyotype, or abnormalities of 3q26.2); WBC, white blood cell.</w:t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ExZWUxYTQwMDg3NDg2ZjcxNjA2MzVkMjIxNzUwYzkifQ=="/>
  </w:docVars>
  <w:rsids>
    <w:rsidRoot w:val="00B57ADD"/>
    <w:rsid w:val="00006202"/>
    <w:rsid w:val="000140D0"/>
    <w:rsid w:val="00026C0D"/>
    <w:rsid w:val="00031D69"/>
    <w:rsid w:val="000373A9"/>
    <w:rsid w:val="00037CD5"/>
    <w:rsid w:val="00044709"/>
    <w:rsid w:val="000538B5"/>
    <w:rsid w:val="000557D1"/>
    <w:rsid w:val="00056AC3"/>
    <w:rsid w:val="000575C3"/>
    <w:rsid w:val="0006044F"/>
    <w:rsid w:val="00065293"/>
    <w:rsid w:val="00065444"/>
    <w:rsid w:val="00070568"/>
    <w:rsid w:val="00076FBA"/>
    <w:rsid w:val="0008727B"/>
    <w:rsid w:val="0008731B"/>
    <w:rsid w:val="0008740C"/>
    <w:rsid w:val="000929FA"/>
    <w:rsid w:val="000A1665"/>
    <w:rsid w:val="000A32D4"/>
    <w:rsid w:val="000A48D1"/>
    <w:rsid w:val="000B2CA5"/>
    <w:rsid w:val="000B2F5B"/>
    <w:rsid w:val="000B3EEA"/>
    <w:rsid w:val="000B768F"/>
    <w:rsid w:val="000C79E8"/>
    <w:rsid w:val="000D0882"/>
    <w:rsid w:val="000E3859"/>
    <w:rsid w:val="000E3BE5"/>
    <w:rsid w:val="000F1C6A"/>
    <w:rsid w:val="00104AA9"/>
    <w:rsid w:val="00107AC5"/>
    <w:rsid w:val="00110340"/>
    <w:rsid w:val="00113768"/>
    <w:rsid w:val="00133C9A"/>
    <w:rsid w:val="00135426"/>
    <w:rsid w:val="001451DB"/>
    <w:rsid w:val="001604E3"/>
    <w:rsid w:val="001606F4"/>
    <w:rsid w:val="00162373"/>
    <w:rsid w:val="0016472F"/>
    <w:rsid w:val="001672D5"/>
    <w:rsid w:val="00171195"/>
    <w:rsid w:val="00173FA9"/>
    <w:rsid w:val="00180320"/>
    <w:rsid w:val="0018759D"/>
    <w:rsid w:val="001A2FDE"/>
    <w:rsid w:val="001A6D40"/>
    <w:rsid w:val="001A7AC0"/>
    <w:rsid w:val="001C249C"/>
    <w:rsid w:val="001C5211"/>
    <w:rsid w:val="001D09CE"/>
    <w:rsid w:val="001E759D"/>
    <w:rsid w:val="001F054B"/>
    <w:rsid w:val="001F07AA"/>
    <w:rsid w:val="001F106A"/>
    <w:rsid w:val="001F133D"/>
    <w:rsid w:val="001F33F5"/>
    <w:rsid w:val="001F362E"/>
    <w:rsid w:val="00205283"/>
    <w:rsid w:val="00221600"/>
    <w:rsid w:val="00227451"/>
    <w:rsid w:val="0024121D"/>
    <w:rsid w:val="00242066"/>
    <w:rsid w:val="002576DA"/>
    <w:rsid w:val="002657A4"/>
    <w:rsid w:val="0026704C"/>
    <w:rsid w:val="00270B4A"/>
    <w:rsid w:val="00277EC2"/>
    <w:rsid w:val="00286AFD"/>
    <w:rsid w:val="002A07F4"/>
    <w:rsid w:val="002A4E3A"/>
    <w:rsid w:val="002B51B0"/>
    <w:rsid w:val="002B61C5"/>
    <w:rsid w:val="002E2556"/>
    <w:rsid w:val="002E2A9E"/>
    <w:rsid w:val="002E5D37"/>
    <w:rsid w:val="002E6E57"/>
    <w:rsid w:val="00306600"/>
    <w:rsid w:val="00307FA5"/>
    <w:rsid w:val="00311400"/>
    <w:rsid w:val="00323799"/>
    <w:rsid w:val="0032623A"/>
    <w:rsid w:val="00333839"/>
    <w:rsid w:val="0037615C"/>
    <w:rsid w:val="0038309D"/>
    <w:rsid w:val="00387824"/>
    <w:rsid w:val="003965EE"/>
    <w:rsid w:val="0039691C"/>
    <w:rsid w:val="003A04D3"/>
    <w:rsid w:val="003A3163"/>
    <w:rsid w:val="003B22A1"/>
    <w:rsid w:val="003B4958"/>
    <w:rsid w:val="003C2CDE"/>
    <w:rsid w:val="003D4F65"/>
    <w:rsid w:val="003E2D02"/>
    <w:rsid w:val="003F3820"/>
    <w:rsid w:val="00401AFF"/>
    <w:rsid w:val="00404547"/>
    <w:rsid w:val="00411A73"/>
    <w:rsid w:val="00446756"/>
    <w:rsid w:val="0045354C"/>
    <w:rsid w:val="00461A5D"/>
    <w:rsid w:val="004657FC"/>
    <w:rsid w:val="004707B9"/>
    <w:rsid w:val="00493E23"/>
    <w:rsid w:val="00497E79"/>
    <w:rsid w:val="004A5D61"/>
    <w:rsid w:val="004B23B8"/>
    <w:rsid w:val="004B29A7"/>
    <w:rsid w:val="004C59C1"/>
    <w:rsid w:val="004D3675"/>
    <w:rsid w:val="004E3646"/>
    <w:rsid w:val="004E3905"/>
    <w:rsid w:val="004E4651"/>
    <w:rsid w:val="004E5F0A"/>
    <w:rsid w:val="00501210"/>
    <w:rsid w:val="005125F9"/>
    <w:rsid w:val="00523DB1"/>
    <w:rsid w:val="0052556E"/>
    <w:rsid w:val="005267E7"/>
    <w:rsid w:val="0052746D"/>
    <w:rsid w:val="005277C6"/>
    <w:rsid w:val="0053243F"/>
    <w:rsid w:val="00537AD4"/>
    <w:rsid w:val="0054084A"/>
    <w:rsid w:val="005467E6"/>
    <w:rsid w:val="005519AE"/>
    <w:rsid w:val="00556DD5"/>
    <w:rsid w:val="00562BB0"/>
    <w:rsid w:val="0057169B"/>
    <w:rsid w:val="00577DD9"/>
    <w:rsid w:val="00584B20"/>
    <w:rsid w:val="00595BFE"/>
    <w:rsid w:val="005B166A"/>
    <w:rsid w:val="005B2ADC"/>
    <w:rsid w:val="005B48E1"/>
    <w:rsid w:val="005D0DF1"/>
    <w:rsid w:val="00605D71"/>
    <w:rsid w:val="0060685A"/>
    <w:rsid w:val="00610D39"/>
    <w:rsid w:val="00637EE5"/>
    <w:rsid w:val="006441D3"/>
    <w:rsid w:val="00644855"/>
    <w:rsid w:val="006459DB"/>
    <w:rsid w:val="00650CAC"/>
    <w:rsid w:val="00657A13"/>
    <w:rsid w:val="00661B10"/>
    <w:rsid w:val="0067109E"/>
    <w:rsid w:val="0069581F"/>
    <w:rsid w:val="006A1743"/>
    <w:rsid w:val="006A2295"/>
    <w:rsid w:val="006A35A2"/>
    <w:rsid w:val="006B325C"/>
    <w:rsid w:val="006C2C9A"/>
    <w:rsid w:val="006C3552"/>
    <w:rsid w:val="006C6659"/>
    <w:rsid w:val="006D21ED"/>
    <w:rsid w:val="006D7F66"/>
    <w:rsid w:val="006E210A"/>
    <w:rsid w:val="006F3707"/>
    <w:rsid w:val="0070443F"/>
    <w:rsid w:val="007178AD"/>
    <w:rsid w:val="007208E2"/>
    <w:rsid w:val="00723F71"/>
    <w:rsid w:val="00725FBE"/>
    <w:rsid w:val="00734306"/>
    <w:rsid w:val="00752600"/>
    <w:rsid w:val="00752B27"/>
    <w:rsid w:val="0075377F"/>
    <w:rsid w:val="00753F45"/>
    <w:rsid w:val="0075657E"/>
    <w:rsid w:val="00760873"/>
    <w:rsid w:val="00766948"/>
    <w:rsid w:val="00767F5C"/>
    <w:rsid w:val="00770557"/>
    <w:rsid w:val="00777D53"/>
    <w:rsid w:val="007838A4"/>
    <w:rsid w:val="007855EA"/>
    <w:rsid w:val="007B0FFC"/>
    <w:rsid w:val="007B2DCE"/>
    <w:rsid w:val="007B62B4"/>
    <w:rsid w:val="007D2523"/>
    <w:rsid w:val="007D409B"/>
    <w:rsid w:val="007E050F"/>
    <w:rsid w:val="007E1FC9"/>
    <w:rsid w:val="007E630A"/>
    <w:rsid w:val="007E7891"/>
    <w:rsid w:val="007F70E1"/>
    <w:rsid w:val="008079A5"/>
    <w:rsid w:val="00814AE6"/>
    <w:rsid w:val="00821631"/>
    <w:rsid w:val="00826C9C"/>
    <w:rsid w:val="00842057"/>
    <w:rsid w:val="0084233F"/>
    <w:rsid w:val="00851961"/>
    <w:rsid w:val="008579EA"/>
    <w:rsid w:val="00866087"/>
    <w:rsid w:val="00870D5C"/>
    <w:rsid w:val="00871E8C"/>
    <w:rsid w:val="00887202"/>
    <w:rsid w:val="00890FA1"/>
    <w:rsid w:val="0089732D"/>
    <w:rsid w:val="008A0331"/>
    <w:rsid w:val="008C117B"/>
    <w:rsid w:val="008C3D31"/>
    <w:rsid w:val="008D7982"/>
    <w:rsid w:val="008E06A4"/>
    <w:rsid w:val="008E16DE"/>
    <w:rsid w:val="008F091F"/>
    <w:rsid w:val="008F0EC8"/>
    <w:rsid w:val="009010A3"/>
    <w:rsid w:val="009057E9"/>
    <w:rsid w:val="0090678A"/>
    <w:rsid w:val="00912B67"/>
    <w:rsid w:val="00917E15"/>
    <w:rsid w:val="009206BB"/>
    <w:rsid w:val="00924FF6"/>
    <w:rsid w:val="00933BB0"/>
    <w:rsid w:val="009346CD"/>
    <w:rsid w:val="00934C5B"/>
    <w:rsid w:val="00934E1A"/>
    <w:rsid w:val="009404F5"/>
    <w:rsid w:val="00941595"/>
    <w:rsid w:val="009446F0"/>
    <w:rsid w:val="00946E34"/>
    <w:rsid w:val="009550CA"/>
    <w:rsid w:val="00956DC2"/>
    <w:rsid w:val="00962E86"/>
    <w:rsid w:val="00964BD3"/>
    <w:rsid w:val="00970BF0"/>
    <w:rsid w:val="009719F5"/>
    <w:rsid w:val="0097279F"/>
    <w:rsid w:val="0097730C"/>
    <w:rsid w:val="00984FE8"/>
    <w:rsid w:val="009A6583"/>
    <w:rsid w:val="009B51BF"/>
    <w:rsid w:val="009C31F3"/>
    <w:rsid w:val="009D0620"/>
    <w:rsid w:val="009D55D0"/>
    <w:rsid w:val="009E35C4"/>
    <w:rsid w:val="009F72B3"/>
    <w:rsid w:val="009F7768"/>
    <w:rsid w:val="00A00A75"/>
    <w:rsid w:val="00A00F54"/>
    <w:rsid w:val="00A07E31"/>
    <w:rsid w:val="00A13EC3"/>
    <w:rsid w:val="00A178CB"/>
    <w:rsid w:val="00A3173C"/>
    <w:rsid w:val="00A32AC6"/>
    <w:rsid w:val="00A34858"/>
    <w:rsid w:val="00A36AD9"/>
    <w:rsid w:val="00A4516A"/>
    <w:rsid w:val="00A612EB"/>
    <w:rsid w:val="00A643F5"/>
    <w:rsid w:val="00A85E97"/>
    <w:rsid w:val="00A93A51"/>
    <w:rsid w:val="00AA5087"/>
    <w:rsid w:val="00AA5534"/>
    <w:rsid w:val="00AB0915"/>
    <w:rsid w:val="00AC0B31"/>
    <w:rsid w:val="00AC5706"/>
    <w:rsid w:val="00AD4CE2"/>
    <w:rsid w:val="00AE2AAC"/>
    <w:rsid w:val="00AE4FA8"/>
    <w:rsid w:val="00AE5F3C"/>
    <w:rsid w:val="00AE6E7F"/>
    <w:rsid w:val="00B00651"/>
    <w:rsid w:val="00B02125"/>
    <w:rsid w:val="00B02517"/>
    <w:rsid w:val="00B035E3"/>
    <w:rsid w:val="00B06000"/>
    <w:rsid w:val="00B0797C"/>
    <w:rsid w:val="00B112B7"/>
    <w:rsid w:val="00B22271"/>
    <w:rsid w:val="00B22709"/>
    <w:rsid w:val="00B237DA"/>
    <w:rsid w:val="00B33859"/>
    <w:rsid w:val="00B36BE9"/>
    <w:rsid w:val="00B43892"/>
    <w:rsid w:val="00B446C6"/>
    <w:rsid w:val="00B45049"/>
    <w:rsid w:val="00B46B77"/>
    <w:rsid w:val="00B56E18"/>
    <w:rsid w:val="00B57ADD"/>
    <w:rsid w:val="00B6459B"/>
    <w:rsid w:val="00B743B8"/>
    <w:rsid w:val="00B7463A"/>
    <w:rsid w:val="00B869CC"/>
    <w:rsid w:val="00B96FC6"/>
    <w:rsid w:val="00BA1400"/>
    <w:rsid w:val="00BA31C5"/>
    <w:rsid w:val="00BA6DF2"/>
    <w:rsid w:val="00BB28A8"/>
    <w:rsid w:val="00BB6199"/>
    <w:rsid w:val="00BC3388"/>
    <w:rsid w:val="00BD4C1B"/>
    <w:rsid w:val="00BE1BE8"/>
    <w:rsid w:val="00BE7487"/>
    <w:rsid w:val="00C005D8"/>
    <w:rsid w:val="00C04F00"/>
    <w:rsid w:val="00C07455"/>
    <w:rsid w:val="00C1323C"/>
    <w:rsid w:val="00C157A7"/>
    <w:rsid w:val="00C15C1B"/>
    <w:rsid w:val="00C62545"/>
    <w:rsid w:val="00C73E46"/>
    <w:rsid w:val="00C756B0"/>
    <w:rsid w:val="00C82D0E"/>
    <w:rsid w:val="00C9158F"/>
    <w:rsid w:val="00C91A47"/>
    <w:rsid w:val="00C92609"/>
    <w:rsid w:val="00CA3A87"/>
    <w:rsid w:val="00CA6D86"/>
    <w:rsid w:val="00CB2937"/>
    <w:rsid w:val="00CC70E7"/>
    <w:rsid w:val="00CD48CE"/>
    <w:rsid w:val="00CD69A7"/>
    <w:rsid w:val="00CE1473"/>
    <w:rsid w:val="00CF51F6"/>
    <w:rsid w:val="00CF5ECE"/>
    <w:rsid w:val="00D1170F"/>
    <w:rsid w:val="00D12516"/>
    <w:rsid w:val="00D13F4A"/>
    <w:rsid w:val="00D21F35"/>
    <w:rsid w:val="00D313C4"/>
    <w:rsid w:val="00D31731"/>
    <w:rsid w:val="00D3557A"/>
    <w:rsid w:val="00D50C54"/>
    <w:rsid w:val="00D52EE1"/>
    <w:rsid w:val="00D56D78"/>
    <w:rsid w:val="00D70017"/>
    <w:rsid w:val="00D75902"/>
    <w:rsid w:val="00D76682"/>
    <w:rsid w:val="00D937BE"/>
    <w:rsid w:val="00DA2872"/>
    <w:rsid w:val="00DA46CE"/>
    <w:rsid w:val="00DA7DAF"/>
    <w:rsid w:val="00DB4649"/>
    <w:rsid w:val="00DB6562"/>
    <w:rsid w:val="00DD2AC0"/>
    <w:rsid w:val="00DE12E7"/>
    <w:rsid w:val="00E0566C"/>
    <w:rsid w:val="00E206EB"/>
    <w:rsid w:val="00E25522"/>
    <w:rsid w:val="00E2691A"/>
    <w:rsid w:val="00E43648"/>
    <w:rsid w:val="00E54B50"/>
    <w:rsid w:val="00E669F7"/>
    <w:rsid w:val="00E77C14"/>
    <w:rsid w:val="00E8624E"/>
    <w:rsid w:val="00EA0F20"/>
    <w:rsid w:val="00EB1539"/>
    <w:rsid w:val="00EC0294"/>
    <w:rsid w:val="00ED7199"/>
    <w:rsid w:val="00ED7284"/>
    <w:rsid w:val="00EE1B65"/>
    <w:rsid w:val="00F01E14"/>
    <w:rsid w:val="00F05CC0"/>
    <w:rsid w:val="00F07FAF"/>
    <w:rsid w:val="00F22E19"/>
    <w:rsid w:val="00F25527"/>
    <w:rsid w:val="00F35ADC"/>
    <w:rsid w:val="00F40EAF"/>
    <w:rsid w:val="00F41CAB"/>
    <w:rsid w:val="00F508E6"/>
    <w:rsid w:val="00F52F2F"/>
    <w:rsid w:val="00F57725"/>
    <w:rsid w:val="00F64843"/>
    <w:rsid w:val="00F64B59"/>
    <w:rsid w:val="00F725FF"/>
    <w:rsid w:val="00F75989"/>
    <w:rsid w:val="00F803D8"/>
    <w:rsid w:val="00F82DC9"/>
    <w:rsid w:val="00F84154"/>
    <w:rsid w:val="00F92AEC"/>
    <w:rsid w:val="00FA075C"/>
    <w:rsid w:val="00FA1FCA"/>
    <w:rsid w:val="00FB568F"/>
    <w:rsid w:val="00FB6C00"/>
    <w:rsid w:val="00FC2498"/>
    <w:rsid w:val="00FC49BB"/>
    <w:rsid w:val="00FC6C2E"/>
    <w:rsid w:val="00FD2EB5"/>
    <w:rsid w:val="00FE15A1"/>
    <w:rsid w:val="00FE5020"/>
    <w:rsid w:val="00FE58AE"/>
    <w:rsid w:val="00FF6570"/>
    <w:rsid w:val="0641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99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99"/>
    <w:pPr>
      <w:widowControl w:val="0"/>
      <w:autoSpaceDE w:val="0"/>
      <w:autoSpaceDN w:val="0"/>
      <w:adjustRightInd w:val="0"/>
    </w:pPr>
    <w:rPr>
      <w:rFonts w:ascii="MingLiU" w:hAnsi="Times New Roman" w:eastAsia="MingLiU" w:cs="MingLiU"/>
      <w:color w:val="000000"/>
      <w:kern w:val="0"/>
      <w:sz w:val="20"/>
      <w:szCs w:val="20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unhideWhenUsed/>
    <w:uiPriority w:val="99"/>
  </w:style>
  <w:style w:type="paragraph" w:styleId="3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="Times New Roman" w:eastAsia="宋体" w:cs="Times New Roman"/>
      <w:color w:val="000000" w:themeColor="text1"/>
      <w:kern w:val="2"/>
      <w:sz w:val="18"/>
      <w:szCs w:val="18"/>
      <w14:textFill>
        <w14:solidFill>
          <w14:schemeClr w14:val="tx1"/>
        </w14:solidFill>
      </w14:textFill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="Times New Roman" w:eastAsia="宋体" w:cs="Times New Roman"/>
      <w:color w:val="000000" w:themeColor="text1"/>
      <w:kern w:val="2"/>
      <w:sz w:val="18"/>
      <w:szCs w:val="18"/>
      <w14:textFill>
        <w14:solidFill>
          <w14:schemeClr w14:val="tx1"/>
        </w14:solidFill>
      </w14:textFill>
    </w:rPr>
  </w:style>
  <w:style w:type="paragraph" w:styleId="6">
    <w:name w:val="annotation subject"/>
    <w:basedOn w:val="2"/>
    <w:next w:val="2"/>
    <w:link w:val="14"/>
    <w:semiHidden/>
    <w:unhideWhenUsed/>
    <w:uiPriority w:val="99"/>
    <w:rPr>
      <w:b/>
      <w:bCs/>
    </w:rPr>
  </w:style>
  <w:style w:type="table" w:styleId="8">
    <w:name w:val="Table Grid"/>
    <w:basedOn w:val="7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uiPriority w:val="99"/>
    <w:rPr>
      <w:sz w:val="16"/>
      <w:szCs w:val="16"/>
    </w:rPr>
  </w:style>
  <w:style w:type="character" w:customStyle="1" w:styleId="11">
    <w:name w:val="页眉 字符"/>
    <w:basedOn w:val="9"/>
    <w:link w:val="5"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uiPriority w:val="99"/>
    <w:rPr>
      <w:sz w:val="18"/>
      <w:szCs w:val="18"/>
    </w:rPr>
  </w:style>
  <w:style w:type="character" w:customStyle="1" w:styleId="13">
    <w:name w:val="批注文字 字符"/>
    <w:basedOn w:val="9"/>
    <w:link w:val="2"/>
    <w:uiPriority w:val="99"/>
    <w:rPr>
      <w:rFonts w:ascii="MingLiU" w:eastAsia="MingLiU" w:cs="MingLiU"/>
      <w:color w:val="000000"/>
      <w:kern w:val="0"/>
      <w:sz w:val="20"/>
      <w:szCs w:val="20"/>
    </w:rPr>
  </w:style>
  <w:style w:type="character" w:customStyle="1" w:styleId="14">
    <w:name w:val="批注主题 字符"/>
    <w:basedOn w:val="13"/>
    <w:link w:val="6"/>
    <w:semiHidden/>
    <w:uiPriority w:val="99"/>
    <w:rPr>
      <w:rFonts w:ascii="MingLiU" w:eastAsia="MingLiU" w:cs="MingLiU"/>
      <w:b/>
      <w:bCs/>
      <w:color w:val="000000"/>
      <w:kern w:val="0"/>
      <w:sz w:val="20"/>
      <w:szCs w:val="20"/>
    </w:rPr>
  </w:style>
  <w:style w:type="character" w:customStyle="1" w:styleId="15">
    <w:name w:val="批注框文本 字符"/>
    <w:basedOn w:val="9"/>
    <w:link w:val="3"/>
    <w:semiHidden/>
    <w:uiPriority w:val="99"/>
    <w:rPr>
      <w:rFonts w:ascii="MingLiU" w:eastAsia="MingLiU" w:cs="MingLiU"/>
      <w:color w:val="000000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9A9FE-61C9-4629-9D45-6DB2778571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1937</Words>
  <Characters>9422</Characters>
  <Lines>85</Lines>
  <Paragraphs>24</Paragraphs>
  <TotalTime>130</TotalTime>
  <ScaleCrop>false</ScaleCrop>
  <LinksUpToDate>false</LinksUpToDate>
  <CharactersWithSpaces>10723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2024-05-22T21:22:00Z</dcterms:created>
  <dc:creator>张 梦雨</dc:creator>
  <cp:lastModifiedBy>杨森</cp:lastModifiedBy>
  <dcterms:modified xsi:type="dcterms:W3CDTF">2024-06-09T14:10:15Z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5482BF3472DC486BACA378FCE48EFAA2_12</vt:lpwstr>
  </property>
</Properties>
</file>