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172585"/>
            <wp:effectExtent l="0" t="0" r="6985" b="8890"/>
            <wp:docPr id="1" name="图片 1" descr="Supplement Fig.1. Directed acyclic grap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 Fig.1. Directed acyclic graph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Supplement Fig.1. Directed acyclic graphs.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BMI: body mass index; IPR: </w:t>
      </w:r>
      <w:r>
        <w:rPr>
          <w:rFonts w:ascii="Times New Roman" w:hAnsi="Times New Roman" w:cs="Times New Roman"/>
          <w:sz w:val="18"/>
          <w:szCs w:val="18"/>
        </w:rPr>
        <w:t>income-to-poverty ratio</w:t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4544695" cy="2915285"/>
            <wp:effectExtent l="0" t="0" r="8255" b="8890"/>
            <wp:docPr id="2" name="图片 2" descr="Supplement Fig.2. Further health benefits of tea consum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 Fig.2. Further health benefits of tea consumptio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18"/>
          <w:szCs w:val="18"/>
          <w:lang w:val="en-US" w:eastAsia="zh-CN"/>
        </w:rPr>
        <w:t>Supplement Fig.2. Further health benefits of tea consumption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 EGCG: epigallocatechin gallate; ECG: (-)-epicatechin gallate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YjYyODYyNWIxZTczYjQ0MzVjZmJmMzkyMDg4YTgifQ=="/>
  </w:docVars>
  <w:rsids>
    <w:rsidRoot w:val="00000000"/>
    <w:rsid w:val="22E7519F"/>
    <w:rsid w:val="50AB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2024-06-10T11:29:00Z</dcterms:created>
  <dc:creator>10403</dc:creator>
  <cp:lastModifiedBy>逸致</cp:lastModifiedBy>
  <dcterms:modified xsi:type="dcterms:W3CDTF">2024-06-10T11:59:44Z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987C6C28B4924A67AE69D307758E1AC8_12</vt:lpwstr>
  </property>
</Properties>
</file>