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1CA21" w14:textId="77777777" w:rsidR="001D5696" w:rsidRPr="004978EB" w:rsidRDefault="001D5696" w:rsidP="008A0344">
      <w:pPr>
        <w:jc w:val="center"/>
        <w:rPr>
          <w:rFonts w:cstheme="minorHAnsi"/>
          <w:b/>
          <w:bCs/>
          <w:sz w:val="24"/>
          <w:szCs w:val="24"/>
          <w:lang w:val="en-GB"/>
        </w:rPr>
      </w:pPr>
      <w:bookmarkStart w:id="0" w:name="_Hlk150851390"/>
      <w:bookmarkEnd w:id="0"/>
      <w:r w:rsidRPr="004978EB">
        <w:rPr>
          <w:rFonts w:cstheme="minorHAnsi"/>
          <w:b/>
          <w:bCs/>
          <w:sz w:val="24"/>
          <w:szCs w:val="24"/>
          <w:lang w:val="en-GB"/>
        </w:rPr>
        <w:t>Long-term precursors to large explosive eruptions of Vesuvius: evidence from the opening phase of the Avellino Plinian eruption</w:t>
      </w:r>
    </w:p>
    <w:p w14:paraId="621EA311" w14:textId="467BB211" w:rsidR="001D5696" w:rsidRPr="008A0344" w:rsidRDefault="00573F66" w:rsidP="004A35CD">
      <w:pPr>
        <w:jc w:val="center"/>
        <w:rPr>
          <w:rFonts w:cstheme="minorHAnsi"/>
          <w:sz w:val="20"/>
          <w:szCs w:val="20"/>
        </w:rPr>
      </w:pPr>
      <w:r w:rsidRPr="00573F66">
        <w:rPr>
          <w:rFonts w:cstheme="minorHAnsi"/>
          <w:sz w:val="20"/>
          <w:szCs w:val="20"/>
        </w:rPr>
        <w:t>A.</w:t>
      </w:r>
      <w:r>
        <w:rPr>
          <w:rFonts w:cstheme="minorHAnsi"/>
          <w:sz w:val="20"/>
          <w:szCs w:val="20"/>
        </w:rPr>
        <w:t xml:space="preserve"> </w:t>
      </w:r>
      <w:r w:rsidR="001D5696" w:rsidRPr="00573F66">
        <w:rPr>
          <w:rFonts w:cstheme="minorHAnsi"/>
          <w:sz w:val="20"/>
          <w:szCs w:val="20"/>
        </w:rPr>
        <w:t>Falasconi</w:t>
      </w:r>
      <w:r w:rsidR="004D608C" w:rsidRPr="00573F66">
        <w:rPr>
          <w:rFonts w:cstheme="minorHAnsi"/>
          <w:sz w:val="20"/>
          <w:szCs w:val="20"/>
        </w:rPr>
        <w:t>, C.M.</w:t>
      </w:r>
      <w:r w:rsidR="001D5696" w:rsidRPr="00573F66">
        <w:rPr>
          <w:rFonts w:cstheme="minorHAnsi"/>
          <w:sz w:val="20"/>
          <w:szCs w:val="20"/>
        </w:rPr>
        <w:t xml:space="preserve"> </w:t>
      </w:r>
      <w:r w:rsidR="004D608C" w:rsidRPr="00573F66">
        <w:rPr>
          <w:rFonts w:cstheme="minorHAnsi"/>
          <w:sz w:val="20"/>
          <w:szCs w:val="20"/>
        </w:rPr>
        <w:t xml:space="preserve">Petrone, R. </w:t>
      </w:r>
      <w:r w:rsidR="001D5696" w:rsidRPr="00573F66">
        <w:rPr>
          <w:rFonts w:cstheme="minorHAnsi"/>
          <w:sz w:val="20"/>
          <w:szCs w:val="20"/>
        </w:rPr>
        <w:t>Sulpizio</w:t>
      </w:r>
      <w:r w:rsidR="004D608C" w:rsidRPr="00573F66">
        <w:rPr>
          <w:rFonts w:cstheme="minorHAnsi"/>
          <w:sz w:val="20"/>
          <w:szCs w:val="20"/>
        </w:rPr>
        <w:t>, R. Cioni</w:t>
      </w:r>
    </w:p>
    <w:p w14:paraId="54DB15FF" w14:textId="6AE74CD7" w:rsidR="004E4ABF" w:rsidRDefault="00645646" w:rsidP="008A0344">
      <w:pPr>
        <w:jc w:val="center"/>
        <w:rPr>
          <w:rFonts w:cstheme="minorHAnsi"/>
          <w:b/>
          <w:bCs/>
          <w:sz w:val="24"/>
          <w:szCs w:val="24"/>
          <w:lang w:val="en-GB"/>
        </w:rPr>
      </w:pPr>
      <w:r w:rsidRPr="004978EB">
        <w:rPr>
          <w:rFonts w:cstheme="minorHAnsi"/>
          <w:b/>
          <w:bCs/>
          <w:sz w:val="24"/>
          <w:szCs w:val="24"/>
          <w:lang w:val="en-GB"/>
        </w:rPr>
        <w:t>Supplementary Material</w:t>
      </w:r>
    </w:p>
    <w:p w14:paraId="220E576B" w14:textId="126B07A0" w:rsidR="004E4ABF" w:rsidRDefault="004E4ABF" w:rsidP="004A35CD">
      <w:pPr>
        <w:pStyle w:val="ListParagraph"/>
        <w:numPr>
          <w:ilvl w:val="0"/>
          <w:numId w:val="8"/>
        </w:numPr>
        <w:rPr>
          <w:rFonts w:cstheme="minorHAnsi"/>
          <w:sz w:val="20"/>
          <w:szCs w:val="20"/>
          <w:lang w:val="en-GB"/>
        </w:rPr>
      </w:pPr>
      <w:r w:rsidRPr="004E4ABF">
        <w:rPr>
          <w:rFonts w:cstheme="minorHAnsi"/>
          <w:sz w:val="20"/>
          <w:szCs w:val="20"/>
          <w:lang w:val="en-GB"/>
        </w:rPr>
        <w:t xml:space="preserve">Text: </w:t>
      </w:r>
      <w:r w:rsidR="006A7205">
        <w:rPr>
          <w:rFonts w:cstheme="minorHAnsi"/>
          <w:sz w:val="20"/>
          <w:szCs w:val="20"/>
          <w:lang w:val="en-GB"/>
        </w:rPr>
        <w:t>S</w:t>
      </w:r>
      <w:r w:rsidR="00D57E33">
        <w:rPr>
          <w:rFonts w:cstheme="minorHAnsi"/>
          <w:sz w:val="20"/>
          <w:szCs w:val="20"/>
          <w:lang w:val="en-GB"/>
        </w:rPr>
        <w:t>1</w:t>
      </w:r>
      <w:r w:rsidR="006A7205">
        <w:rPr>
          <w:rFonts w:cstheme="minorHAnsi"/>
          <w:sz w:val="20"/>
          <w:szCs w:val="20"/>
          <w:lang w:val="en-GB"/>
        </w:rPr>
        <w:t xml:space="preserve">. </w:t>
      </w:r>
      <w:r w:rsidR="00656D40">
        <w:rPr>
          <w:rFonts w:cstheme="minorHAnsi"/>
          <w:sz w:val="20"/>
          <w:szCs w:val="20"/>
          <w:lang w:val="en-GB"/>
        </w:rPr>
        <w:t>Methods for p</w:t>
      </w:r>
      <w:r w:rsidRPr="004E4ABF">
        <w:rPr>
          <w:rFonts w:cstheme="minorHAnsi"/>
          <w:sz w:val="20"/>
          <w:szCs w:val="20"/>
          <w:lang w:val="en-GB"/>
        </w:rPr>
        <w:t>re-eruptive temperature and pressure estimation</w:t>
      </w:r>
      <w:r w:rsidR="006A7205">
        <w:rPr>
          <w:rFonts w:cstheme="minorHAnsi"/>
          <w:sz w:val="20"/>
          <w:szCs w:val="20"/>
          <w:lang w:val="en-GB"/>
        </w:rPr>
        <w:t>; S</w:t>
      </w:r>
      <w:r w:rsidR="00D57E33">
        <w:rPr>
          <w:rFonts w:cstheme="minorHAnsi"/>
          <w:sz w:val="20"/>
          <w:szCs w:val="20"/>
          <w:lang w:val="en-GB"/>
        </w:rPr>
        <w:t>2</w:t>
      </w:r>
      <w:r w:rsidR="006A7205">
        <w:rPr>
          <w:rFonts w:cstheme="minorHAnsi"/>
          <w:sz w:val="20"/>
          <w:szCs w:val="20"/>
          <w:lang w:val="en-GB"/>
        </w:rPr>
        <w:t xml:space="preserve">. </w:t>
      </w:r>
      <w:proofErr w:type="spellStart"/>
      <w:r w:rsidRPr="004E4ABF">
        <w:rPr>
          <w:rFonts w:cstheme="minorHAnsi"/>
          <w:sz w:val="20"/>
          <w:szCs w:val="20"/>
          <w:lang w:val="en-GB"/>
        </w:rPr>
        <w:t>Nidis</w:t>
      </w:r>
      <w:proofErr w:type="spellEnd"/>
      <w:r w:rsidRPr="004E4ABF">
        <w:rPr>
          <w:rFonts w:cstheme="minorHAnsi"/>
          <w:sz w:val="20"/>
          <w:szCs w:val="20"/>
          <w:lang w:val="en-GB"/>
        </w:rPr>
        <w:t xml:space="preserve"> Model and application</w:t>
      </w:r>
      <w:r w:rsidR="00BC6D86">
        <w:rPr>
          <w:rFonts w:cstheme="minorHAnsi"/>
          <w:sz w:val="20"/>
          <w:szCs w:val="20"/>
          <w:lang w:val="en-GB"/>
        </w:rPr>
        <w:t>.</w:t>
      </w:r>
    </w:p>
    <w:p w14:paraId="19CE319F" w14:textId="4C87FD5B" w:rsidR="00656D40" w:rsidRPr="004E4ABF" w:rsidRDefault="00656D40" w:rsidP="004A35CD">
      <w:pPr>
        <w:pStyle w:val="ListParagraph"/>
        <w:numPr>
          <w:ilvl w:val="0"/>
          <w:numId w:val="8"/>
        </w:numPr>
        <w:rPr>
          <w:rFonts w:cstheme="minorHAnsi"/>
          <w:sz w:val="20"/>
          <w:szCs w:val="20"/>
          <w:lang w:val="en-GB"/>
        </w:rPr>
      </w:pPr>
      <w:r w:rsidRPr="004E4ABF">
        <w:rPr>
          <w:rFonts w:cstheme="minorHAnsi"/>
          <w:sz w:val="20"/>
          <w:szCs w:val="20"/>
          <w:lang w:val="en-GB"/>
        </w:rPr>
        <w:t>Figure</w:t>
      </w:r>
      <w:r w:rsidR="001C3D49">
        <w:rPr>
          <w:rFonts w:cstheme="minorHAnsi"/>
          <w:sz w:val="20"/>
          <w:szCs w:val="20"/>
          <w:lang w:val="en-GB"/>
        </w:rPr>
        <w:t xml:space="preserve"> S1</w:t>
      </w:r>
    </w:p>
    <w:p w14:paraId="76A04119" w14:textId="5129D1D8" w:rsidR="00245F38" w:rsidRPr="000D0B61" w:rsidRDefault="00F61441" w:rsidP="004A35CD">
      <w:pPr>
        <w:pStyle w:val="ListParagraph"/>
        <w:numPr>
          <w:ilvl w:val="0"/>
          <w:numId w:val="8"/>
        </w:numPr>
        <w:rPr>
          <w:rFonts w:cstheme="minorHAnsi"/>
          <w:sz w:val="20"/>
          <w:szCs w:val="20"/>
          <w:lang w:val="en-GB"/>
        </w:rPr>
      </w:pPr>
      <w:r>
        <w:rPr>
          <w:rFonts w:cstheme="minorHAnsi"/>
          <w:sz w:val="20"/>
          <w:szCs w:val="20"/>
          <w:lang w:val="en-GB"/>
        </w:rPr>
        <w:t>Tables S1 to S</w:t>
      </w:r>
      <w:r w:rsidR="007E66BC">
        <w:rPr>
          <w:rFonts w:cstheme="minorHAnsi"/>
          <w:sz w:val="20"/>
          <w:szCs w:val="20"/>
          <w:lang w:val="en-GB"/>
        </w:rPr>
        <w:t>17</w:t>
      </w:r>
    </w:p>
    <w:p w14:paraId="77B97BA1" w14:textId="77777777" w:rsidR="003F4EF5" w:rsidRPr="004978EB" w:rsidRDefault="003F4EF5">
      <w:pPr>
        <w:rPr>
          <w:rFonts w:cstheme="minorHAnsi"/>
          <w:b/>
          <w:bCs/>
          <w:sz w:val="20"/>
          <w:szCs w:val="20"/>
          <w:lang w:val="en-GB"/>
        </w:rPr>
      </w:pPr>
    </w:p>
    <w:p w14:paraId="0087A184" w14:textId="5479B56D" w:rsidR="001229B7" w:rsidRPr="00BC6D86" w:rsidRDefault="00BC6D86" w:rsidP="00BC6D86">
      <w:pPr>
        <w:spacing w:line="276" w:lineRule="auto"/>
        <w:rPr>
          <w:rFonts w:cstheme="minorHAnsi"/>
          <w:b/>
          <w:bCs/>
          <w:sz w:val="20"/>
          <w:szCs w:val="20"/>
          <w:lang w:val="en-GB"/>
        </w:rPr>
      </w:pPr>
      <w:r>
        <w:rPr>
          <w:rFonts w:cstheme="minorHAnsi"/>
          <w:b/>
          <w:bCs/>
          <w:sz w:val="20"/>
          <w:szCs w:val="20"/>
          <w:lang w:val="en-GB"/>
        </w:rPr>
        <w:t>S</w:t>
      </w:r>
      <w:r w:rsidR="00D57E33">
        <w:rPr>
          <w:rFonts w:cstheme="minorHAnsi"/>
          <w:b/>
          <w:bCs/>
          <w:sz w:val="20"/>
          <w:szCs w:val="20"/>
          <w:lang w:val="en-GB"/>
        </w:rPr>
        <w:t>1</w:t>
      </w:r>
      <w:r>
        <w:rPr>
          <w:rFonts w:cstheme="minorHAnsi"/>
          <w:b/>
          <w:bCs/>
          <w:sz w:val="20"/>
          <w:szCs w:val="20"/>
          <w:lang w:val="en-GB"/>
        </w:rPr>
        <w:t xml:space="preserve">. </w:t>
      </w:r>
      <w:r w:rsidR="00AD2054" w:rsidRPr="00BC6D86">
        <w:rPr>
          <w:rFonts w:cstheme="minorHAnsi"/>
          <w:b/>
          <w:bCs/>
          <w:sz w:val="20"/>
          <w:szCs w:val="20"/>
          <w:lang w:val="en-GB"/>
        </w:rPr>
        <w:t>Methods for p</w:t>
      </w:r>
      <w:r w:rsidR="001229B7" w:rsidRPr="00BC6D86">
        <w:rPr>
          <w:rFonts w:cstheme="minorHAnsi"/>
          <w:b/>
          <w:bCs/>
          <w:sz w:val="20"/>
          <w:szCs w:val="20"/>
          <w:lang w:val="en-GB"/>
        </w:rPr>
        <w:t>re-eruptive temperature and pressure estimation</w:t>
      </w:r>
    </w:p>
    <w:p w14:paraId="6E4BFAF9" w14:textId="24005DEA" w:rsidR="001229B7" w:rsidRPr="004978EB" w:rsidRDefault="001229B7" w:rsidP="001229B7">
      <w:pPr>
        <w:spacing w:after="0" w:line="276" w:lineRule="auto"/>
        <w:jc w:val="both"/>
        <w:rPr>
          <w:rFonts w:cstheme="minorHAnsi"/>
          <w:sz w:val="20"/>
          <w:szCs w:val="20"/>
          <w:lang w:val="en-GB"/>
        </w:rPr>
      </w:pPr>
      <w:r w:rsidRPr="004978EB">
        <w:rPr>
          <w:rFonts w:cstheme="minorHAnsi"/>
          <w:sz w:val="20"/>
          <w:szCs w:val="20"/>
          <w:lang w:val="en-GB"/>
        </w:rPr>
        <w:t xml:space="preserve">A fundamental instrument to constraint pre-eruptive physical parameters is the application of </w:t>
      </w:r>
      <w:proofErr w:type="spellStart"/>
      <w:r w:rsidRPr="004978EB">
        <w:rPr>
          <w:rFonts w:cstheme="minorHAnsi"/>
          <w:sz w:val="20"/>
          <w:szCs w:val="20"/>
          <w:lang w:val="en-GB"/>
        </w:rPr>
        <w:t>geothermobarometry</w:t>
      </w:r>
      <w:proofErr w:type="spellEnd"/>
      <w:r w:rsidRPr="004978EB">
        <w:rPr>
          <w:rFonts w:cstheme="minorHAnsi"/>
          <w:sz w:val="20"/>
          <w:szCs w:val="20"/>
          <w:lang w:val="en-GB"/>
        </w:rPr>
        <w:t>. This term refers to mathematical models that are used to estimate pressures and temperatures conditions of volcanic processes (</w:t>
      </w:r>
      <w:r w:rsidR="00101D30">
        <w:rPr>
          <w:rFonts w:cstheme="minorHAnsi"/>
          <w:sz w:val="20"/>
          <w:szCs w:val="20"/>
          <w:lang w:val="en-GB"/>
        </w:rPr>
        <w:t xml:space="preserve">e.g., </w:t>
      </w:r>
      <w:proofErr w:type="spellStart"/>
      <w:r w:rsidRPr="004978EB">
        <w:rPr>
          <w:rFonts w:cstheme="minorHAnsi"/>
          <w:sz w:val="20"/>
          <w:szCs w:val="20"/>
          <w:lang w:val="en-GB"/>
        </w:rPr>
        <w:t>Putirka</w:t>
      </w:r>
      <w:proofErr w:type="spellEnd"/>
      <w:r w:rsidRPr="004978EB">
        <w:rPr>
          <w:rFonts w:cstheme="minorHAnsi"/>
          <w:sz w:val="20"/>
          <w:szCs w:val="20"/>
          <w:lang w:val="en-GB"/>
        </w:rPr>
        <w:t>, 2008;</w:t>
      </w:r>
      <w:r w:rsidR="00101D30">
        <w:rPr>
          <w:rFonts w:cstheme="minorHAnsi"/>
          <w:sz w:val="20"/>
          <w:szCs w:val="20"/>
          <w:lang w:val="en-GB"/>
        </w:rPr>
        <w:t xml:space="preserve"> Blundy and Cashman, 2008</w:t>
      </w:r>
      <w:r w:rsidR="008F6A54">
        <w:rPr>
          <w:rFonts w:cstheme="minorHAnsi"/>
          <w:sz w:val="20"/>
          <w:szCs w:val="20"/>
          <w:lang w:val="en-GB"/>
        </w:rPr>
        <w:t xml:space="preserve">; Neave and </w:t>
      </w:r>
      <w:proofErr w:type="spellStart"/>
      <w:r w:rsidR="008F6A54">
        <w:rPr>
          <w:rFonts w:cstheme="minorHAnsi"/>
          <w:sz w:val="20"/>
          <w:szCs w:val="20"/>
          <w:lang w:val="en-GB"/>
        </w:rPr>
        <w:t>Putirka</w:t>
      </w:r>
      <w:proofErr w:type="spellEnd"/>
      <w:r w:rsidR="008F6A54">
        <w:rPr>
          <w:rFonts w:cstheme="minorHAnsi"/>
          <w:sz w:val="20"/>
          <w:szCs w:val="20"/>
          <w:lang w:val="en-GB"/>
        </w:rPr>
        <w:t>, 2017)</w:t>
      </w:r>
      <w:r w:rsidRPr="004978EB">
        <w:rPr>
          <w:rFonts w:cstheme="minorHAnsi"/>
          <w:sz w:val="20"/>
          <w:szCs w:val="20"/>
          <w:lang w:val="en-GB"/>
        </w:rPr>
        <w:t>. Both geothermometers and geobarometers employments involve exchange reactions between two components in coexisting mineral-mineral or mineral-melt pairs, or net transfer reactions in which one or more phases is consumed or produced (Blundy and Cashman</w:t>
      </w:r>
      <w:r w:rsidR="008F6A54">
        <w:rPr>
          <w:rFonts w:cstheme="minorHAnsi"/>
          <w:sz w:val="20"/>
          <w:szCs w:val="20"/>
          <w:lang w:val="en-GB"/>
        </w:rPr>
        <w:t>, 2008</w:t>
      </w:r>
      <w:r w:rsidRPr="004978EB">
        <w:rPr>
          <w:rFonts w:cstheme="minorHAnsi"/>
          <w:sz w:val="20"/>
          <w:szCs w:val="20"/>
          <w:lang w:val="en-GB"/>
        </w:rPr>
        <w:t xml:space="preserve">). </w:t>
      </w:r>
    </w:p>
    <w:p w14:paraId="2B4FED10" w14:textId="158F7C01" w:rsidR="001229B7" w:rsidRPr="004978EB" w:rsidRDefault="001229B7" w:rsidP="001D38E8">
      <w:pPr>
        <w:spacing w:after="0" w:line="276" w:lineRule="auto"/>
        <w:jc w:val="both"/>
        <w:rPr>
          <w:rFonts w:cstheme="minorHAnsi"/>
          <w:sz w:val="20"/>
          <w:szCs w:val="20"/>
          <w:lang w:val="en-GB"/>
        </w:rPr>
      </w:pPr>
      <w:r w:rsidRPr="004978EB">
        <w:rPr>
          <w:rFonts w:cstheme="minorHAnsi"/>
          <w:sz w:val="20"/>
          <w:szCs w:val="20"/>
          <w:lang w:val="en-GB"/>
        </w:rPr>
        <w:t>Given the occurrence of different mineral phases (e.g., plagioclase, sanidine, clinopyroxene</w:t>
      </w:r>
      <w:r w:rsidR="001D38E8">
        <w:rPr>
          <w:rFonts w:cstheme="minorHAnsi"/>
          <w:sz w:val="20"/>
          <w:szCs w:val="20"/>
          <w:lang w:val="en-GB"/>
        </w:rPr>
        <w:t>, amphibole</w:t>
      </w:r>
      <w:r w:rsidRPr="004978EB">
        <w:rPr>
          <w:rFonts w:cstheme="minorHAnsi"/>
          <w:sz w:val="20"/>
          <w:szCs w:val="20"/>
          <w:lang w:val="en-GB"/>
        </w:rPr>
        <w:t xml:space="preserve">) </w:t>
      </w:r>
      <w:r w:rsidR="001D38E8">
        <w:rPr>
          <w:rFonts w:cstheme="minorHAnsi"/>
          <w:sz w:val="20"/>
          <w:szCs w:val="20"/>
          <w:lang w:val="en-GB"/>
        </w:rPr>
        <w:t xml:space="preserve">in the selected clasts </w:t>
      </w:r>
      <w:r w:rsidRPr="004978EB">
        <w:rPr>
          <w:rFonts w:cstheme="minorHAnsi"/>
          <w:sz w:val="20"/>
          <w:szCs w:val="20"/>
          <w:lang w:val="en-GB"/>
        </w:rPr>
        <w:t>of the opening phase of the Avellino eruption, several thermobarometers</w:t>
      </w:r>
      <w:r w:rsidR="001D38E8">
        <w:rPr>
          <w:rFonts w:cstheme="minorHAnsi"/>
          <w:sz w:val="20"/>
          <w:szCs w:val="20"/>
          <w:lang w:val="en-GB"/>
        </w:rPr>
        <w:t xml:space="preserve"> </w:t>
      </w:r>
      <w:r w:rsidRPr="004978EB">
        <w:rPr>
          <w:rFonts w:cstheme="minorHAnsi"/>
          <w:sz w:val="20"/>
          <w:szCs w:val="20"/>
          <w:lang w:val="en-GB"/>
        </w:rPr>
        <w:t>mainly based on phase equilibria between clinopyroxene and liquid, between coexisting feldspars, and between amphibole-plagioclase have been applied to calculate pre-eruptive magma temperatures and pressures</w:t>
      </w:r>
      <w:r w:rsidR="001D38E8">
        <w:rPr>
          <w:rFonts w:cstheme="minorHAnsi"/>
          <w:sz w:val="20"/>
          <w:szCs w:val="20"/>
          <w:lang w:val="en-GB"/>
        </w:rPr>
        <w:t xml:space="preserve"> (procedures, equilibrium conditions and restrictions of use are reported below)</w:t>
      </w:r>
      <w:r w:rsidRPr="004978EB">
        <w:rPr>
          <w:rFonts w:cstheme="minorHAnsi"/>
          <w:sz w:val="20"/>
          <w:szCs w:val="20"/>
          <w:lang w:val="en-GB"/>
        </w:rPr>
        <w:t xml:space="preserve">. </w:t>
      </w:r>
      <w:bookmarkStart w:id="1" w:name="_Hlk121225341"/>
      <w:r w:rsidR="001D38E8" w:rsidRPr="001D38E8">
        <w:rPr>
          <w:rFonts w:cstheme="minorHAnsi"/>
          <w:sz w:val="20"/>
          <w:szCs w:val="20"/>
          <w:lang w:val="en-GB"/>
        </w:rPr>
        <w:t xml:space="preserve">It is worth noting that many mineral-based barometers exhibit large systematic model errors when calibrated; for example, the clinopyroxene-liquid barometers of </w:t>
      </w:r>
      <w:proofErr w:type="spellStart"/>
      <w:r w:rsidR="001D38E8" w:rsidRPr="001D38E8">
        <w:rPr>
          <w:rFonts w:cstheme="minorHAnsi"/>
          <w:sz w:val="20"/>
          <w:szCs w:val="20"/>
          <w:lang w:val="en-GB"/>
        </w:rPr>
        <w:t>Putirka</w:t>
      </w:r>
      <w:proofErr w:type="spellEnd"/>
      <w:r w:rsidR="001D38E8" w:rsidRPr="001D38E8">
        <w:rPr>
          <w:rFonts w:cstheme="minorHAnsi"/>
          <w:sz w:val="20"/>
          <w:szCs w:val="20"/>
          <w:lang w:val="en-GB"/>
        </w:rPr>
        <w:t xml:space="preserve">, 2008 have a standard errors of estimate (SEE) of ±2.6 kbar (equation 29a), and ±2.8 kbar (equation 39). This could affect the precision and validity for barometer applications (e.g., </w:t>
      </w:r>
      <w:proofErr w:type="spellStart"/>
      <w:r w:rsidR="001D38E8" w:rsidRPr="001D38E8">
        <w:rPr>
          <w:rFonts w:cstheme="minorHAnsi"/>
          <w:sz w:val="20"/>
          <w:szCs w:val="20"/>
          <w:lang w:val="en-GB"/>
        </w:rPr>
        <w:t>Putirka</w:t>
      </w:r>
      <w:proofErr w:type="spellEnd"/>
      <w:r w:rsidR="001D38E8" w:rsidRPr="001D38E8">
        <w:rPr>
          <w:rFonts w:cstheme="minorHAnsi"/>
          <w:sz w:val="20"/>
          <w:szCs w:val="20"/>
          <w:lang w:val="en-GB"/>
        </w:rPr>
        <w:t xml:space="preserve"> et al., 1996; </w:t>
      </w:r>
      <w:proofErr w:type="spellStart"/>
      <w:r w:rsidR="001D38E8" w:rsidRPr="001D38E8">
        <w:rPr>
          <w:rFonts w:cstheme="minorHAnsi"/>
          <w:sz w:val="20"/>
          <w:szCs w:val="20"/>
          <w:lang w:val="en-GB"/>
        </w:rPr>
        <w:t>Putirka</w:t>
      </w:r>
      <w:proofErr w:type="spellEnd"/>
      <w:r w:rsidR="001D38E8" w:rsidRPr="001D38E8">
        <w:rPr>
          <w:rFonts w:cstheme="minorHAnsi"/>
          <w:sz w:val="20"/>
          <w:szCs w:val="20"/>
          <w:lang w:val="en-GB"/>
        </w:rPr>
        <w:t>, 2008; Erdmann et al., 2014; Neave et al., 2013; Tommasini et al., 2022).</w:t>
      </w:r>
    </w:p>
    <w:p w14:paraId="7B12D621" w14:textId="77777777" w:rsidR="001D38E8" w:rsidRDefault="001D38E8" w:rsidP="001229B7">
      <w:pPr>
        <w:jc w:val="both"/>
        <w:rPr>
          <w:rFonts w:cstheme="minorHAnsi"/>
          <w:i/>
          <w:iCs/>
          <w:sz w:val="20"/>
          <w:szCs w:val="20"/>
          <w:lang w:val="en-GB"/>
        </w:rPr>
      </w:pPr>
    </w:p>
    <w:p w14:paraId="09C99016" w14:textId="713FA6FF" w:rsidR="001229B7" w:rsidRPr="00656D40" w:rsidRDefault="001229B7" w:rsidP="001229B7">
      <w:pPr>
        <w:jc w:val="both"/>
        <w:rPr>
          <w:rFonts w:cstheme="minorHAnsi"/>
          <w:i/>
          <w:iCs/>
          <w:sz w:val="20"/>
          <w:szCs w:val="20"/>
          <w:u w:val="single"/>
        </w:rPr>
      </w:pPr>
      <w:proofErr w:type="spellStart"/>
      <w:r w:rsidRPr="00656D40">
        <w:rPr>
          <w:rFonts w:cstheme="minorHAnsi"/>
          <w:i/>
          <w:iCs/>
          <w:sz w:val="20"/>
          <w:szCs w:val="20"/>
          <w:u w:val="single"/>
        </w:rPr>
        <w:t>Clinopyroxene-liquid</w:t>
      </w:r>
      <w:proofErr w:type="spellEnd"/>
      <w:r w:rsidRPr="00656D40">
        <w:rPr>
          <w:rFonts w:cstheme="minorHAnsi"/>
          <w:i/>
          <w:iCs/>
          <w:sz w:val="20"/>
          <w:szCs w:val="20"/>
          <w:u w:val="single"/>
        </w:rPr>
        <w:t xml:space="preserve"> </w:t>
      </w:r>
      <w:proofErr w:type="spellStart"/>
      <w:r w:rsidRPr="00656D40">
        <w:rPr>
          <w:rFonts w:cstheme="minorHAnsi"/>
          <w:i/>
          <w:iCs/>
          <w:sz w:val="20"/>
          <w:szCs w:val="20"/>
          <w:u w:val="single"/>
        </w:rPr>
        <w:t>thermobarometer</w:t>
      </w:r>
      <w:proofErr w:type="spellEnd"/>
      <w:r w:rsidR="00BB1883" w:rsidRPr="00656D40">
        <w:rPr>
          <w:rFonts w:cstheme="minorHAnsi"/>
          <w:i/>
          <w:iCs/>
          <w:sz w:val="20"/>
          <w:szCs w:val="20"/>
          <w:u w:val="single"/>
        </w:rPr>
        <w:t xml:space="preserve"> (Masotta et al., 2013)</w:t>
      </w:r>
    </w:p>
    <w:p w14:paraId="3D0D0F45" w14:textId="4929720B" w:rsidR="001229B7" w:rsidRPr="004978EB" w:rsidRDefault="001229B7" w:rsidP="001229B7">
      <w:pPr>
        <w:jc w:val="both"/>
        <w:rPr>
          <w:rFonts w:cstheme="minorHAnsi"/>
          <w:sz w:val="20"/>
          <w:szCs w:val="20"/>
          <w:lang w:val="en-GB"/>
        </w:rPr>
      </w:pPr>
      <w:proofErr w:type="gramStart"/>
      <w:r w:rsidRPr="004978EB">
        <w:rPr>
          <w:rFonts w:cstheme="minorHAnsi"/>
          <w:sz w:val="20"/>
          <w:szCs w:val="20"/>
          <w:lang w:val="en-GB"/>
        </w:rPr>
        <w:t>In order to</w:t>
      </w:r>
      <w:proofErr w:type="gramEnd"/>
      <w:r w:rsidRPr="004978EB">
        <w:rPr>
          <w:rFonts w:cstheme="minorHAnsi"/>
          <w:sz w:val="20"/>
          <w:szCs w:val="20"/>
          <w:lang w:val="en-GB"/>
        </w:rPr>
        <w:t xml:space="preserve"> evaluate the magmatic equilibrium temperatures and pressure for pumices, dense clasts and dense blocks, we applied the clinopyroxene-liquid geothermobarometer of Masotta et al. (2013). This model yields more precise estimates compared to previous thermometers and barometers given that the new equations have been calibrated on compositional data relative to alkaline differentiated magmas, </w:t>
      </w:r>
      <w:proofErr w:type="gramStart"/>
      <w:r w:rsidRPr="004978EB">
        <w:rPr>
          <w:rFonts w:cstheme="minorHAnsi"/>
          <w:sz w:val="20"/>
          <w:szCs w:val="20"/>
          <w:lang w:val="en-GB"/>
        </w:rPr>
        <w:t>similar to</w:t>
      </w:r>
      <w:proofErr w:type="gramEnd"/>
      <w:r w:rsidRPr="004978EB">
        <w:rPr>
          <w:rFonts w:cstheme="minorHAnsi"/>
          <w:sz w:val="20"/>
          <w:szCs w:val="20"/>
          <w:lang w:val="en-GB"/>
        </w:rPr>
        <w:t xml:space="preserve"> the composition of Avellino rocks. Indeed, the reliability of the models of Masotta et al. (2013) has been validated by using clinopyroxene–liquid pairs</w:t>
      </w:r>
      <w:r w:rsidR="007E66BC">
        <w:rPr>
          <w:rFonts w:cstheme="minorHAnsi"/>
          <w:sz w:val="20"/>
          <w:szCs w:val="20"/>
          <w:lang w:val="en-GB"/>
        </w:rPr>
        <w:t xml:space="preserve"> (</w:t>
      </w:r>
      <w:r w:rsidR="007E66BC" w:rsidRPr="007E66BC">
        <w:rPr>
          <w:rFonts w:cstheme="minorHAnsi"/>
          <w:b/>
          <w:bCs/>
          <w:sz w:val="20"/>
          <w:szCs w:val="20"/>
          <w:lang w:val="en-GB"/>
        </w:rPr>
        <w:t>Table S13</w:t>
      </w:r>
      <w:r w:rsidR="007E66BC">
        <w:rPr>
          <w:rFonts w:cstheme="minorHAnsi"/>
          <w:sz w:val="20"/>
          <w:szCs w:val="20"/>
          <w:lang w:val="en-GB"/>
        </w:rPr>
        <w:t>)</w:t>
      </w:r>
      <w:r w:rsidRPr="004978EB">
        <w:rPr>
          <w:rFonts w:cstheme="minorHAnsi"/>
          <w:sz w:val="20"/>
          <w:szCs w:val="20"/>
          <w:lang w:val="en-GB"/>
        </w:rPr>
        <w:t xml:space="preserve"> from </w:t>
      </w:r>
      <w:proofErr w:type="spellStart"/>
      <w:r w:rsidRPr="004978EB">
        <w:rPr>
          <w:rFonts w:cstheme="minorHAnsi"/>
          <w:sz w:val="20"/>
          <w:szCs w:val="20"/>
          <w:lang w:val="en-GB"/>
        </w:rPr>
        <w:t>trachytes</w:t>
      </w:r>
      <w:proofErr w:type="spellEnd"/>
      <w:r w:rsidRPr="004978EB">
        <w:rPr>
          <w:rFonts w:cstheme="minorHAnsi"/>
          <w:sz w:val="20"/>
          <w:szCs w:val="20"/>
          <w:lang w:val="en-GB"/>
        </w:rPr>
        <w:t xml:space="preserve"> and phonolites erupted during major explosive eruptions at the </w:t>
      </w:r>
      <w:proofErr w:type="spellStart"/>
      <w:r w:rsidRPr="004978EB">
        <w:rPr>
          <w:rFonts w:cstheme="minorHAnsi"/>
          <w:sz w:val="20"/>
          <w:szCs w:val="20"/>
          <w:lang w:val="en-GB"/>
        </w:rPr>
        <w:t>Phlegrean</w:t>
      </w:r>
      <w:proofErr w:type="spellEnd"/>
      <w:r w:rsidRPr="004978EB">
        <w:rPr>
          <w:rFonts w:cstheme="minorHAnsi"/>
          <w:sz w:val="20"/>
          <w:szCs w:val="20"/>
          <w:lang w:val="en-GB"/>
        </w:rPr>
        <w:t xml:space="preserve"> Fields and Mt. Vesuvius (central Italy), thus increasing the confidence to estimate magmatic temperatures and pressures in our samples.</w:t>
      </w:r>
    </w:p>
    <w:p w14:paraId="5FE42FAE" w14:textId="77777777" w:rsidR="005A20EA" w:rsidRDefault="001229B7" w:rsidP="001229B7">
      <w:pPr>
        <w:jc w:val="both"/>
        <w:rPr>
          <w:rFonts w:cstheme="minorHAnsi"/>
          <w:sz w:val="20"/>
          <w:szCs w:val="20"/>
          <w:lang w:val="en-GB"/>
        </w:rPr>
      </w:pPr>
      <w:r w:rsidRPr="004978EB">
        <w:rPr>
          <w:rFonts w:cstheme="minorHAnsi"/>
          <w:sz w:val="20"/>
          <w:szCs w:val="20"/>
          <w:lang w:val="en-GB"/>
        </w:rPr>
        <w:t xml:space="preserve">Equations Talk2012 and Palk2012, with uncertainty of 18.2°C and 1.15 kbar, respectively, from Masotta et al. (2013) have been applied to those clinopyroxene-liquid pairs that satisfied equilibrium conditions tested following the two methods from </w:t>
      </w:r>
      <w:proofErr w:type="spellStart"/>
      <w:r w:rsidRPr="004978EB">
        <w:rPr>
          <w:rFonts w:cstheme="minorHAnsi"/>
          <w:sz w:val="20"/>
          <w:szCs w:val="20"/>
          <w:lang w:val="en-GB"/>
        </w:rPr>
        <w:t>Putirka</w:t>
      </w:r>
      <w:proofErr w:type="spellEnd"/>
      <w:r w:rsidRPr="004978EB">
        <w:rPr>
          <w:rFonts w:cstheme="minorHAnsi"/>
          <w:sz w:val="20"/>
          <w:szCs w:val="20"/>
          <w:lang w:val="en-GB"/>
        </w:rPr>
        <w:t xml:space="preserve"> (2008). The first one is based on the Fe-Mg exchange coefficients with K</w:t>
      </w:r>
      <w:r w:rsidRPr="004978EB">
        <w:rPr>
          <w:rFonts w:cstheme="minorHAnsi"/>
          <w:sz w:val="20"/>
          <w:szCs w:val="20"/>
          <w:vertAlign w:val="subscript"/>
          <w:lang w:val="en-GB"/>
        </w:rPr>
        <w:t>D</w:t>
      </w:r>
      <w:r w:rsidRPr="004978EB">
        <w:rPr>
          <w:rFonts w:cstheme="minorHAnsi"/>
          <w:sz w:val="20"/>
          <w:szCs w:val="20"/>
          <w:lang w:val="en-GB"/>
        </w:rPr>
        <w:t>(Fe-</w:t>
      </w:r>
      <w:proofErr w:type="gramStart"/>
      <w:r w:rsidRPr="004978EB">
        <w:rPr>
          <w:rFonts w:cstheme="minorHAnsi"/>
          <w:sz w:val="20"/>
          <w:szCs w:val="20"/>
          <w:lang w:val="en-GB"/>
        </w:rPr>
        <w:t>Mg)</w:t>
      </w:r>
      <w:proofErr w:type="spellStart"/>
      <w:r w:rsidRPr="004978EB">
        <w:rPr>
          <w:rFonts w:cstheme="minorHAnsi"/>
          <w:sz w:val="20"/>
          <w:szCs w:val="20"/>
          <w:vertAlign w:val="superscript"/>
          <w:lang w:val="en-GB"/>
        </w:rPr>
        <w:t>Cpx</w:t>
      </w:r>
      <w:proofErr w:type="gramEnd"/>
      <w:r w:rsidRPr="004978EB">
        <w:rPr>
          <w:rFonts w:cstheme="minorHAnsi"/>
          <w:sz w:val="20"/>
          <w:szCs w:val="20"/>
          <w:vertAlign w:val="superscript"/>
          <w:lang w:val="en-GB"/>
        </w:rPr>
        <w:t>-Liq</w:t>
      </w:r>
      <w:proofErr w:type="spellEnd"/>
      <w:r w:rsidRPr="004978EB">
        <w:rPr>
          <w:rFonts w:cstheme="minorHAnsi"/>
          <w:sz w:val="20"/>
          <w:szCs w:val="20"/>
          <w:lang w:val="en-GB"/>
        </w:rPr>
        <w:t xml:space="preserve"> = 0.2</w:t>
      </w:r>
      <w:r w:rsidR="007B4CAF">
        <w:rPr>
          <w:rFonts w:cstheme="minorHAnsi"/>
          <w:sz w:val="20"/>
          <w:szCs w:val="20"/>
          <w:lang w:val="en-GB"/>
        </w:rPr>
        <w:t>7</w:t>
      </w:r>
      <w:r w:rsidRPr="004978EB">
        <w:rPr>
          <w:rFonts w:cstheme="minorHAnsi"/>
          <w:sz w:val="20"/>
          <w:szCs w:val="20"/>
          <w:lang w:val="en-GB"/>
        </w:rPr>
        <w:t>±0.0</w:t>
      </w:r>
      <w:r w:rsidR="007B4CAF">
        <w:rPr>
          <w:rFonts w:cstheme="minorHAnsi"/>
          <w:sz w:val="20"/>
          <w:szCs w:val="20"/>
          <w:lang w:val="en-GB"/>
        </w:rPr>
        <w:t>3</w:t>
      </w:r>
      <w:r w:rsidRPr="004978EB">
        <w:rPr>
          <w:rFonts w:cstheme="minorHAnsi"/>
          <w:sz w:val="20"/>
          <w:szCs w:val="20"/>
          <w:lang w:val="en-GB"/>
        </w:rPr>
        <w:t xml:space="preserve">. The second test consists of the comparison between the calculated components of clinopyroxene from the melts (jadeite and diopside-hedenbergite) versus the observed clinopyroxene components in the crystal; thus, if the system is equilibrated, the sum of calculated components should be equal 1 and the difference between predicted and observed </w:t>
      </w:r>
      <w:proofErr w:type="spellStart"/>
      <w:r w:rsidRPr="004978EB">
        <w:rPr>
          <w:rFonts w:cstheme="minorHAnsi"/>
          <w:sz w:val="20"/>
          <w:szCs w:val="20"/>
          <w:lang w:val="en-GB"/>
        </w:rPr>
        <w:t>DiHd</w:t>
      </w:r>
      <w:proofErr w:type="spellEnd"/>
      <w:r w:rsidRPr="004978EB">
        <w:rPr>
          <w:rFonts w:cstheme="minorHAnsi"/>
          <w:sz w:val="20"/>
          <w:szCs w:val="20"/>
          <w:lang w:val="en-GB"/>
        </w:rPr>
        <w:t xml:space="preserve"> should be 0. We consider pairs with a K</w:t>
      </w:r>
      <w:r w:rsidRPr="004978EB">
        <w:rPr>
          <w:rFonts w:cstheme="minorHAnsi"/>
          <w:sz w:val="20"/>
          <w:szCs w:val="20"/>
          <w:vertAlign w:val="subscript"/>
          <w:lang w:val="en-GB"/>
        </w:rPr>
        <w:t>D</w:t>
      </w:r>
      <w:r w:rsidRPr="004978EB">
        <w:rPr>
          <w:rFonts w:cstheme="minorHAnsi"/>
          <w:sz w:val="20"/>
          <w:szCs w:val="20"/>
          <w:lang w:val="en-GB"/>
        </w:rPr>
        <w:t>(Fe-</w:t>
      </w:r>
      <w:proofErr w:type="gramStart"/>
      <w:r w:rsidRPr="004978EB">
        <w:rPr>
          <w:rFonts w:cstheme="minorHAnsi"/>
          <w:sz w:val="20"/>
          <w:szCs w:val="20"/>
          <w:lang w:val="en-GB"/>
        </w:rPr>
        <w:t>Mg)</w:t>
      </w:r>
      <w:proofErr w:type="spellStart"/>
      <w:r w:rsidRPr="004978EB">
        <w:rPr>
          <w:rFonts w:cstheme="minorHAnsi"/>
          <w:sz w:val="20"/>
          <w:szCs w:val="20"/>
          <w:vertAlign w:val="superscript"/>
          <w:lang w:val="en-GB"/>
        </w:rPr>
        <w:t>Cpx</w:t>
      </w:r>
      <w:proofErr w:type="gramEnd"/>
      <w:r w:rsidRPr="004978EB">
        <w:rPr>
          <w:rFonts w:cstheme="minorHAnsi"/>
          <w:sz w:val="20"/>
          <w:szCs w:val="20"/>
          <w:vertAlign w:val="superscript"/>
          <w:lang w:val="en-GB"/>
        </w:rPr>
        <w:t>-Liq</w:t>
      </w:r>
      <w:proofErr w:type="spellEnd"/>
      <w:r w:rsidRPr="004978EB">
        <w:rPr>
          <w:rFonts w:cstheme="minorHAnsi"/>
          <w:sz w:val="20"/>
          <w:szCs w:val="20"/>
          <w:lang w:val="en-GB"/>
        </w:rPr>
        <w:t xml:space="preserve"> in a restricted range compared to that suggested by </w:t>
      </w:r>
      <w:proofErr w:type="spellStart"/>
      <w:r w:rsidRPr="004978EB">
        <w:rPr>
          <w:rFonts w:cstheme="minorHAnsi"/>
          <w:sz w:val="20"/>
          <w:szCs w:val="20"/>
          <w:lang w:val="en-GB"/>
        </w:rPr>
        <w:t>Putirka</w:t>
      </w:r>
      <w:proofErr w:type="spellEnd"/>
      <w:r w:rsidRPr="004978EB">
        <w:rPr>
          <w:rFonts w:cstheme="minorHAnsi"/>
          <w:sz w:val="20"/>
          <w:szCs w:val="20"/>
          <w:lang w:val="en-GB"/>
        </w:rPr>
        <w:t xml:space="preserve">, 2008,  (0.22 – 0.32) and a </w:t>
      </w:r>
      <w:proofErr w:type="spellStart"/>
      <w:r w:rsidRPr="004978EB">
        <w:rPr>
          <w:rFonts w:cstheme="minorHAnsi"/>
          <w:sz w:val="20"/>
          <w:szCs w:val="20"/>
          <w:lang w:val="en-GB"/>
        </w:rPr>
        <w:t>DiHd</w:t>
      </w:r>
      <w:proofErr w:type="spellEnd"/>
      <w:r w:rsidRPr="004978EB">
        <w:rPr>
          <w:rFonts w:cstheme="minorHAnsi"/>
          <w:sz w:val="20"/>
          <w:szCs w:val="20"/>
          <w:lang w:val="en-GB"/>
        </w:rPr>
        <w:t xml:space="preserve"> error (</w:t>
      </w:r>
      <w:proofErr w:type="spellStart"/>
      <w:r w:rsidRPr="004978EB">
        <w:rPr>
          <w:rFonts w:cstheme="minorHAnsi"/>
          <w:sz w:val="20"/>
          <w:szCs w:val="20"/>
          <w:lang w:val="en-GB"/>
        </w:rPr>
        <w:t>DiHd</w:t>
      </w:r>
      <w:r w:rsidRPr="004978EB">
        <w:rPr>
          <w:rFonts w:cstheme="minorHAnsi"/>
          <w:sz w:val="20"/>
          <w:szCs w:val="20"/>
          <w:vertAlign w:val="subscript"/>
          <w:lang w:val="en-GB"/>
        </w:rPr>
        <w:t>predicted</w:t>
      </w:r>
      <w:proofErr w:type="spellEnd"/>
      <w:r w:rsidRPr="004978EB">
        <w:rPr>
          <w:rFonts w:cstheme="minorHAnsi"/>
          <w:sz w:val="20"/>
          <w:szCs w:val="20"/>
          <w:vertAlign w:val="subscript"/>
          <w:lang w:val="en-GB"/>
        </w:rPr>
        <w:t xml:space="preserve"> </w:t>
      </w:r>
      <w:r w:rsidRPr="004978EB">
        <w:rPr>
          <w:rFonts w:cstheme="minorHAnsi"/>
          <w:sz w:val="20"/>
          <w:szCs w:val="20"/>
          <w:lang w:val="en-GB"/>
        </w:rPr>
        <w:t xml:space="preserve">- </w:t>
      </w:r>
      <w:proofErr w:type="spellStart"/>
      <w:r w:rsidRPr="004978EB">
        <w:rPr>
          <w:rFonts w:cstheme="minorHAnsi"/>
          <w:sz w:val="20"/>
          <w:szCs w:val="20"/>
          <w:lang w:val="en-GB"/>
        </w:rPr>
        <w:t>DiHd</w:t>
      </w:r>
      <w:r w:rsidRPr="004978EB">
        <w:rPr>
          <w:rFonts w:cstheme="minorHAnsi"/>
          <w:sz w:val="20"/>
          <w:szCs w:val="20"/>
          <w:vertAlign w:val="subscript"/>
          <w:lang w:val="en-GB"/>
        </w:rPr>
        <w:t>observed</w:t>
      </w:r>
      <w:proofErr w:type="spellEnd"/>
      <w:r w:rsidRPr="004978EB">
        <w:rPr>
          <w:rFonts w:cstheme="minorHAnsi"/>
          <w:sz w:val="20"/>
          <w:szCs w:val="20"/>
          <w:lang w:val="en-GB"/>
        </w:rPr>
        <w:t>) &lt; 0.1. It is worth noting that, in our samples, the equilibrium between clinopyroxene and liquid is indicated only by one parameter: WP</w:t>
      </w:r>
      <w:r w:rsidRPr="004978EB">
        <w:rPr>
          <w:rFonts w:cstheme="minorHAnsi"/>
          <w:sz w:val="20"/>
          <w:szCs w:val="20"/>
          <w:vertAlign w:val="subscript"/>
          <w:lang w:val="en-GB"/>
        </w:rPr>
        <w:t>EU1</w:t>
      </w:r>
      <w:r w:rsidRPr="004978EB">
        <w:rPr>
          <w:rFonts w:cstheme="minorHAnsi"/>
          <w:sz w:val="20"/>
          <w:szCs w:val="20"/>
          <w:lang w:val="en-GB"/>
        </w:rPr>
        <w:t xml:space="preserve"> satisfy the Fe-Mg exchange coefficients range, while only dense blocks with a </w:t>
      </w:r>
      <w:proofErr w:type="spellStart"/>
      <w:r w:rsidRPr="004978EB">
        <w:rPr>
          <w:rFonts w:cstheme="minorHAnsi"/>
          <w:sz w:val="20"/>
          <w:szCs w:val="20"/>
          <w:lang w:val="en-GB"/>
        </w:rPr>
        <w:t>DiHd</w:t>
      </w:r>
      <w:proofErr w:type="spellEnd"/>
      <w:r w:rsidRPr="004978EB">
        <w:rPr>
          <w:rFonts w:cstheme="minorHAnsi"/>
          <w:sz w:val="20"/>
          <w:szCs w:val="20"/>
          <w:lang w:val="en-GB"/>
        </w:rPr>
        <w:t xml:space="preserve"> error &lt; 0.1 were considered.</w:t>
      </w:r>
    </w:p>
    <w:p w14:paraId="40AD744B" w14:textId="77777777" w:rsidR="005A20EA" w:rsidRDefault="005A20EA" w:rsidP="005A20EA">
      <w:pPr>
        <w:spacing w:after="0"/>
        <w:jc w:val="both"/>
        <w:rPr>
          <w:rFonts w:cstheme="minorHAnsi"/>
          <w:sz w:val="20"/>
          <w:szCs w:val="20"/>
          <w:lang w:val="en-GB"/>
        </w:rPr>
      </w:pPr>
      <w:r w:rsidRPr="005A20EA">
        <w:rPr>
          <w:rFonts w:cstheme="minorHAnsi"/>
          <w:sz w:val="20"/>
          <w:szCs w:val="20"/>
          <w:lang w:val="en-GB"/>
        </w:rPr>
        <w:t>The model also requires melt water content (in wt</w:t>
      </w:r>
      <w:r>
        <w:rPr>
          <w:rFonts w:cstheme="minorHAnsi"/>
          <w:sz w:val="20"/>
          <w:szCs w:val="20"/>
          <w:lang w:val="en-GB"/>
        </w:rPr>
        <w:t>.</w:t>
      </w:r>
      <w:r w:rsidRPr="005A20EA">
        <w:rPr>
          <w:rFonts w:cstheme="minorHAnsi"/>
          <w:sz w:val="20"/>
          <w:szCs w:val="20"/>
          <w:lang w:val="en-GB"/>
        </w:rPr>
        <w:t>%) as input to calculate pre-eruptive temperature. However, if the amount of water is unknown, the H</w:t>
      </w:r>
      <w:r w:rsidRPr="005A20EA">
        <w:rPr>
          <w:rFonts w:cstheme="minorHAnsi"/>
          <w:sz w:val="20"/>
          <w:szCs w:val="20"/>
          <w:vertAlign w:val="subscript"/>
          <w:lang w:val="en-GB"/>
        </w:rPr>
        <w:t>2</w:t>
      </w:r>
      <w:r w:rsidRPr="005A20EA">
        <w:rPr>
          <w:rFonts w:cstheme="minorHAnsi"/>
          <w:sz w:val="20"/>
          <w:szCs w:val="20"/>
          <w:lang w:val="en-GB"/>
        </w:rPr>
        <w:t>O by “difference” can be used. The H</w:t>
      </w:r>
      <w:r w:rsidRPr="005A20EA">
        <w:rPr>
          <w:rFonts w:cstheme="minorHAnsi"/>
          <w:sz w:val="20"/>
          <w:szCs w:val="20"/>
          <w:vertAlign w:val="subscript"/>
          <w:lang w:val="en-GB"/>
        </w:rPr>
        <w:t>2</w:t>
      </w:r>
      <w:r w:rsidRPr="005A20EA">
        <w:rPr>
          <w:rFonts w:cstheme="minorHAnsi"/>
          <w:sz w:val="20"/>
          <w:szCs w:val="20"/>
          <w:lang w:val="en-GB"/>
        </w:rPr>
        <w:t xml:space="preserve">O for </w:t>
      </w:r>
      <w:r>
        <w:rPr>
          <w:rFonts w:cstheme="minorHAnsi"/>
          <w:sz w:val="20"/>
          <w:szCs w:val="20"/>
          <w:lang w:val="en-GB"/>
        </w:rPr>
        <w:t>WP</w:t>
      </w:r>
      <w:r>
        <w:rPr>
          <w:rFonts w:cstheme="minorHAnsi"/>
          <w:sz w:val="20"/>
          <w:szCs w:val="20"/>
          <w:vertAlign w:val="subscript"/>
          <w:lang w:val="en-GB"/>
        </w:rPr>
        <w:t>EU1</w:t>
      </w:r>
      <w:r>
        <w:rPr>
          <w:rFonts w:cstheme="minorHAnsi"/>
          <w:sz w:val="20"/>
          <w:szCs w:val="20"/>
          <w:lang w:val="en-GB"/>
        </w:rPr>
        <w:t xml:space="preserve"> </w:t>
      </w:r>
      <w:r w:rsidRPr="005A20EA">
        <w:rPr>
          <w:rFonts w:cstheme="minorHAnsi"/>
          <w:sz w:val="20"/>
          <w:szCs w:val="20"/>
          <w:lang w:val="en-GB"/>
        </w:rPr>
        <w:t xml:space="preserve">have been estimated by the application of the empirical plagioclase-liquid hygrometer of Masotta et al. (2019). Results from the calculation </w:t>
      </w:r>
      <w:r w:rsidRPr="005A20EA">
        <w:rPr>
          <w:rFonts w:cstheme="minorHAnsi"/>
          <w:sz w:val="20"/>
          <w:szCs w:val="20"/>
          <w:lang w:val="en-GB"/>
        </w:rPr>
        <w:lastRenderedPageBreak/>
        <w:t>indicated that the concentration in white pumice is in the range of 5.4 – 7.9 wt</w:t>
      </w:r>
      <w:r>
        <w:rPr>
          <w:rFonts w:cstheme="minorHAnsi"/>
          <w:sz w:val="20"/>
          <w:szCs w:val="20"/>
          <w:lang w:val="en-GB"/>
        </w:rPr>
        <w:t>.</w:t>
      </w:r>
      <w:r w:rsidRPr="005A20EA">
        <w:rPr>
          <w:rFonts w:cstheme="minorHAnsi"/>
          <w:sz w:val="20"/>
          <w:szCs w:val="20"/>
          <w:lang w:val="en-GB"/>
        </w:rPr>
        <w:t xml:space="preserve">% at temperature around 800°C. We decide to assume a melt water content of 6 </w:t>
      </w:r>
      <w:proofErr w:type="spellStart"/>
      <w:r w:rsidRPr="005A20EA">
        <w:rPr>
          <w:rFonts w:cstheme="minorHAnsi"/>
          <w:sz w:val="20"/>
          <w:szCs w:val="20"/>
          <w:lang w:val="en-GB"/>
        </w:rPr>
        <w:t>wt</w:t>
      </w:r>
      <w:proofErr w:type="spellEnd"/>
      <w:r w:rsidRPr="005A20EA">
        <w:rPr>
          <w:rFonts w:cstheme="minorHAnsi"/>
          <w:sz w:val="20"/>
          <w:szCs w:val="20"/>
          <w:lang w:val="en-GB"/>
        </w:rPr>
        <w:t xml:space="preserve">%. Equilibrium conditions between plagioclase and liquid have been investigated following tests from </w:t>
      </w:r>
      <w:proofErr w:type="spellStart"/>
      <w:r w:rsidRPr="005A20EA">
        <w:rPr>
          <w:rFonts w:cstheme="minorHAnsi"/>
          <w:sz w:val="20"/>
          <w:szCs w:val="20"/>
          <w:lang w:val="en-GB"/>
        </w:rPr>
        <w:t>Putirka</w:t>
      </w:r>
      <w:proofErr w:type="spellEnd"/>
      <w:r w:rsidRPr="005A20EA">
        <w:rPr>
          <w:rFonts w:cstheme="minorHAnsi"/>
          <w:sz w:val="20"/>
          <w:szCs w:val="20"/>
          <w:lang w:val="en-GB"/>
        </w:rPr>
        <w:t xml:space="preserve"> (2008) and comparing An-Ab exchange; values should be about 0.1±0.05, at T&lt;1050 °C. </w:t>
      </w:r>
    </w:p>
    <w:p w14:paraId="0436667C" w14:textId="3A18556E" w:rsidR="005A20EA" w:rsidRPr="004978EB" w:rsidRDefault="005A20EA" w:rsidP="005A20EA">
      <w:pPr>
        <w:spacing w:after="0"/>
        <w:jc w:val="both"/>
        <w:rPr>
          <w:rFonts w:cstheme="minorHAnsi"/>
          <w:sz w:val="20"/>
          <w:szCs w:val="20"/>
          <w:lang w:val="en-GB"/>
        </w:rPr>
      </w:pPr>
      <w:r w:rsidRPr="005A20EA">
        <w:rPr>
          <w:rFonts w:cstheme="minorHAnsi"/>
          <w:sz w:val="20"/>
          <w:szCs w:val="20"/>
          <w:lang w:val="en-GB"/>
        </w:rPr>
        <w:t>H</w:t>
      </w:r>
      <w:r w:rsidRPr="005A20EA">
        <w:rPr>
          <w:rFonts w:cstheme="minorHAnsi"/>
          <w:sz w:val="20"/>
          <w:szCs w:val="20"/>
          <w:vertAlign w:val="subscript"/>
          <w:lang w:val="en-GB"/>
        </w:rPr>
        <w:t>2</w:t>
      </w:r>
      <w:r w:rsidRPr="005A20EA">
        <w:rPr>
          <w:rFonts w:cstheme="minorHAnsi"/>
          <w:sz w:val="20"/>
          <w:szCs w:val="20"/>
          <w:lang w:val="en-GB"/>
        </w:rPr>
        <w:t>O values for dense blocks has been determined by the k-feldspar-liquid hygrometer of Mollo et al. (2015) specific to alkaline differentiated magma. Only sanidine-liquid pairs belonging to T2 samples satisfied equilibrium conditions (see Mollo et al., 2015), estimating a melt water content, for this kind of blocks, at around 6.5 wt. % (in the range of 7.08-7.70 wt</w:t>
      </w:r>
      <w:r>
        <w:rPr>
          <w:rFonts w:cstheme="minorHAnsi"/>
          <w:sz w:val="20"/>
          <w:szCs w:val="20"/>
          <w:lang w:val="en-GB"/>
        </w:rPr>
        <w:t>.</w:t>
      </w:r>
      <w:r w:rsidRPr="005A20EA">
        <w:rPr>
          <w:rFonts w:cstheme="minorHAnsi"/>
          <w:sz w:val="20"/>
          <w:szCs w:val="20"/>
          <w:lang w:val="en-GB"/>
        </w:rPr>
        <w:t>% for AVD4 sample; 5.97-6.64 wt</w:t>
      </w:r>
      <w:r>
        <w:rPr>
          <w:rFonts w:cstheme="minorHAnsi"/>
          <w:sz w:val="20"/>
          <w:szCs w:val="20"/>
          <w:lang w:val="en-GB"/>
        </w:rPr>
        <w:t>.</w:t>
      </w:r>
      <w:r w:rsidRPr="005A20EA">
        <w:rPr>
          <w:rFonts w:cstheme="minorHAnsi"/>
          <w:sz w:val="20"/>
          <w:szCs w:val="20"/>
          <w:lang w:val="en-GB"/>
        </w:rPr>
        <w:t>% for AVD7). Contents of water (by difference) for matrix glasses in T1 blocks were assumed to be close to 0.</w:t>
      </w:r>
    </w:p>
    <w:p w14:paraId="24E5316D" w14:textId="77777777" w:rsidR="001229B7" w:rsidRPr="004978EB" w:rsidRDefault="001229B7" w:rsidP="001229B7">
      <w:pPr>
        <w:rPr>
          <w:rFonts w:cstheme="minorHAnsi"/>
          <w:sz w:val="20"/>
          <w:szCs w:val="20"/>
          <w:lang w:val="en-GB"/>
        </w:rPr>
      </w:pPr>
    </w:p>
    <w:p w14:paraId="07A5E0DE" w14:textId="6B9F49F6" w:rsidR="001229B7" w:rsidRPr="00656D40" w:rsidRDefault="001229B7" w:rsidP="001229B7">
      <w:pPr>
        <w:jc w:val="both"/>
        <w:rPr>
          <w:rFonts w:cstheme="minorHAnsi"/>
          <w:i/>
          <w:iCs/>
          <w:sz w:val="20"/>
          <w:szCs w:val="20"/>
          <w:u w:val="single"/>
          <w:lang w:val="en-GB"/>
        </w:rPr>
      </w:pPr>
      <w:r w:rsidRPr="00656D40">
        <w:rPr>
          <w:rFonts w:cstheme="minorHAnsi"/>
          <w:i/>
          <w:iCs/>
          <w:sz w:val="20"/>
          <w:szCs w:val="20"/>
          <w:u w:val="single"/>
          <w:lang w:val="en-GB"/>
        </w:rPr>
        <w:t>Two-Feldspar geothermometers</w:t>
      </w:r>
      <w:r w:rsidR="00BB1883" w:rsidRPr="00656D40">
        <w:rPr>
          <w:rFonts w:cstheme="minorHAnsi"/>
          <w:i/>
          <w:iCs/>
          <w:sz w:val="20"/>
          <w:szCs w:val="20"/>
          <w:u w:val="single"/>
          <w:lang w:val="en-GB"/>
        </w:rPr>
        <w:t xml:space="preserve"> (</w:t>
      </w:r>
      <w:proofErr w:type="spellStart"/>
      <w:r w:rsidR="00BB1883" w:rsidRPr="00656D40">
        <w:rPr>
          <w:rFonts w:cstheme="minorHAnsi"/>
          <w:i/>
          <w:iCs/>
          <w:sz w:val="20"/>
          <w:szCs w:val="20"/>
          <w:u w:val="single"/>
          <w:lang w:val="en-GB"/>
        </w:rPr>
        <w:t>Putirka</w:t>
      </w:r>
      <w:proofErr w:type="spellEnd"/>
      <w:r w:rsidR="00BB1883" w:rsidRPr="00656D40">
        <w:rPr>
          <w:rFonts w:cstheme="minorHAnsi"/>
          <w:i/>
          <w:iCs/>
          <w:sz w:val="20"/>
          <w:szCs w:val="20"/>
          <w:u w:val="single"/>
          <w:lang w:val="en-GB"/>
        </w:rPr>
        <w:t xml:space="preserve"> et al., 2008)</w:t>
      </w:r>
    </w:p>
    <w:p w14:paraId="64DE390C" w14:textId="140D4B78" w:rsidR="001229B7" w:rsidRDefault="001229B7" w:rsidP="007B4CAF">
      <w:pPr>
        <w:jc w:val="both"/>
        <w:rPr>
          <w:rFonts w:cstheme="minorHAnsi"/>
          <w:sz w:val="20"/>
          <w:szCs w:val="20"/>
          <w:lang w:val="en-GB"/>
        </w:rPr>
      </w:pPr>
      <w:r w:rsidRPr="004978EB">
        <w:rPr>
          <w:rFonts w:cstheme="minorHAnsi"/>
          <w:sz w:val="20"/>
          <w:szCs w:val="20"/>
          <w:lang w:val="en-GB"/>
        </w:rPr>
        <w:t xml:space="preserve">The two feldspar geothermometer is based on the partitioning of albite between plagioclase and alkali feldspar (Barth, 1951). We used the two-feldspar thermometer of </w:t>
      </w:r>
      <w:proofErr w:type="spellStart"/>
      <w:r w:rsidRPr="004978EB">
        <w:rPr>
          <w:rFonts w:cstheme="minorHAnsi"/>
          <w:sz w:val="20"/>
          <w:szCs w:val="20"/>
          <w:lang w:val="en-GB"/>
        </w:rPr>
        <w:t>Putirka</w:t>
      </w:r>
      <w:proofErr w:type="spellEnd"/>
      <w:r w:rsidRPr="004978EB">
        <w:rPr>
          <w:rFonts w:cstheme="minorHAnsi"/>
          <w:sz w:val="20"/>
          <w:szCs w:val="20"/>
          <w:lang w:val="en-GB"/>
        </w:rPr>
        <w:t xml:space="preserve"> (2008) to estimate pre-eruptive temperature. The </w:t>
      </w:r>
      <w:r w:rsidRPr="004978EB">
        <w:rPr>
          <w:rFonts w:cstheme="minorHAnsi"/>
          <w:i/>
          <w:iCs/>
          <w:sz w:val="20"/>
          <w:szCs w:val="20"/>
          <w:lang w:val="en-GB"/>
        </w:rPr>
        <w:t>Equation 27b</w:t>
      </w:r>
      <w:r w:rsidRPr="004978EB">
        <w:rPr>
          <w:rFonts w:cstheme="minorHAnsi"/>
          <w:sz w:val="20"/>
          <w:szCs w:val="20"/>
          <w:lang w:val="en-GB"/>
        </w:rPr>
        <w:t xml:space="preserve"> (</w:t>
      </w:r>
      <w:proofErr w:type="spellStart"/>
      <w:r w:rsidRPr="004978EB">
        <w:rPr>
          <w:rFonts w:cstheme="minorHAnsi"/>
          <w:sz w:val="20"/>
          <w:szCs w:val="20"/>
          <w:lang w:val="en-GB"/>
        </w:rPr>
        <w:t>Putirka</w:t>
      </w:r>
      <w:proofErr w:type="spellEnd"/>
      <w:r w:rsidRPr="004978EB">
        <w:rPr>
          <w:rFonts w:cstheme="minorHAnsi"/>
          <w:sz w:val="20"/>
          <w:szCs w:val="20"/>
          <w:lang w:val="en-GB"/>
        </w:rPr>
        <w:t xml:space="preserve"> 2008) represents a global calibration from the used experimental observations and was used to estimate temperature being much simpler and precise than other models (e.g., Stormer, 1975; Elkins and Grove, 1990). The model from </w:t>
      </w:r>
      <w:proofErr w:type="spellStart"/>
      <w:r w:rsidRPr="004978EB">
        <w:rPr>
          <w:rFonts w:cstheme="minorHAnsi"/>
          <w:sz w:val="20"/>
          <w:szCs w:val="20"/>
          <w:lang w:val="en-GB"/>
        </w:rPr>
        <w:t>Putirka</w:t>
      </w:r>
      <w:proofErr w:type="spellEnd"/>
      <w:r w:rsidRPr="004978EB">
        <w:rPr>
          <w:rFonts w:cstheme="minorHAnsi"/>
          <w:sz w:val="20"/>
          <w:szCs w:val="20"/>
          <w:lang w:val="en-GB"/>
        </w:rPr>
        <w:t xml:space="preserve"> (2008) requires rims composition for both selected feldspars as input and the test for equilibrium is given by the </w:t>
      </w:r>
      <w:bookmarkStart w:id="2" w:name="_Hlk121236511"/>
      <w:r w:rsidRPr="004978EB">
        <w:rPr>
          <w:rFonts w:cstheme="minorHAnsi"/>
          <w:sz w:val="20"/>
          <w:szCs w:val="20"/>
          <w:lang w:val="en-GB"/>
        </w:rPr>
        <w:t xml:space="preserve">comparison of the activities, </w:t>
      </w:r>
      <w:proofErr w:type="gramStart"/>
      <w:r w:rsidRPr="004978EB">
        <w:rPr>
          <w:rFonts w:cstheme="minorHAnsi"/>
          <w:sz w:val="20"/>
          <w:szCs w:val="20"/>
          <w:lang w:val="en-GB"/>
        </w:rPr>
        <w:t>a(</w:t>
      </w:r>
      <w:proofErr w:type="gramEnd"/>
      <w:r w:rsidRPr="004978EB">
        <w:rPr>
          <w:rFonts w:cstheme="minorHAnsi"/>
          <w:sz w:val="20"/>
          <w:szCs w:val="20"/>
          <w:lang w:val="en-GB"/>
        </w:rPr>
        <w:t>An - anorthite), a(Ab - albite ) and a(Or - orthoclase), between those calculated for alkali (</w:t>
      </w:r>
      <w:proofErr w:type="spellStart"/>
      <w:r w:rsidRPr="004978EB">
        <w:rPr>
          <w:rFonts w:cstheme="minorHAnsi"/>
          <w:sz w:val="20"/>
          <w:szCs w:val="20"/>
          <w:lang w:val="en-GB"/>
        </w:rPr>
        <w:t>afs</w:t>
      </w:r>
      <w:proofErr w:type="spellEnd"/>
      <w:r w:rsidRPr="004978EB">
        <w:rPr>
          <w:rFonts w:cstheme="minorHAnsi"/>
          <w:sz w:val="20"/>
          <w:szCs w:val="20"/>
          <w:lang w:val="en-GB"/>
        </w:rPr>
        <w:t>) and plagioclase (</w:t>
      </w:r>
      <w:proofErr w:type="spellStart"/>
      <w:r w:rsidRPr="004978EB">
        <w:rPr>
          <w:rFonts w:cstheme="minorHAnsi"/>
          <w:sz w:val="20"/>
          <w:szCs w:val="20"/>
          <w:lang w:val="en-GB"/>
        </w:rPr>
        <w:t>plag</w:t>
      </w:r>
      <w:proofErr w:type="spellEnd"/>
      <w:r w:rsidRPr="004978EB">
        <w:rPr>
          <w:rFonts w:cstheme="minorHAnsi"/>
          <w:sz w:val="20"/>
          <w:szCs w:val="20"/>
          <w:lang w:val="en-GB"/>
        </w:rPr>
        <w:t xml:space="preserve">) feldspar, following the models of Elkins and Grove (1990). The </w:t>
      </w:r>
      <w:bookmarkEnd w:id="2"/>
      <w:r w:rsidRPr="004978EB">
        <w:rPr>
          <w:rFonts w:cstheme="minorHAnsi"/>
          <w:sz w:val="20"/>
          <w:szCs w:val="20"/>
          <w:lang w:val="en-GB"/>
        </w:rPr>
        <w:t xml:space="preserve">difference, </w:t>
      </w:r>
      <w:r w:rsidRPr="004978EB">
        <w:rPr>
          <w:rFonts w:cstheme="minorHAnsi"/>
          <w:i/>
          <w:iCs/>
          <w:sz w:val="20"/>
          <w:szCs w:val="20"/>
          <w:lang w:val="en-GB"/>
        </w:rPr>
        <w:t>a(</w:t>
      </w:r>
      <w:proofErr w:type="spellStart"/>
      <w:r w:rsidRPr="004978EB">
        <w:rPr>
          <w:rFonts w:cstheme="minorHAnsi"/>
          <w:i/>
          <w:iCs/>
          <w:sz w:val="20"/>
          <w:szCs w:val="20"/>
          <w:lang w:val="en-GB"/>
        </w:rPr>
        <w:t>plag</w:t>
      </w:r>
      <w:proofErr w:type="spellEnd"/>
      <w:r w:rsidRPr="004978EB">
        <w:rPr>
          <w:rFonts w:cstheme="minorHAnsi"/>
          <w:i/>
          <w:iCs/>
          <w:sz w:val="20"/>
          <w:szCs w:val="20"/>
          <w:lang w:val="en-GB"/>
        </w:rPr>
        <w:t>) - a</w:t>
      </w:r>
      <w:r w:rsidRPr="004978EB">
        <w:rPr>
          <w:rFonts w:cstheme="minorHAnsi"/>
          <w:sz w:val="20"/>
          <w:szCs w:val="20"/>
          <w:lang w:val="en-GB"/>
        </w:rPr>
        <w:t>(</w:t>
      </w:r>
      <w:proofErr w:type="spellStart"/>
      <w:r w:rsidRPr="004978EB">
        <w:rPr>
          <w:rFonts w:cstheme="minorHAnsi"/>
          <w:i/>
          <w:iCs/>
          <w:sz w:val="20"/>
          <w:szCs w:val="20"/>
          <w:lang w:val="en-GB"/>
        </w:rPr>
        <w:t>afs</w:t>
      </w:r>
      <w:proofErr w:type="spellEnd"/>
      <w:r w:rsidRPr="004978EB">
        <w:rPr>
          <w:rFonts w:cstheme="minorHAnsi"/>
          <w:i/>
          <w:iCs/>
          <w:sz w:val="20"/>
          <w:szCs w:val="20"/>
          <w:lang w:val="en-GB"/>
        </w:rPr>
        <w:t>)</w:t>
      </w:r>
      <w:r w:rsidRPr="004978EB">
        <w:rPr>
          <w:rFonts w:cstheme="minorHAnsi"/>
          <w:sz w:val="20"/>
          <w:szCs w:val="20"/>
          <w:lang w:val="en-GB"/>
        </w:rPr>
        <w:t xml:space="preserve">, should nominally be zero, however, because of frequent evidence of disequilibrium conditions we considered pairs with </w:t>
      </w:r>
      <w:r w:rsidRPr="004978EB">
        <w:rPr>
          <w:rFonts w:cstheme="minorHAnsi"/>
          <w:i/>
          <w:iCs/>
          <w:sz w:val="20"/>
          <w:szCs w:val="20"/>
          <w:lang w:val="en-GB"/>
        </w:rPr>
        <w:t>a(</w:t>
      </w:r>
      <w:proofErr w:type="spellStart"/>
      <w:r w:rsidRPr="004978EB">
        <w:rPr>
          <w:rFonts w:cstheme="minorHAnsi"/>
          <w:i/>
          <w:iCs/>
          <w:sz w:val="20"/>
          <w:szCs w:val="20"/>
          <w:lang w:val="en-GB"/>
        </w:rPr>
        <w:t>plag</w:t>
      </w:r>
      <w:proofErr w:type="spellEnd"/>
      <w:r w:rsidRPr="004978EB">
        <w:rPr>
          <w:rFonts w:cstheme="minorHAnsi"/>
          <w:i/>
          <w:iCs/>
          <w:sz w:val="20"/>
          <w:szCs w:val="20"/>
          <w:lang w:val="en-GB"/>
        </w:rPr>
        <w:t>) - a</w:t>
      </w:r>
      <w:r w:rsidRPr="004978EB">
        <w:rPr>
          <w:rFonts w:cstheme="minorHAnsi"/>
          <w:sz w:val="20"/>
          <w:szCs w:val="20"/>
          <w:lang w:val="en-GB"/>
        </w:rPr>
        <w:t>(</w:t>
      </w:r>
      <w:proofErr w:type="spellStart"/>
      <w:r w:rsidRPr="004978EB">
        <w:rPr>
          <w:rFonts w:cstheme="minorHAnsi"/>
          <w:i/>
          <w:iCs/>
          <w:sz w:val="20"/>
          <w:szCs w:val="20"/>
          <w:lang w:val="en-GB"/>
        </w:rPr>
        <w:t>afs</w:t>
      </w:r>
      <w:proofErr w:type="spellEnd"/>
      <w:r w:rsidRPr="004978EB">
        <w:rPr>
          <w:rFonts w:cstheme="minorHAnsi"/>
          <w:i/>
          <w:iCs/>
          <w:sz w:val="20"/>
          <w:szCs w:val="20"/>
          <w:lang w:val="en-GB"/>
        </w:rPr>
        <w:t>)</w:t>
      </w:r>
      <w:r w:rsidRPr="004978EB">
        <w:rPr>
          <w:rFonts w:cstheme="minorHAnsi"/>
          <w:sz w:val="20"/>
          <w:szCs w:val="20"/>
          <w:lang w:val="en-GB"/>
        </w:rPr>
        <w:t xml:space="preserve"> &lt; 0.1, placing greater emphasis to activity differences more closely to 0. A total of 57 alkali feldspar-plagioclase pairs have been modelled, of which 35 pairs satisfied equilibrium criteria (3 pairs for WP</w:t>
      </w:r>
      <w:r w:rsidR="00B15237">
        <w:rPr>
          <w:rFonts w:cstheme="minorHAnsi"/>
          <w:sz w:val="20"/>
          <w:szCs w:val="20"/>
          <w:vertAlign w:val="subscript"/>
          <w:lang w:val="en-GB"/>
        </w:rPr>
        <w:t>EU1</w:t>
      </w:r>
      <w:r w:rsidRPr="004978EB">
        <w:rPr>
          <w:rFonts w:cstheme="minorHAnsi"/>
          <w:sz w:val="20"/>
          <w:szCs w:val="20"/>
          <w:lang w:val="en-GB"/>
        </w:rPr>
        <w:t>, 9 for T1 blocks and 23 from T2 blocks</w:t>
      </w:r>
      <w:r w:rsidR="007E66BC">
        <w:rPr>
          <w:rFonts w:cstheme="minorHAnsi"/>
          <w:sz w:val="20"/>
          <w:szCs w:val="20"/>
          <w:lang w:val="en-GB"/>
        </w:rPr>
        <w:t xml:space="preserve">; </w:t>
      </w:r>
      <w:r w:rsidR="007E66BC" w:rsidRPr="007E66BC">
        <w:rPr>
          <w:rFonts w:cstheme="minorHAnsi"/>
          <w:b/>
          <w:bCs/>
          <w:sz w:val="20"/>
          <w:szCs w:val="20"/>
          <w:lang w:val="en-GB"/>
        </w:rPr>
        <w:t>Table S14</w:t>
      </w:r>
      <w:r w:rsidRPr="004978EB">
        <w:rPr>
          <w:rFonts w:cstheme="minorHAnsi"/>
          <w:sz w:val="20"/>
          <w:szCs w:val="20"/>
          <w:lang w:val="en-GB"/>
        </w:rPr>
        <w:t xml:space="preserve">).  </w:t>
      </w:r>
    </w:p>
    <w:p w14:paraId="66B77F5D" w14:textId="77777777" w:rsidR="007B4CAF" w:rsidRPr="007B4CAF" w:rsidRDefault="007B4CAF" w:rsidP="007B4CAF">
      <w:pPr>
        <w:jc w:val="both"/>
        <w:rPr>
          <w:rFonts w:cstheme="minorHAnsi"/>
          <w:sz w:val="20"/>
          <w:szCs w:val="20"/>
          <w:lang w:val="en-GB"/>
        </w:rPr>
      </w:pPr>
    </w:p>
    <w:p w14:paraId="3C3F5F2C" w14:textId="6F4F6650" w:rsidR="001229B7" w:rsidRPr="00656D40" w:rsidRDefault="001229B7" w:rsidP="001229B7">
      <w:pPr>
        <w:rPr>
          <w:rFonts w:cstheme="minorHAnsi"/>
          <w:i/>
          <w:iCs/>
          <w:sz w:val="20"/>
          <w:szCs w:val="20"/>
          <w:u w:val="single"/>
        </w:rPr>
      </w:pPr>
      <w:proofErr w:type="spellStart"/>
      <w:r w:rsidRPr="00656D40">
        <w:rPr>
          <w:rFonts w:cstheme="minorHAnsi"/>
          <w:i/>
          <w:iCs/>
          <w:sz w:val="20"/>
          <w:szCs w:val="20"/>
          <w:u w:val="single"/>
        </w:rPr>
        <w:t>Amphibole-plagioclase</w:t>
      </w:r>
      <w:proofErr w:type="spellEnd"/>
      <w:r w:rsidRPr="00656D40">
        <w:rPr>
          <w:rFonts w:cstheme="minorHAnsi"/>
          <w:i/>
          <w:iCs/>
          <w:sz w:val="20"/>
          <w:szCs w:val="20"/>
          <w:u w:val="single"/>
        </w:rPr>
        <w:t xml:space="preserve"> </w:t>
      </w:r>
      <w:r w:rsidR="00BB1883" w:rsidRPr="00656D40">
        <w:rPr>
          <w:rFonts w:cstheme="minorHAnsi"/>
          <w:i/>
          <w:iCs/>
          <w:sz w:val="20"/>
          <w:szCs w:val="20"/>
          <w:u w:val="single"/>
        </w:rPr>
        <w:t>(Molina et al., 2015)</w:t>
      </w:r>
    </w:p>
    <w:p w14:paraId="6632F559" w14:textId="4363DFCF" w:rsidR="001229B7" w:rsidRPr="004978EB" w:rsidRDefault="001229B7" w:rsidP="001229B7">
      <w:pPr>
        <w:jc w:val="both"/>
        <w:rPr>
          <w:rFonts w:cstheme="minorHAnsi"/>
          <w:sz w:val="20"/>
          <w:szCs w:val="20"/>
          <w:lang w:val="en-GB"/>
        </w:rPr>
      </w:pPr>
      <w:r w:rsidRPr="004978EB">
        <w:rPr>
          <w:rFonts w:cstheme="minorHAnsi"/>
          <w:sz w:val="20"/>
          <w:szCs w:val="20"/>
          <w:lang w:val="en-GB"/>
        </w:rPr>
        <w:t xml:space="preserve">To constrain T-P values, the amphibole-plagioclase </w:t>
      </w:r>
      <w:proofErr w:type="spellStart"/>
      <w:r w:rsidRPr="004978EB">
        <w:rPr>
          <w:rFonts w:cstheme="minorHAnsi"/>
          <w:sz w:val="20"/>
          <w:szCs w:val="20"/>
          <w:lang w:val="en-GB"/>
        </w:rPr>
        <w:t>thermobarometric</w:t>
      </w:r>
      <w:proofErr w:type="spellEnd"/>
      <w:r w:rsidRPr="004978EB">
        <w:rPr>
          <w:rFonts w:cstheme="minorHAnsi"/>
          <w:sz w:val="20"/>
          <w:szCs w:val="20"/>
          <w:lang w:val="en-GB"/>
        </w:rPr>
        <w:t xml:space="preserve"> model of Molina et al. (2015) based on the </w:t>
      </w:r>
      <w:proofErr w:type="spellStart"/>
      <w:r w:rsidRPr="004978EB">
        <w:rPr>
          <w:rFonts w:cstheme="minorHAnsi"/>
          <w:sz w:val="20"/>
          <w:szCs w:val="20"/>
          <w:lang w:val="en-GB"/>
        </w:rPr>
        <w:t>NaSi</w:t>
      </w:r>
      <w:proofErr w:type="spellEnd"/>
      <w:r w:rsidRPr="004978EB">
        <w:rPr>
          <w:rFonts w:cstheme="minorHAnsi"/>
          <w:sz w:val="20"/>
          <w:szCs w:val="20"/>
          <w:lang w:val="en-GB"/>
        </w:rPr>
        <w:t xml:space="preserve">-CaAl exchange was applied. Despite the authors claim of wide applicability to igneous rocks bearing </w:t>
      </w:r>
      <w:proofErr w:type="spellStart"/>
      <w:r w:rsidRPr="004978EB">
        <w:rPr>
          <w:rFonts w:cstheme="minorHAnsi"/>
          <w:sz w:val="20"/>
          <w:szCs w:val="20"/>
          <w:lang w:val="en-GB"/>
        </w:rPr>
        <w:t>subcalcic</w:t>
      </w:r>
      <w:proofErr w:type="spellEnd"/>
      <w:r w:rsidRPr="004978EB">
        <w:rPr>
          <w:rFonts w:cstheme="minorHAnsi"/>
          <w:sz w:val="20"/>
          <w:szCs w:val="20"/>
          <w:lang w:val="en-GB"/>
        </w:rPr>
        <w:t xml:space="preserve"> to calcic amphibole and oligoclase or more calcic plagioclase, this thermobarometer gives better results with compositions closely matching those used for the calibration and validation of the thermobarometer. In the Avellino case, amphibole </w:t>
      </w:r>
      <w:proofErr w:type="gramStart"/>
      <w:r w:rsidRPr="004978EB">
        <w:rPr>
          <w:rFonts w:cstheme="minorHAnsi"/>
          <w:sz w:val="20"/>
          <w:szCs w:val="20"/>
          <w:lang w:val="en-GB"/>
        </w:rPr>
        <w:t>are</w:t>
      </w:r>
      <w:proofErr w:type="gramEnd"/>
      <w:r w:rsidRPr="004978EB">
        <w:rPr>
          <w:rFonts w:cstheme="minorHAnsi"/>
          <w:sz w:val="20"/>
          <w:szCs w:val="20"/>
          <w:lang w:val="en-GB"/>
        </w:rPr>
        <w:t xml:space="preserve"> mainly potassium </w:t>
      </w:r>
      <w:proofErr w:type="spellStart"/>
      <w:r w:rsidRPr="004978EB">
        <w:rPr>
          <w:rFonts w:cstheme="minorHAnsi"/>
          <w:sz w:val="20"/>
          <w:szCs w:val="20"/>
          <w:lang w:val="en-GB"/>
        </w:rPr>
        <w:t>magnesio-hastingsite</w:t>
      </w:r>
      <w:proofErr w:type="spellEnd"/>
      <w:r w:rsidRPr="004978EB">
        <w:rPr>
          <w:rFonts w:cstheme="minorHAnsi"/>
          <w:sz w:val="20"/>
          <w:szCs w:val="20"/>
          <w:lang w:val="en-GB"/>
        </w:rPr>
        <w:t xml:space="preserve"> and plagioclase cover a wide compositional range from bytownite to andesine, thus being in agreement with the experimental data set used for calibration of the thermometer. The thermometer has some constraints (Molina et al., 2021) which restrict the usage to:  (1) amphibole composition: Na</w:t>
      </w:r>
      <w:r w:rsidRPr="004978EB">
        <w:rPr>
          <w:rFonts w:cstheme="minorHAnsi"/>
          <w:sz w:val="20"/>
          <w:szCs w:val="20"/>
          <w:vertAlign w:val="superscript"/>
          <w:lang w:val="en-GB"/>
        </w:rPr>
        <w:t>M4</w:t>
      </w:r>
      <w:r w:rsidRPr="004978EB">
        <w:rPr>
          <w:rFonts w:cstheme="minorHAnsi"/>
          <w:sz w:val="20"/>
          <w:szCs w:val="20"/>
          <w:lang w:val="en-GB"/>
        </w:rPr>
        <w:t xml:space="preserve"> = 0.06–0.50 </w:t>
      </w:r>
      <w:proofErr w:type="spellStart"/>
      <w:r w:rsidRPr="004978EB">
        <w:rPr>
          <w:rFonts w:cstheme="minorHAnsi"/>
          <w:sz w:val="20"/>
          <w:szCs w:val="20"/>
          <w:lang w:val="en-GB"/>
        </w:rPr>
        <w:t>apfu</w:t>
      </w:r>
      <w:proofErr w:type="spellEnd"/>
      <w:r w:rsidRPr="004978EB">
        <w:rPr>
          <w:rFonts w:cstheme="minorHAnsi"/>
          <w:sz w:val="20"/>
          <w:szCs w:val="20"/>
          <w:lang w:val="en-GB"/>
        </w:rPr>
        <w:t xml:space="preserve"> (where Na</w:t>
      </w:r>
      <w:r w:rsidRPr="004978EB">
        <w:rPr>
          <w:rFonts w:cstheme="minorHAnsi"/>
          <w:sz w:val="20"/>
          <w:szCs w:val="20"/>
          <w:vertAlign w:val="superscript"/>
          <w:lang w:val="en-GB"/>
        </w:rPr>
        <w:t>M4</w:t>
      </w:r>
      <w:r w:rsidRPr="004978EB">
        <w:rPr>
          <w:rFonts w:cstheme="minorHAnsi"/>
          <w:sz w:val="20"/>
          <w:szCs w:val="20"/>
          <w:lang w:val="en-GB"/>
        </w:rPr>
        <w:t xml:space="preserve"> is the Na cation in the octahedral site M4), Ca &gt; 1.2 </w:t>
      </w:r>
      <w:proofErr w:type="spellStart"/>
      <w:r w:rsidRPr="004978EB">
        <w:rPr>
          <w:rFonts w:cstheme="minorHAnsi"/>
          <w:sz w:val="20"/>
          <w:szCs w:val="20"/>
          <w:lang w:val="en-GB"/>
        </w:rPr>
        <w:t>apfu</w:t>
      </w:r>
      <w:proofErr w:type="spellEnd"/>
      <w:r w:rsidRPr="004978EB">
        <w:rPr>
          <w:rFonts w:cstheme="minorHAnsi"/>
          <w:sz w:val="20"/>
          <w:szCs w:val="20"/>
          <w:lang w:val="en-GB"/>
        </w:rPr>
        <w:t xml:space="preserve">, Ti &lt; 0.4 </w:t>
      </w:r>
      <w:proofErr w:type="spellStart"/>
      <w:r w:rsidRPr="004978EB">
        <w:rPr>
          <w:rFonts w:cstheme="minorHAnsi"/>
          <w:sz w:val="20"/>
          <w:szCs w:val="20"/>
          <w:lang w:val="en-GB"/>
        </w:rPr>
        <w:t>apfu</w:t>
      </w:r>
      <w:proofErr w:type="spellEnd"/>
      <w:r w:rsidRPr="004978EB">
        <w:rPr>
          <w:rFonts w:cstheme="minorHAnsi"/>
          <w:sz w:val="20"/>
          <w:szCs w:val="20"/>
          <w:lang w:val="en-GB"/>
        </w:rPr>
        <w:t xml:space="preserve">, K &lt; 0.25 </w:t>
      </w:r>
      <w:proofErr w:type="spellStart"/>
      <w:r w:rsidRPr="004978EB">
        <w:rPr>
          <w:rFonts w:cstheme="minorHAnsi"/>
          <w:sz w:val="20"/>
          <w:szCs w:val="20"/>
          <w:lang w:val="en-GB"/>
        </w:rPr>
        <w:t>apfu</w:t>
      </w:r>
      <w:proofErr w:type="spellEnd"/>
      <w:r w:rsidRPr="004978EB">
        <w:rPr>
          <w:rFonts w:cstheme="minorHAnsi"/>
          <w:sz w:val="20"/>
          <w:szCs w:val="20"/>
          <w:lang w:val="en-GB"/>
        </w:rPr>
        <w:t>, and p9 &lt; 0.34 (where p9 is the tremolite phase component); (2) plagioclase composition: p</w:t>
      </w:r>
      <w:r w:rsidRPr="004978EB">
        <w:rPr>
          <w:rFonts w:cstheme="minorHAnsi"/>
          <w:sz w:val="20"/>
          <w:szCs w:val="20"/>
          <w:vertAlign w:val="subscript"/>
          <w:lang w:val="en-GB"/>
        </w:rPr>
        <w:t>an</w:t>
      </w:r>
      <w:r w:rsidRPr="004978EB">
        <w:rPr>
          <w:rFonts w:cstheme="minorHAnsi"/>
          <w:sz w:val="20"/>
          <w:szCs w:val="20"/>
          <w:lang w:val="en-GB"/>
        </w:rPr>
        <w:t xml:space="preserve"> &gt; 0.18 and </w:t>
      </w:r>
      <w:proofErr w:type="spellStart"/>
      <w:r w:rsidRPr="004978EB">
        <w:rPr>
          <w:rFonts w:cstheme="minorHAnsi"/>
          <w:sz w:val="20"/>
          <w:szCs w:val="20"/>
          <w:lang w:val="en-GB"/>
        </w:rPr>
        <w:t>p</w:t>
      </w:r>
      <w:r w:rsidRPr="004978EB">
        <w:rPr>
          <w:rFonts w:cstheme="minorHAnsi"/>
          <w:sz w:val="20"/>
          <w:szCs w:val="20"/>
          <w:vertAlign w:val="subscript"/>
          <w:lang w:val="en-GB"/>
        </w:rPr>
        <w:t>or</w:t>
      </w:r>
      <w:proofErr w:type="spellEnd"/>
      <w:r w:rsidRPr="004978EB">
        <w:rPr>
          <w:rFonts w:cstheme="minorHAnsi"/>
          <w:sz w:val="20"/>
          <w:szCs w:val="20"/>
          <w:lang w:val="en-GB"/>
        </w:rPr>
        <w:t xml:space="preserve"> &lt; 0.11 (p</w:t>
      </w:r>
      <w:r w:rsidRPr="004978EB">
        <w:rPr>
          <w:rFonts w:cstheme="minorHAnsi"/>
          <w:sz w:val="20"/>
          <w:szCs w:val="20"/>
          <w:vertAlign w:val="subscript"/>
          <w:lang w:val="en-GB"/>
        </w:rPr>
        <w:t>an</w:t>
      </w:r>
      <w:r w:rsidRPr="004978EB">
        <w:rPr>
          <w:rFonts w:cstheme="minorHAnsi"/>
          <w:sz w:val="20"/>
          <w:szCs w:val="20"/>
          <w:lang w:val="en-GB"/>
        </w:rPr>
        <w:t xml:space="preserve">: anorthite molar fraction; </w:t>
      </w:r>
      <w:proofErr w:type="spellStart"/>
      <w:r w:rsidRPr="004978EB">
        <w:rPr>
          <w:rFonts w:cstheme="minorHAnsi"/>
          <w:sz w:val="20"/>
          <w:szCs w:val="20"/>
          <w:lang w:val="en-GB"/>
        </w:rPr>
        <w:t>p</w:t>
      </w:r>
      <w:r w:rsidRPr="004978EB">
        <w:rPr>
          <w:rFonts w:cstheme="minorHAnsi"/>
          <w:sz w:val="20"/>
          <w:szCs w:val="20"/>
          <w:vertAlign w:val="subscript"/>
          <w:lang w:val="en-GB"/>
        </w:rPr>
        <w:t>or</w:t>
      </w:r>
      <w:proofErr w:type="spellEnd"/>
      <w:r w:rsidRPr="004978EB">
        <w:rPr>
          <w:rFonts w:cstheme="minorHAnsi"/>
          <w:sz w:val="20"/>
          <w:szCs w:val="20"/>
          <w:lang w:val="en-GB"/>
        </w:rPr>
        <w:t>: orthoclase molar fraction); and (3) denominator values in expression 10, Den(Exp.): Den(A1) = –182 to –122, Den(A2) = –195 to –130 and Den(B2) = –195 to –130; where A1, A2 and B2 are the thermometric expression for three models (equations 11a, 11c, 11d; Molina et al., 2021) obtained by substituting the derived parameters in the expression 10 of Molina et al., 2021. More accurate results are guaranteed when Na</w:t>
      </w:r>
      <w:r w:rsidRPr="004978EB">
        <w:rPr>
          <w:rFonts w:cstheme="minorHAnsi"/>
          <w:sz w:val="20"/>
          <w:szCs w:val="20"/>
          <w:vertAlign w:val="superscript"/>
          <w:lang w:val="en-GB"/>
        </w:rPr>
        <w:t>M4</w:t>
      </w:r>
      <w:r w:rsidRPr="004978EB">
        <w:rPr>
          <w:rFonts w:cstheme="minorHAnsi"/>
          <w:sz w:val="20"/>
          <w:szCs w:val="20"/>
          <w:lang w:val="en-GB"/>
        </w:rPr>
        <w:t xml:space="preserve"> &lt; 0.30 </w:t>
      </w:r>
      <w:proofErr w:type="spellStart"/>
      <w:r w:rsidRPr="004978EB">
        <w:rPr>
          <w:rFonts w:cstheme="minorHAnsi"/>
          <w:sz w:val="20"/>
          <w:szCs w:val="20"/>
          <w:lang w:val="en-GB"/>
        </w:rPr>
        <w:t>apfu</w:t>
      </w:r>
      <w:proofErr w:type="spellEnd"/>
      <w:r w:rsidRPr="004978EB">
        <w:rPr>
          <w:rFonts w:cstheme="minorHAnsi"/>
          <w:sz w:val="20"/>
          <w:szCs w:val="20"/>
          <w:lang w:val="en-GB"/>
        </w:rPr>
        <w:t xml:space="preserve"> </w:t>
      </w:r>
      <w:proofErr w:type="gramStart"/>
      <w:r w:rsidRPr="004978EB">
        <w:rPr>
          <w:rFonts w:cstheme="minorHAnsi"/>
          <w:sz w:val="20"/>
          <w:szCs w:val="20"/>
          <w:lang w:val="en-GB"/>
        </w:rPr>
        <w:t>and also</w:t>
      </w:r>
      <w:proofErr w:type="gramEnd"/>
      <w:r w:rsidRPr="004978EB">
        <w:rPr>
          <w:rFonts w:cstheme="minorHAnsi"/>
          <w:sz w:val="20"/>
          <w:szCs w:val="20"/>
          <w:lang w:val="en-GB"/>
        </w:rPr>
        <w:t xml:space="preserve"> limiting the application of expression B2 (see Molina et al., 2021) to p</w:t>
      </w:r>
      <w:r w:rsidRPr="004978EB">
        <w:rPr>
          <w:rFonts w:cstheme="minorHAnsi"/>
          <w:sz w:val="20"/>
          <w:szCs w:val="20"/>
          <w:vertAlign w:val="subscript"/>
          <w:lang w:val="en-GB"/>
        </w:rPr>
        <w:t>an</w:t>
      </w:r>
      <w:r w:rsidRPr="004978EB">
        <w:rPr>
          <w:rFonts w:cstheme="minorHAnsi"/>
          <w:sz w:val="20"/>
          <w:szCs w:val="20"/>
          <w:lang w:val="en-GB"/>
        </w:rPr>
        <w:t xml:space="preserve"> &lt; 0.80. </w:t>
      </w:r>
    </w:p>
    <w:p w14:paraId="08207837" w14:textId="41011416" w:rsidR="00A206BA" w:rsidRDefault="001229B7" w:rsidP="001229B7">
      <w:pPr>
        <w:jc w:val="both"/>
        <w:rPr>
          <w:rFonts w:cstheme="minorHAnsi"/>
          <w:sz w:val="20"/>
          <w:szCs w:val="20"/>
          <w:lang w:val="en-GB"/>
        </w:rPr>
      </w:pPr>
      <w:r w:rsidRPr="004978EB">
        <w:rPr>
          <w:rFonts w:cstheme="minorHAnsi"/>
          <w:sz w:val="20"/>
          <w:szCs w:val="20"/>
          <w:lang w:val="en-GB"/>
        </w:rPr>
        <w:t xml:space="preserve">24 plagioclase-amphibole pairs from white pumice and 12 pairs from </w:t>
      </w:r>
      <w:r w:rsidR="0025134E">
        <w:rPr>
          <w:lang w:val="en-GB"/>
        </w:rPr>
        <w:t>DC</w:t>
      </w:r>
      <w:r w:rsidR="0025134E">
        <w:rPr>
          <w:vertAlign w:val="subscript"/>
          <w:lang w:val="en-GB"/>
        </w:rPr>
        <w:t>EU1</w:t>
      </w:r>
      <w:r w:rsidRPr="004978EB">
        <w:rPr>
          <w:rFonts w:cstheme="minorHAnsi"/>
          <w:sz w:val="20"/>
          <w:szCs w:val="20"/>
          <w:lang w:val="en-GB"/>
        </w:rPr>
        <w:t xml:space="preserve"> of the opening phase have been modelled by entering each crystal phase compositions, </w:t>
      </w:r>
      <w:proofErr w:type="gramStart"/>
      <w:r w:rsidRPr="004978EB">
        <w:rPr>
          <w:rFonts w:cstheme="minorHAnsi"/>
          <w:sz w:val="20"/>
          <w:szCs w:val="20"/>
          <w:lang w:val="en-GB"/>
        </w:rPr>
        <w:t>pressure</w:t>
      </w:r>
      <w:proofErr w:type="gramEnd"/>
      <w:r w:rsidRPr="004978EB">
        <w:rPr>
          <w:rFonts w:cstheme="minorHAnsi"/>
          <w:sz w:val="20"/>
          <w:szCs w:val="20"/>
          <w:lang w:val="en-GB"/>
        </w:rPr>
        <w:t xml:space="preserve"> and temperature (for further instruction see Molina et al., 2021) in the excel free-workbook. Because of the existing compositional restrictions and because higher values of Cl and F contents (Cl &gt; 0.006 </w:t>
      </w:r>
      <w:proofErr w:type="spellStart"/>
      <w:r w:rsidRPr="004978EB">
        <w:rPr>
          <w:rFonts w:cstheme="minorHAnsi"/>
          <w:sz w:val="20"/>
          <w:szCs w:val="20"/>
          <w:lang w:val="en-GB"/>
        </w:rPr>
        <w:t>apfu</w:t>
      </w:r>
      <w:proofErr w:type="spellEnd"/>
      <w:r w:rsidRPr="004978EB">
        <w:rPr>
          <w:rFonts w:cstheme="minorHAnsi"/>
          <w:sz w:val="20"/>
          <w:szCs w:val="20"/>
          <w:lang w:val="en-GB"/>
        </w:rPr>
        <w:t xml:space="preserve">; F &gt; 0.062 </w:t>
      </w:r>
      <w:proofErr w:type="spellStart"/>
      <w:r w:rsidRPr="004978EB">
        <w:rPr>
          <w:rFonts w:cstheme="minorHAnsi"/>
          <w:sz w:val="20"/>
          <w:szCs w:val="20"/>
          <w:lang w:val="en-GB"/>
        </w:rPr>
        <w:t>apfu</w:t>
      </w:r>
      <w:proofErr w:type="spellEnd"/>
      <w:r w:rsidRPr="004978EB">
        <w:rPr>
          <w:rFonts w:cstheme="minorHAnsi"/>
          <w:sz w:val="20"/>
          <w:szCs w:val="20"/>
          <w:lang w:val="en-GB"/>
        </w:rPr>
        <w:t>) in amphibole from the Avellino products compared to those required for the application of the amp-</w:t>
      </w:r>
      <w:proofErr w:type="spellStart"/>
      <w:r w:rsidRPr="004978EB">
        <w:rPr>
          <w:rFonts w:cstheme="minorHAnsi"/>
          <w:sz w:val="20"/>
          <w:szCs w:val="20"/>
          <w:lang w:val="en-GB"/>
        </w:rPr>
        <w:t>plg</w:t>
      </w:r>
      <w:proofErr w:type="spellEnd"/>
      <w:r w:rsidRPr="004978EB">
        <w:rPr>
          <w:rFonts w:cstheme="minorHAnsi"/>
          <w:sz w:val="20"/>
          <w:szCs w:val="20"/>
          <w:lang w:val="en-GB"/>
        </w:rPr>
        <w:t xml:space="preserve"> thermometer, the three models A1, A2 and B2 (equations 11a, 11c, 11d; Molina 2021), couldn’t be applied to our samples. On the other hand, the barometer provided good results for those amphibole-plagioclase pairs with (</w:t>
      </w:r>
      <w:proofErr w:type="spellStart"/>
      <w:r w:rsidRPr="004978EB">
        <w:rPr>
          <w:rFonts w:cstheme="minorHAnsi"/>
          <w:sz w:val="20"/>
          <w:szCs w:val="20"/>
          <w:lang w:val="en-GB"/>
        </w:rPr>
        <w:t>K+Na</w:t>
      </w:r>
      <w:proofErr w:type="spellEnd"/>
      <w:r w:rsidRPr="004978EB">
        <w:rPr>
          <w:rFonts w:cstheme="minorHAnsi"/>
          <w:sz w:val="20"/>
          <w:szCs w:val="20"/>
          <w:lang w:val="en-GB"/>
        </w:rPr>
        <w:t xml:space="preserve">) in the range 0-1 </w:t>
      </w:r>
      <w:proofErr w:type="spellStart"/>
      <w:r w:rsidRPr="004978EB">
        <w:rPr>
          <w:rFonts w:cstheme="minorHAnsi"/>
          <w:sz w:val="20"/>
          <w:szCs w:val="20"/>
          <w:lang w:val="en-GB"/>
        </w:rPr>
        <w:t>apfu</w:t>
      </w:r>
      <w:proofErr w:type="spellEnd"/>
      <w:r w:rsidRPr="004978EB">
        <w:rPr>
          <w:rFonts w:cstheme="minorHAnsi"/>
          <w:sz w:val="20"/>
          <w:szCs w:val="20"/>
          <w:lang w:val="en-GB"/>
        </w:rPr>
        <w:t>, calculated considering the method 13-CNK (Robinson et al.,</w:t>
      </w:r>
      <w:r w:rsidR="00DA3B44">
        <w:rPr>
          <w:rFonts w:cstheme="minorHAnsi"/>
          <w:sz w:val="20"/>
          <w:szCs w:val="20"/>
          <w:lang w:val="en-GB"/>
        </w:rPr>
        <w:t>1982</w:t>
      </w:r>
      <w:r w:rsidRPr="004978EB">
        <w:rPr>
          <w:rFonts w:cstheme="minorHAnsi"/>
          <w:sz w:val="20"/>
          <w:szCs w:val="20"/>
          <w:lang w:val="en-GB"/>
        </w:rPr>
        <w:t xml:space="preserve">). In total, 5 pairs (n = </w:t>
      </w:r>
      <w:r w:rsidR="007E66BC">
        <w:rPr>
          <w:rFonts w:cstheme="minorHAnsi"/>
          <w:sz w:val="20"/>
          <w:szCs w:val="20"/>
          <w:lang w:val="en-GB"/>
        </w:rPr>
        <w:t>2</w:t>
      </w:r>
      <w:r w:rsidRPr="004978EB">
        <w:rPr>
          <w:rFonts w:cstheme="minorHAnsi"/>
          <w:sz w:val="20"/>
          <w:szCs w:val="20"/>
          <w:lang w:val="en-GB"/>
        </w:rPr>
        <w:t>, for WP and n = 1 for DC, where n is the number of pairs used for the application of the barometer</w:t>
      </w:r>
      <w:r w:rsidR="007E66BC">
        <w:rPr>
          <w:rFonts w:cstheme="minorHAnsi"/>
          <w:sz w:val="20"/>
          <w:szCs w:val="20"/>
          <w:lang w:val="en-GB"/>
        </w:rPr>
        <w:t xml:space="preserve">; </w:t>
      </w:r>
      <w:r w:rsidR="007E66BC" w:rsidRPr="007E66BC">
        <w:rPr>
          <w:rFonts w:cstheme="minorHAnsi"/>
          <w:b/>
          <w:bCs/>
          <w:sz w:val="20"/>
          <w:szCs w:val="20"/>
          <w:lang w:val="en-GB"/>
        </w:rPr>
        <w:t>Table S15</w:t>
      </w:r>
      <w:r w:rsidRPr="004978EB">
        <w:rPr>
          <w:rFonts w:cstheme="minorHAnsi"/>
          <w:sz w:val="20"/>
          <w:szCs w:val="20"/>
          <w:lang w:val="en-GB"/>
        </w:rPr>
        <w:t xml:space="preserve">) gave suitable results. </w:t>
      </w:r>
    </w:p>
    <w:p w14:paraId="22AB5B6D" w14:textId="77777777" w:rsidR="00656D40" w:rsidRDefault="00656D40" w:rsidP="001229B7">
      <w:pPr>
        <w:jc w:val="both"/>
        <w:rPr>
          <w:rFonts w:cstheme="minorHAnsi"/>
          <w:sz w:val="20"/>
          <w:szCs w:val="20"/>
          <w:lang w:val="en-GB"/>
        </w:rPr>
      </w:pPr>
    </w:p>
    <w:p w14:paraId="038EA9C8" w14:textId="77777777" w:rsidR="004A35CD" w:rsidRDefault="004A35CD" w:rsidP="001229B7">
      <w:pPr>
        <w:jc w:val="both"/>
        <w:rPr>
          <w:rFonts w:cstheme="minorHAnsi"/>
          <w:sz w:val="20"/>
          <w:szCs w:val="20"/>
          <w:lang w:val="en-GB"/>
        </w:rPr>
      </w:pPr>
    </w:p>
    <w:p w14:paraId="25B367CE" w14:textId="77777777" w:rsidR="00A206BA" w:rsidRPr="00656D40" w:rsidRDefault="00A206BA" w:rsidP="00A206BA">
      <w:pPr>
        <w:rPr>
          <w:i/>
          <w:iCs/>
          <w:sz w:val="20"/>
          <w:szCs w:val="20"/>
          <w:u w:val="single"/>
          <w:lang w:val="en-GB"/>
        </w:rPr>
      </w:pPr>
      <w:r w:rsidRPr="00656D40">
        <w:rPr>
          <w:i/>
          <w:iCs/>
          <w:sz w:val="20"/>
          <w:szCs w:val="20"/>
          <w:u w:val="single"/>
          <w:lang w:val="en-GB"/>
        </w:rPr>
        <w:lastRenderedPageBreak/>
        <w:t xml:space="preserve">Geothermometer based on clinopyroxene </w:t>
      </w:r>
      <w:proofErr w:type="gramStart"/>
      <w:r w:rsidRPr="00656D40">
        <w:rPr>
          <w:i/>
          <w:iCs/>
          <w:sz w:val="20"/>
          <w:szCs w:val="20"/>
          <w:u w:val="single"/>
          <w:lang w:val="en-GB"/>
        </w:rPr>
        <w:t>composition</w:t>
      </w:r>
      <w:proofErr w:type="gramEnd"/>
    </w:p>
    <w:p w14:paraId="6EA20135" w14:textId="77777777" w:rsidR="00A206BA" w:rsidRPr="003C2D23" w:rsidRDefault="00A206BA" w:rsidP="00A206BA">
      <w:pPr>
        <w:rPr>
          <w:sz w:val="20"/>
          <w:szCs w:val="20"/>
          <w:lang w:val="en-GB"/>
        </w:rPr>
      </w:pPr>
      <w:r w:rsidRPr="003C2D23">
        <w:rPr>
          <w:sz w:val="20"/>
          <w:szCs w:val="20"/>
          <w:lang w:val="en-GB"/>
        </w:rPr>
        <w:t xml:space="preserve">Temperatures were also estimated through the application of the empirical geothermometer equation developed from </w:t>
      </w:r>
      <w:proofErr w:type="spellStart"/>
      <w:r w:rsidRPr="003C2D23">
        <w:rPr>
          <w:sz w:val="20"/>
          <w:szCs w:val="20"/>
          <w:lang w:val="en-GB"/>
        </w:rPr>
        <w:t>Bardeglinu</w:t>
      </w:r>
      <w:proofErr w:type="spellEnd"/>
      <w:r w:rsidRPr="003C2D23">
        <w:rPr>
          <w:sz w:val="20"/>
          <w:szCs w:val="20"/>
          <w:lang w:val="en-GB"/>
        </w:rPr>
        <w:t xml:space="preserve"> et al. (2020) in an experimental study aimed at constraining pre-eruptive storage conditions and physical properties (pressure, </w:t>
      </w:r>
      <w:proofErr w:type="gramStart"/>
      <w:r w:rsidRPr="003C2D23">
        <w:rPr>
          <w:sz w:val="20"/>
          <w:szCs w:val="20"/>
          <w:lang w:val="en-GB"/>
        </w:rPr>
        <w:t>temperature</w:t>
      </w:r>
      <w:proofErr w:type="gramEnd"/>
      <w:r w:rsidRPr="003C2D23">
        <w:rPr>
          <w:sz w:val="20"/>
          <w:szCs w:val="20"/>
          <w:lang w:val="en-GB"/>
        </w:rPr>
        <w:t xml:space="preserve"> and volatiles) of the 1631 eruption at Mt. Somma-Vesuvius: </w:t>
      </w:r>
    </w:p>
    <w:p w14:paraId="58153102" w14:textId="77777777" w:rsidR="00A206BA" w:rsidRPr="003C2D23" w:rsidRDefault="00A206BA" w:rsidP="00A206BA">
      <w:pPr>
        <w:rPr>
          <w:sz w:val="20"/>
          <w:szCs w:val="20"/>
          <w:lang w:val="en-GB"/>
        </w:rPr>
      </w:pPr>
    </w:p>
    <w:p w14:paraId="40060327" w14:textId="77777777" w:rsidR="00A206BA" w:rsidRPr="003C2D23" w:rsidRDefault="00A206BA" w:rsidP="00A206BA">
      <w:pPr>
        <w:rPr>
          <w:rFonts w:ascii="Calibri" w:eastAsiaTheme="minorEastAsia" w:hAnsi="Calibri" w:cs="Calibri"/>
          <w:sz w:val="20"/>
          <w:szCs w:val="20"/>
          <w:lang w:val="en-GB"/>
        </w:rPr>
      </w:pPr>
      <m:oMathPara>
        <m:oMath>
          <m:r>
            <w:rPr>
              <w:rFonts w:ascii="Cambria Math" w:hAnsi="Cambria Math" w:cs="Calibri"/>
              <w:sz w:val="20"/>
              <w:szCs w:val="20"/>
              <w:lang w:val="en-GB"/>
            </w:rPr>
            <m:t xml:space="preserve">T°C=(550.9 </m:t>
          </m:r>
          <m:r>
            <m:rPr>
              <m:sty m:val="p"/>
            </m:rPr>
            <w:rPr>
              <w:rFonts w:ascii="Cambria Math" w:hAnsi="Cambria Math" w:cs="Calibri"/>
              <w:sz w:val="20"/>
              <w:szCs w:val="20"/>
              <w:lang w:val="en-GB"/>
            </w:rPr>
            <m:t>± 54.6) [Mg / (Mg + FeT)] + (620.0 ± 37.4)</m:t>
          </m:r>
        </m:oMath>
      </m:oMathPara>
    </w:p>
    <w:p w14:paraId="41B3B873" w14:textId="77777777" w:rsidR="00A206BA" w:rsidRPr="003C2D23" w:rsidRDefault="00A206BA" w:rsidP="00A206BA">
      <w:pPr>
        <w:rPr>
          <w:rFonts w:ascii="Calibri" w:eastAsiaTheme="minorEastAsia" w:hAnsi="Calibri" w:cs="Calibri"/>
          <w:sz w:val="20"/>
          <w:szCs w:val="20"/>
          <w:lang w:val="en-GB"/>
        </w:rPr>
      </w:pPr>
    </w:p>
    <w:p w14:paraId="26B7DFFB" w14:textId="0643AF0C" w:rsidR="00A206BA" w:rsidRPr="003C2D23" w:rsidRDefault="00A206BA" w:rsidP="00A206BA">
      <w:pPr>
        <w:rPr>
          <w:rFonts w:eastAsiaTheme="minorEastAsia"/>
          <w:sz w:val="20"/>
          <w:szCs w:val="20"/>
          <w:lang w:val="en-GB"/>
        </w:rPr>
      </w:pPr>
      <w:r w:rsidRPr="003C2D23">
        <w:rPr>
          <w:rFonts w:eastAsiaTheme="minorEastAsia"/>
          <w:sz w:val="20"/>
          <w:szCs w:val="20"/>
          <w:lang w:val="en-GB"/>
        </w:rPr>
        <w:t>This geothermometer derives from an important linear relationships (R</w:t>
      </w:r>
      <w:r w:rsidRPr="003C2D23">
        <w:rPr>
          <w:rFonts w:eastAsiaTheme="minorEastAsia"/>
          <w:sz w:val="20"/>
          <w:szCs w:val="20"/>
          <w:vertAlign w:val="superscript"/>
          <w:lang w:val="en-GB"/>
        </w:rPr>
        <w:t>2</w:t>
      </w:r>
      <w:r w:rsidRPr="003C2D23">
        <w:rPr>
          <w:rFonts w:eastAsiaTheme="minorEastAsia"/>
          <w:sz w:val="20"/>
          <w:szCs w:val="20"/>
          <w:lang w:val="en-GB"/>
        </w:rPr>
        <w:t xml:space="preserve"> = 0.83) observed between experimental clinopyroxene composition (Mg#) and temperatures. </w:t>
      </w:r>
      <w:r w:rsidRPr="003C2D23">
        <w:rPr>
          <w:sz w:val="20"/>
          <w:szCs w:val="20"/>
          <w:lang w:val="en-GB"/>
        </w:rPr>
        <w:t>The standard error of the regression is 14.5 °C, with a maximum difference between estimated and measured T of 26 °C.</w:t>
      </w:r>
      <w:r w:rsidRPr="003C2D23">
        <w:rPr>
          <w:rFonts w:eastAsiaTheme="minorEastAsia"/>
          <w:sz w:val="20"/>
          <w:szCs w:val="20"/>
          <w:lang w:val="en-GB"/>
        </w:rPr>
        <w:t xml:space="preserve"> </w:t>
      </w:r>
      <w:r w:rsidRPr="003C2D23">
        <w:rPr>
          <w:sz w:val="20"/>
          <w:szCs w:val="20"/>
          <w:lang w:val="en-GB"/>
        </w:rPr>
        <w:t xml:space="preserve">Only clinopyroxene from the coarser juvenile component (dense blocks) have been selected to define T magma conditions as they are the object of the diffusion chronometry study presented in section </w:t>
      </w:r>
      <w:r w:rsidR="00B738DD">
        <w:rPr>
          <w:sz w:val="20"/>
          <w:szCs w:val="20"/>
          <w:lang w:val="en-GB"/>
        </w:rPr>
        <w:t>5.3</w:t>
      </w:r>
      <w:r w:rsidRPr="003C2D23">
        <w:rPr>
          <w:sz w:val="20"/>
          <w:szCs w:val="20"/>
          <w:lang w:val="en-GB"/>
        </w:rPr>
        <w:t xml:space="preserve"> and in the </w:t>
      </w:r>
      <w:r w:rsidRPr="003C2D23">
        <w:rPr>
          <w:rFonts w:ascii="Calibri" w:hAnsi="Calibri" w:cs="Calibri"/>
          <w:sz w:val="20"/>
          <w:szCs w:val="20"/>
          <w:lang w:val="en-GB"/>
        </w:rPr>
        <w:t>following paragraph</w:t>
      </w:r>
      <w:r w:rsidR="007E66BC">
        <w:rPr>
          <w:rFonts w:ascii="Calibri" w:hAnsi="Calibri" w:cs="Calibri"/>
          <w:sz w:val="20"/>
          <w:szCs w:val="20"/>
          <w:lang w:val="en-GB"/>
        </w:rPr>
        <w:t xml:space="preserve"> S3</w:t>
      </w:r>
      <w:r w:rsidRPr="003C2D23">
        <w:rPr>
          <w:rFonts w:ascii="Calibri" w:hAnsi="Calibri" w:cs="Calibri"/>
          <w:sz w:val="20"/>
          <w:szCs w:val="20"/>
          <w:lang w:val="en-GB"/>
        </w:rPr>
        <w:t xml:space="preserve">. Temperatures are determined using the </w:t>
      </w:r>
      <w:r w:rsidR="005D70D2">
        <w:rPr>
          <w:rFonts w:ascii="Calibri" w:hAnsi="Calibri" w:cs="Calibri"/>
          <w:sz w:val="20"/>
          <w:szCs w:val="20"/>
          <w:lang w:val="en-GB"/>
        </w:rPr>
        <w:t xml:space="preserve">average </w:t>
      </w:r>
      <w:r w:rsidRPr="003C2D23">
        <w:rPr>
          <w:rFonts w:ascii="Calibri" w:hAnsi="Calibri" w:cs="Calibri"/>
          <w:sz w:val="20"/>
          <w:szCs w:val="20"/>
          <w:lang w:val="en-GB"/>
        </w:rPr>
        <w:t xml:space="preserve">chemical composition of the different portion (core-mantle-rim) of a total of </w:t>
      </w:r>
      <w:r w:rsidR="00B738DD">
        <w:rPr>
          <w:rFonts w:ascii="Calibri" w:hAnsi="Calibri" w:cs="Calibri"/>
          <w:sz w:val="20"/>
          <w:szCs w:val="20"/>
          <w:lang w:val="en-GB"/>
        </w:rPr>
        <w:t>17</w:t>
      </w:r>
      <w:r w:rsidRPr="003C2D23">
        <w:rPr>
          <w:rFonts w:ascii="Calibri" w:hAnsi="Calibri" w:cs="Calibri"/>
          <w:sz w:val="20"/>
          <w:szCs w:val="20"/>
          <w:lang w:val="en-GB"/>
        </w:rPr>
        <w:t xml:space="preserve"> clinopyroxene belonging to</w:t>
      </w:r>
      <w:r w:rsidR="00B738DD">
        <w:rPr>
          <w:rFonts w:ascii="Calibri" w:hAnsi="Calibri" w:cs="Calibri"/>
          <w:sz w:val="20"/>
          <w:szCs w:val="20"/>
          <w:lang w:val="en-GB"/>
        </w:rPr>
        <w:t xml:space="preserve"> T1</w:t>
      </w:r>
      <w:r w:rsidRPr="003C2D23">
        <w:rPr>
          <w:rFonts w:ascii="Calibri" w:hAnsi="Calibri" w:cs="Calibri"/>
          <w:sz w:val="20"/>
          <w:szCs w:val="20"/>
          <w:lang w:val="en-GB"/>
        </w:rPr>
        <w:t xml:space="preserve"> blocks, T1 (AVD1, AVD9 and AV_B) of the Avellino opening phase</w:t>
      </w:r>
      <w:r w:rsidR="00B738DD">
        <w:rPr>
          <w:rFonts w:ascii="Calibri" w:hAnsi="Calibri" w:cs="Calibri"/>
          <w:sz w:val="20"/>
          <w:szCs w:val="20"/>
          <w:lang w:val="en-GB"/>
        </w:rPr>
        <w:t xml:space="preserve"> (</w:t>
      </w:r>
      <w:r w:rsidR="00B738DD" w:rsidRPr="00B738DD">
        <w:rPr>
          <w:rFonts w:ascii="Calibri" w:hAnsi="Calibri" w:cs="Calibri"/>
          <w:b/>
          <w:bCs/>
          <w:sz w:val="20"/>
          <w:szCs w:val="20"/>
          <w:lang w:val="en-GB"/>
        </w:rPr>
        <w:t>Table S16</w:t>
      </w:r>
      <w:r w:rsidR="00B738DD">
        <w:rPr>
          <w:rFonts w:ascii="Calibri" w:hAnsi="Calibri" w:cs="Calibri"/>
          <w:sz w:val="20"/>
          <w:szCs w:val="20"/>
          <w:lang w:val="en-GB"/>
        </w:rPr>
        <w:t>)</w:t>
      </w:r>
      <w:r w:rsidRPr="003C2D23">
        <w:rPr>
          <w:rFonts w:ascii="Calibri" w:hAnsi="Calibri" w:cs="Calibri"/>
          <w:sz w:val="20"/>
          <w:szCs w:val="20"/>
          <w:lang w:val="en-GB"/>
        </w:rPr>
        <w:t>.</w:t>
      </w:r>
      <w:r w:rsidRPr="003C2D23">
        <w:rPr>
          <w:sz w:val="20"/>
          <w:szCs w:val="20"/>
          <w:lang w:val="en-GB"/>
        </w:rPr>
        <w:t xml:space="preserve"> </w:t>
      </w:r>
    </w:p>
    <w:bookmarkEnd w:id="1"/>
    <w:p w14:paraId="0AB4F79F" w14:textId="77777777" w:rsidR="001229B7" w:rsidRPr="004978EB" w:rsidRDefault="001229B7" w:rsidP="001229B7">
      <w:pPr>
        <w:rPr>
          <w:rFonts w:cstheme="minorHAnsi"/>
          <w:b/>
          <w:bCs/>
          <w:sz w:val="20"/>
          <w:szCs w:val="20"/>
          <w:lang w:val="en-GB"/>
        </w:rPr>
      </w:pPr>
    </w:p>
    <w:p w14:paraId="127E23B3" w14:textId="06909FF2" w:rsidR="00894747" w:rsidRPr="00BC6D86" w:rsidRDefault="00BC6D86" w:rsidP="00BC6D86">
      <w:pPr>
        <w:spacing w:line="276" w:lineRule="auto"/>
        <w:rPr>
          <w:rFonts w:cstheme="minorHAnsi"/>
          <w:b/>
          <w:bCs/>
          <w:sz w:val="20"/>
          <w:szCs w:val="20"/>
          <w:lang w:val="en-GB"/>
        </w:rPr>
      </w:pPr>
      <w:r>
        <w:rPr>
          <w:rFonts w:cstheme="minorHAnsi"/>
          <w:b/>
          <w:bCs/>
          <w:sz w:val="20"/>
          <w:szCs w:val="20"/>
          <w:lang w:val="en-GB"/>
        </w:rPr>
        <w:t>S</w:t>
      </w:r>
      <w:r w:rsidR="00D57E33">
        <w:rPr>
          <w:rFonts w:cstheme="minorHAnsi"/>
          <w:b/>
          <w:bCs/>
          <w:sz w:val="20"/>
          <w:szCs w:val="20"/>
          <w:lang w:val="en-GB"/>
        </w:rPr>
        <w:t>2</w:t>
      </w:r>
      <w:r>
        <w:rPr>
          <w:rFonts w:cstheme="minorHAnsi"/>
          <w:b/>
          <w:bCs/>
          <w:sz w:val="20"/>
          <w:szCs w:val="20"/>
          <w:lang w:val="en-GB"/>
        </w:rPr>
        <w:t xml:space="preserve">. </w:t>
      </w:r>
      <w:r w:rsidR="00384637" w:rsidRPr="00BC6D86">
        <w:rPr>
          <w:rFonts w:cstheme="minorHAnsi"/>
          <w:b/>
          <w:bCs/>
          <w:sz w:val="20"/>
          <w:szCs w:val="20"/>
          <w:lang w:val="en-GB"/>
        </w:rPr>
        <w:t>NIDIS MODEL (Petrone et al. 2016)</w:t>
      </w:r>
      <w:r w:rsidR="00B61AEB" w:rsidRPr="00BC6D86">
        <w:rPr>
          <w:rFonts w:cstheme="minorHAnsi"/>
          <w:b/>
          <w:bCs/>
          <w:sz w:val="20"/>
          <w:szCs w:val="20"/>
          <w:lang w:val="en-GB"/>
        </w:rPr>
        <w:t xml:space="preserve"> and application. </w:t>
      </w:r>
    </w:p>
    <w:p w14:paraId="20BBFDDD" w14:textId="5E474D1A" w:rsidR="005427AF" w:rsidRDefault="003C2D23" w:rsidP="008C10E6">
      <w:pPr>
        <w:spacing w:line="276" w:lineRule="auto"/>
        <w:jc w:val="both"/>
        <w:rPr>
          <w:rFonts w:cstheme="minorHAnsi"/>
          <w:sz w:val="20"/>
          <w:szCs w:val="20"/>
          <w:lang w:val="en-GB"/>
        </w:rPr>
      </w:pPr>
      <w:r w:rsidRPr="003C2D23">
        <w:rPr>
          <w:rFonts w:ascii="Calibri" w:eastAsia="Calibri" w:hAnsi="Calibri" w:cs="Times New Roman"/>
          <w:sz w:val="20"/>
          <w:szCs w:val="20"/>
          <w:lang w:val="en-GB"/>
        </w:rPr>
        <w:t xml:space="preserve">Pre-eruptive timescales </w:t>
      </w:r>
      <w:r w:rsidR="00807B49">
        <w:rPr>
          <w:rFonts w:ascii="Calibri" w:eastAsia="Calibri" w:hAnsi="Calibri" w:cs="Times New Roman"/>
          <w:sz w:val="20"/>
          <w:szCs w:val="20"/>
          <w:lang w:val="en-GB"/>
        </w:rPr>
        <w:t>(</w:t>
      </w:r>
      <w:r w:rsidR="00807B49" w:rsidRPr="00807B49">
        <w:rPr>
          <w:rFonts w:ascii="Calibri" w:eastAsia="Calibri" w:hAnsi="Calibri" w:cs="Times New Roman"/>
          <w:b/>
          <w:bCs/>
          <w:sz w:val="20"/>
          <w:szCs w:val="20"/>
          <w:lang w:val="en-GB"/>
        </w:rPr>
        <w:t>Table S</w:t>
      </w:r>
      <w:r w:rsidR="00B738DD">
        <w:rPr>
          <w:rFonts w:ascii="Calibri" w:eastAsia="Calibri" w:hAnsi="Calibri" w:cs="Times New Roman"/>
          <w:b/>
          <w:bCs/>
          <w:sz w:val="20"/>
          <w:szCs w:val="20"/>
          <w:lang w:val="en-GB"/>
        </w:rPr>
        <w:t>17</w:t>
      </w:r>
      <w:r w:rsidR="00807B49">
        <w:rPr>
          <w:rFonts w:ascii="Calibri" w:eastAsia="Calibri" w:hAnsi="Calibri" w:cs="Times New Roman"/>
          <w:sz w:val="20"/>
          <w:szCs w:val="20"/>
          <w:lang w:val="en-GB"/>
        </w:rPr>
        <w:t xml:space="preserve">) </w:t>
      </w:r>
      <w:r w:rsidRPr="003C2D23">
        <w:rPr>
          <w:rFonts w:ascii="Calibri" w:eastAsia="Calibri" w:hAnsi="Calibri" w:cs="Times New Roman"/>
          <w:sz w:val="20"/>
          <w:szCs w:val="20"/>
          <w:lang w:val="en-GB"/>
        </w:rPr>
        <w:t>of magma storage and movement toward the surface have been calculated on</w:t>
      </w:r>
      <w:r>
        <w:rPr>
          <w:rFonts w:ascii="Calibri" w:eastAsia="Calibri" w:hAnsi="Calibri" w:cs="Times New Roman"/>
          <w:sz w:val="20"/>
          <w:szCs w:val="20"/>
          <w:lang w:val="en-GB"/>
        </w:rPr>
        <w:t xml:space="preserve"> 16</w:t>
      </w:r>
      <w:r w:rsidRPr="003C2D23">
        <w:rPr>
          <w:rFonts w:ascii="Calibri" w:eastAsia="Calibri" w:hAnsi="Calibri" w:cs="Times New Roman"/>
          <w:sz w:val="20"/>
          <w:szCs w:val="20"/>
          <w:lang w:val="en-GB"/>
        </w:rPr>
        <w:t xml:space="preserve"> selected clinopyroxene using the Non-Isothermal Diffusion Incremental Step (NIDIS) approach (Petrone et al., 2016). NIDIS </w:t>
      </w:r>
      <w:proofErr w:type="gramStart"/>
      <w:r w:rsidRPr="003C2D23">
        <w:rPr>
          <w:rFonts w:ascii="Calibri" w:eastAsia="Calibri" w:hAnsi="Calibri" w:cs="Times New Roman"/>
          <w:sz w:val="20"/>
          <w:szCs w:val="20"/>
          <w:lang w:val="en-GB"/>
        </w:rPr>
        <w:t>takes into account</w:t>
      </w:r>
      <w:proofErr w:type="gramEnd"/>
      <w:r w:rsidRPr="003C2D23">
        <w:rPr>
          <w:rFonts w:ascii="Calibri" w:eastAsia="Calibri" w:hAnsi="Calibri" w:cs="Times New Roman"/>
          <w:sz w:val="20"/>
          <w:szCs w:val="20"/>
          <w:lang w:val="en-GB"/>
        </w:rPr>
        <w:t xml:space="preserve"> the multiple-stage variations of temperature and chemical composition of the magma as a result of different pre-eruptive processes. </w:t>
      </w:r>
      <w:r w:rsidR="00CB559C" w:rsidRPr="004978EB">
        <w:rPr>
          <w:rFonts w:cstheme="minorHAnsi"/>
          <w:sz w:val="20"/>
          <w:szCs w:val="20"/>
          <w:lang w:val="en-GB"/>
        </w:rPr>
        <w:t>These temporal</w:t>
      </w:r>
      <w:r w:rsidR="00CF567F" w:rsidRPr="004978EB">
        <w:rPr>
          <w:rFonts w:cstheme="minorHAnsi"/>
          <w:sz w:val="20"/>
          <w:szCs w:val="20"/>
          <w:lang w:val="en-GB"/>
        </w:rPr>
        <w:t xml:space="preserve"> variations are recorded </w:t>
      </w:r>
      <w:r>
        <w:rPr>
          <w:rFonts w:cstheme="minorHAnsi"/>
          <w:sz w:val="20"/>
          <w:szCs w:val="20"/>
          <w:lang w:val="en-GB"/>
        </w:rPr>
        <w:t xml:space="preserve">in the </w:t>
      </w:r>
      <w:r w:rsidR="00CF567F" w:rsidRPr="004978EB">
        <w:rPr>
          <w:rFonts w:cstheme="minorHAnsi"/>
          <w:sz w:val="20"/>
          <w:szCs w:val="20"/>
          <w:lang w:val="en-GB"/>
        </w:rPr>
        <w:t xml:space="preserve">textures and compositions of crystals </w:t>
      </w:r>
      <w:r w:rsidR="00CB559C" w:rsidRPr="004978EB">
        <w:rPr>
          <w:rFonts w:cstheme="minorHAnsi"/>
          <w:sz w:val="20"/>
          <w:szCs w:val="20"/>
          <w:lang w:val="en-GB"/>
        </w:rPr>
        <w:t>with distinctive</w:t>
      </w:r>
      <w:r w:rsidR="00CF567F" w:rsidRPr="004978EB">
        <w:rPr>
          <w:rFonts w:cstheme="minorHAnsi"/>
          <w:sz w:val="20"/>
          <w:szCs w:val="20"/>
          <w:lang w:val="en-GB"/>
        </w:rPr>
        <w:t xml:space="preserve"> zoning profile </w:t>
      </w:r>
      <w:r w:rsidR="00CB559C" w:rsidRPr="004978EB">
        <w:rPr>
          <w:rFonts w:cstheme="minorHAnsi"/>
          <w:sz w:val="20"/>
          <w:szCs w:val="20"/>
          <w:lang w:val="en-GB"/>
        </w:rPr>
        <w:t xml:space="preserve">and are significantly dependent on </w:t>
      </w:r>
      <w:r w:rsidR="00CB559C" w:rsidRPr="003C2D23">
        <w:rPr>
          <w:rFonts w:cstheme="minorHAnsi"/>
          <w:sz w:val="20"/>
          <w:szCs w:val="20"/>
          <w:lang w:val="en-GB"/>
        </w:rPr>
        <w:t>temperatures</w:t>
      </w:r>
      <w:r>
        <w:rPr>
          <w:rFonts w:cstheme="minorHAnsi"/>
          <w:sz w:val="20"/>
          <w:szCs w:val="20"/>
          <w:lang w:val="en-GB"/>
        </w:rPr>
        <w:t xml:space="preserve"> </w:t>
      </w:r>
      <w:r w:rsidRPr="003C2D23">
        <w:rPr>
          <w:rFonts w:ascii="Calibri" w:eastAsia="Calibri" w:hAnsi="Calibri" w:cs="Times New Roman"/>
          <w:sz w:val="20"/>
          <w:szCs w:val="20"/>
          <w:lang w:val="en-GB"/>
        </w:rPr>
        <w:t>of crystalli</w:t>
      </w:r>
      <w:r>
        <w:rPr>
          <w:rFonts w:ascii="Calibri" w:eastAsia="Calibri" w:hAnsi="Calibri" w:cs="Times New Roman"/>
          <w:sz w:val="20"/>
          <w:szCs w:val="20"/>
          <w:lang w:val="en-GB"/>
        </w:rPr>
        <w:t>z</w:t>
      </w:r>
      <w:r w:rsidRPr="003C2D23">
        <w:rPr>
          <w:rFonts w:ascii="Calibri" w:eastAsia="Calibri" w:hAnsi="Calibri" w:cs="Times New Roman"/>
          <w:sz w:val="20"/>
          <w:szCs w:val="20"/>
          <w:lang w:val="en-GB"/>
        </w:rPr>
        <w:t>ation and crystal storage</w:t>
      </w:r>
      <w:r w:rsidR="00CB559C" w:rsidRPr="003C2D23">
        <w:rPr>
          <w:rFonts w:cstheme="minorHAnsi"/>
          <w:sz w:val="20"/>
          <w:szCs w:val="20"/>
          <w:lang w:val="en-GB"/>
        </w:rPr>
        <w:t xml:space="preserve">. </w:t>
      </w:r>
      <w:r w:rsidR="00D55E90" w:rsidRPr="003C2D23">
        <w:rPr>
          <w:rFonts w:cstheme="minorHAnsi"/>
          <w:sz w:val="20"/>
          <w:szCs w:val="20"/>
          <w:lang w:val="en-GB"/>
        </w:rPr>
        <w:t>The NIDIS model</w:t>
      </w:r>
      <w:r w:rsidR="007E26BA" w:rsidRPr="003C2D23">
        <w:rPr>
          <w:rFonts w:cstheme="minorHAnsi"/>
          <w:sz w:val="20"/>
          <w:szCs w:val="20"/>
          <w:lang w:val="en-GB"/>
        </w:rPr>
        <w:t xml:space="preserve"> considers diffusion coefficients for each different crystal composition boundary to match </w:t>
      </w:r>
      <w:r w:rsidR="00416858" w:rsidRPr="003C2D23">
        <w:rPr>
          <w:rFonts w:cstheme="minorHAnsi"/>
          <w:sz w:val="20"/>
          <w:szCs w:val="20"/>
          <w:lang w:val="en-GB"/>
        </w:rPr>
        <w:t xml:space="preserve">its specific </w:t>
      </w:r>
      <w:r w:rsidR="007E26BA" w:rsidRPr="003C2D23">
        <w:rPr>
          <w:rFonts w:cstheme="minorHAnsi"/>
          <w:sz w:val="20"/>
          <w:szCs w:val="20"/>
          <w:lang w:val="en-GB"/>
        </w:rPr>
        <w:t>temperature set at the pre</w:t>
      </w:r>
      <w:r w:rsidR="007E26BA" w:rsidRPr="004978EB">
        <w:rPr>
          <w:rFonts w:cstheme="minorHAnsi"/>
          <w:sz w:val="20"/>
          <w:szCs w:val="20"/>
          <w:lang w:val="en-GB"/>
        </w:rPr>
        <w:t xml:space="preserve">-eruptive equilibrium condition. </w:t>
      </w:r>
      <w:r w:rsidR="005427AF" w:rsidRPr="005427AF">
        <w:rPr>
          <w:rFonts w:cstheme="minorHAnsi"/>
          <w:sz w:val="20"/>
          <w:szCs w:val="20"/>
          <w:lang w:val="en-GB"/>
        </w:rPr>
        <w:t xml:space="preserve">The NIDIS model has been developed </w:t>
      </w:r>
      <w:proofErr w:type="gramStart"/>
      <w:r w:rsidR="005427AF" w:rsidRPr="005427AF">
        <w:rPr>
          <w:rFonts w:cstheme="minorHAnsi"/>
          <w:sz w:val="20"/>
          <w:szCs w:val="20"/>
          <w:lang w:val="en-GB"/>
        </w:rPr>
        <w:t>on the basis of</w:t>
      </w:r>
      <w:proofErr w:type="gramEnd"/>
      <w:r w:rsidR="005427AF" w:rsidRPr="005427AF">
        <w:rPr>
          <w:rFonts w:cstheme="minorHAnsi"/>
          <w:sz w:val="20"/>
          <w:szCs w:val="20"/>
          <w:lang w:val="en-GB"/>
        </w:rPr>
        <w:t xml:space="preserve"> diffusion profiles derived from high-resolution back-scattered images of clinopyroxene (Petrone et al., 2016)</w:t>
      </w:r>
      <w:r w:rsidR="00556448">
        <w:rPr>
          <w:rFonts w:cstheme="minorHAnsi"/>
          <w:sz w:val="20"/>
          <w:szCs w:val="20"/>
          <w:lang w:val="en-GB"/>
        </w:rPr>
        <w:t xml:space="preserve">, </w:t>
      </w:r>
      <w:r w:rsidR="00FC69C8">
        <w:rPr>
          <w:rFonts w:cstheme="minorHAnsi"/>
          <w:sz w:val="20"/>
          <w:szCs w:val="20"/>
          <w:lang w:val="en-GB"/>
        </w:rPr>
        <w:t xml:space="preserve">as the </w:t>
      </w:r>
      <w:r w:rsidR="00FC69C8" w:rsidRPr="005427AF">
        <w:rPr>
          <w:rFonts w:cstheme="minorHAnsi"/>
          <w:sz w:val="20"/>
          <w:szCs w:val="20"/>
          <w:lang w:val="en-GB"/>
        </w:rPr>
        <w:t>grey scale profile from BSE images can be used as a proxy of Mg# variation in clinopyroxene</w:t>
      </w:r>
      <w:r w:rsidR="00FC69C8">
        <w:rPr>
          <w:rFonts w:cstheme="minorHAnsi"/>
          <w:sz w:val="20"/>
          <w:szCs w:val="20"/>
          <w:lang w:val="en-GB"/>
        </w:rPr>
        <w:t xml:space="preserve"> </w:t>
      </w:r>
      <w:r w:rsidR="005427AF" w:rsidRPr="005427AF">
        <w:rPr>
          <w:rFonts w:cstheme="minorHAnsi"/>
          <w:sz w:val="20"/>
          <w:szCs w:val="20"/>
          <w:lang w:val="en-GB"/>
        </w:rPr>
        <w:t>(e.g. Morgan et al. 2004; Chamberlain et al., 2014; Petrone et al., 2016, 2018)</w:t>
      </w:r>
      <w:r w:rsidR="006C4BE1">
        <w:rPr>
          <w:rFonts w:cstheme="minorHAnsi"/>
          <w:sz w:val="20"/>
          <w:szCs w:val="20"/>
          <w:lang w:val="en-GB"/>
        </w:rPr>
        <w:t xml:space="preserve">. </w:t>
      </w:r>
    </w:p>
    <w:p w14:paraId="26BAD06A" w14:textId="7BE8A681" w:rsidR="00656D40" w:rsidRDefault="00656D40" w:rsidP="00656D40">
      <w:pPr>
        <w:spacing w:line="276" w:lineRule="auto"/>
        <w:jc w:val="both"/>
        <w:rPr>
          <w:rFonts w:cstheme="minorHAnsi"/>
          <w:sz w:val="20"/>
          <w:szCs w:val="20"/>
          <w:lang w:val="en-GB"/>
        </w:rPr>
      </w:pPr>
      <w:r w:rsidRPr="00656D40">
        <w:rPr>
          <w:rFonts w:cstheme="minorHAnsi"/>
          <w:sz w:val="20"/>
          <w:szCs w:val="20"/>
          <w:lang w:val="en-GB"/>
        </w:rPr>
        <w:t>The application of the NIDIS code allows to deconstruct the core-rim diffusion profile of single or multi-zoned crystals into different isothermal steps each characterised by a diffusion coefficient (D) calculated at the temperature of pre-eruptive equilibrium condition relative to the specific compositional boundary (Petrone et al., 2016). Thereby, partial timescales (</w:t>
      </w:r>
      <w:proofErr w:type="spellStart"/>
      <w:r w:rsidRPr="00656D40">
        <w:rPr>
          <w:rFonts w:cstheme="minorHAnsi"/>
          <w:sz w:val="20"/>
          <w:szCs w:val="20"/>
          <w:lang w:val="en-GB"/>
        </w:rPr>
        <w:t>Δtn</w:t>
      </w:r>
      <w:proofErr w:type="spellEnd"/>
      <w:r w:rsidRPr="00656D40">
        <w:rPr>
          <w:rFonts w:cstheme="minorHAnsi"/>
          <w:sz w:val="20"/>
          <w:szCs w:val="20"/>
          <w:lang w:val="en-GB"/>
        </w:rPr>
        <w:t>) can be calculated for each compositional boundary and the total residence time of a crystal is given by "∆t"= ∑∆tn. For example, in the simple case of a pyroxene crystal with a low-Mg# [(Mg/Mg+Fe</w:t>
      </w:r>
      <w:r w:rsidRPr="00656D40">
        <w:rPr>
          <w:rFonts w:cstheme="minorHAnsi"/>
          <w:sz w:val="20"/>
          <w:szCs w:val="20"/>
          <w:vertAlign w:val="superscript"/>
          <w:lang w:val="en-GB"/>
        </w:rPr>
        <w:t>2+</w:t>
      </w:r>
      <w:r w:rsidRPr="00656D40">
        <w:rPr>
          <w:rFonts w:cstheme="minorHAnsi"/>
          <w:sz w:val="20"/>
          <w:szCs w:val="20"/>
          <w:lang w:val="en-GB"/>
        </w:rPr>
        <w:t>)], low T core, surrounded by a high-Mg#, high T mantle and a low-Mg#, low T rim</w:t>
      </w:r>
      <w:r>
        <w:rPr>
          <w:rFonts w:cstheme="minorHAnsi"/>
          <w:sz w:val="20"/>
          <w:szCs w:val="20"/>
          <w:lang w:val="en-GB"/>
        </w:rPr>
        <w:t>,</w:t>
      </w:r>
      <w:r w:rsidRPr="00656D40">
        <w:rPr>
          <w:rFonts w:cstheme="minorHAnsi"/>
          <w:sz w:val="20"/>
          <w:szCs w:val="20"/>
          <w:lang w:val="en-GB"/>
        </w:rPr>
        <w:t xml:space="preserve"> two partial timescales (Δt1 and Δt2) can be calculated.  Δt2 corresponds to diffusive time spent by the crystal at low T in the low-Mg# domain of the rim, which represents the last magmatic environment until eruption. It is obtained by the best fit of the diffusion profile across the more external compositional boundary. Δt1 is the timescale obtained by the best fit of the diffusion profile across the more internal boundary (core-mantle) and is calculated as Δt4 – Δt3; where Δt3 is the pseudo-timescale calculated by assuming that the core-mantle profile has diffused at high-T with the same √4Dt parameter of the mantle-rim fit (Δt2).  Δt4 is the pseudo-timescale obtained by the best fit model applied to the core-mantle diffusion profile assuming it is formed entirely at high-T of the high-Mg# magma. Thus, Δt1 is time that the core-mantle compositional boundary spent diffusing at the high-T of the high-Mg# magma environment</w:t>
      </w:r>
      <w:r w:rsidR="00085E53">
        <w:rPr>
          <w:rFonts w:cstheme="minorHAnsi"/>
          <w:sz w:val="20"/>
          <w:szCs w:val="20"/>
          <w:lang w:val="en-GB"/>
        </w:rPr>
        <w:t xml:space="preserve"> and can be </w:t>
      </w:r>
      <w:r w:rsidR="004A4433">
        <w:rPr>
          <w:rFonts w:cstheme="minorHAnsi"/>
          <w:sz w:val="20"/>
          <w:szCs w:val="20"/>
          <w:lang w:val="en-GB"/>
        </w:rPr>
        <w:t>equate</w:t>
      </w:r>
      <w:r w:rsidR="00085E53">
        <w:rPr>
          <w:rFonts w:cstheme="minorHAnsi"/>
          <w:sz w:val="20"/>
          <w:szCs w:val="20"/>
          <w:lang w:val="en-GB"/>
        </w:rPr>
        <w:t xml:space="preserve"> to the duration of the magma mixing process</w:t>
      </w:r>
      <w:r w:rsidRPr="00656D40">
        <w:rPr>
          <w:rFonts w:cstheme="minorHAnsi"/>
          <w:sz w:val="20"/>
          <w:szCs w:val="20"/>
          <w:lang w:val="en-GB"/>
        </w:rPr>
        <w:t xml:space="preserve">; for further details see Petrone et al., 2016, </w:t>
      </w:r>
      <w:r w:rsidR="00085E53">
        <w:rPr>
          <w:rFonts w:cstheme="minorHAnsi"/>
          <w:sz w:val="20"/>
          <w:szCs w:val="20"/>
          <w:lang w:val="en-GB"/>
        </w:rPr>
        <w:t>2018</w:t>
      </w:r>
      <w:r w:rsidR="00B705A0">
        <w:rPr>
          <w:rFonts w:cstheme="minorHAnsi"/>
          <w:sz w:val="20"/>
          <w:szCs w:val="20"/>
          <w:lang w:val="en-GB"/>
        </w:rPr>
        <w:t>, 2021</w:t>
      </w:r>
      <w:r w:rsidRPr="00656D40">
        <w:rPr>
          <w:rFonts w:cstheme="minorHAnsi"/>
          <w:sz w:val="20"/>
          <w:szCs w:val="20"/>
          <w:lang w:val="en-GB"/>
        </w:rPr>
        <w:t>; Mangler et al., 2022). In our case, we have adapted NIDIS to calculate:</w:t>
      </w:r>
      <w:r>
        <w:rPr>
          <w:rFonts w:cstheme="minorHAnsi"/>
          <w:sz w:val="20"/>
          <w:szCs w:val="20"/>
          <w:lang w:val="en-GB"/>
        </w:rPr>
        <w:t xml:space="preserve"> </w:t>
      </w:r>
    </w:p>
    <w:p w14:paraId="534B9CF2" w14:textId="53679752" w:rsidR="00656D40" w:rsidRPr="00656D40" w:rsidRDefault="00656D40" w:rsidP="00656D40">
      <w:pPr>
        <w:spacing w:line="276" w:lineRule="auto"/>
        <w:jc w:val="both"/>
        <w:rPr>
          <w:rFonts w:cstheme="minorHAnsi"/>
          <w:sz w:val="20"/>
          <w:szCs w:val="20"/>
          <w:lang w:val="en-GB"/>
        </w:rPr>
      </w:pPr>
      <w:r w:rsidRPr="00656D40">
        <w:rPr>
          <w:rFonts w:cstheme="minorHAnsi"/>
          <w:sz w:val="20"/>
          <w:szCs w:val="20"/>
          <w:lang w:val="en-GB"/>
        </w:rPr>
        <w:t>1)</w:t>
      </w:r>
      <w:r w:rsidR="004A4433">
        <w:rPr>
          <w:rFonts w:cstheme="minorHAnsi"/>
          <w:sz w:val="20"/>
          <w:szCs w:val="20"/>
          <w:lang w:val="en-GB"/>
        </w:rPr>
        <w:t xml:space="preserve"> </w:t>
      </w:r>
      <w:r w:rsidRPr="00656D40">
        <w:rPr>
          <w:rFonts w:cstheme="minorHAnsi"/>
          <w:sz w:val="20"/>
          <w:szCs w:val="20"/>
          <w:lang w:val="en-GB"/>
        </w:rPr>
        <w:t>Residence time of crystals within the last magmatic environment before eruption related to the diffusive time of the last compositional boundary at the crystal’s rim (e.g., Allan et al., 2013; Costa et al., 200</w:t>
      </w:r>
      <w:r w:rsidR="00B705A0">
        <w:rPr>
          <w:rFonts w:cstheme="minorHAnsi"/>
          <w:sz w:val="20"/>
          <w:szCs w:val="20"/>
          <w:lang w:val="en-GB"/>
        </w:rPr>
        <w:t>8</w:t>
      </w:r>
      <w:r w:rsidRPr="00656D40">
        <w:rPr>
          <w:rFonts w:cstheme="minorHAnsi"/>
          <w:sz w:val="20"/>
          <w:szCs w:val="20"/>
          <w:lang w:val="en-GB"/>
        </w:rPr>
        <w:t>; Kilgour et al., 201</w:t>
      </w:r>
      <w:r w:rsidR="00B705A0">
        <w:rPr>
          <w:rFonts w:cstheme="minorHAnsi"/>
          <w:sz w:val="20"/>
          <w:szCs w:val="20"/>
          <w:lang w:val="en-GB"/>
        </w:rPr>
        <w:t>4</w:t>
      </w:r>
      <w:r w:rsidRPr="00656D40">
        <w:rPr>
          <w:rFonts w:cstheme="minorHAnsi"/>
          <w:sz w:val="20"/>
          <w:szCs w:val="20"/>
          <w:lang w:val="en-GB"/>
        </w:rPr>
        <w:t xml:space="preserve">; Morgan et al., 2004, Petrone et al., 2022).  </w:t>
      </w:r>
    </w:p>
    <w:p w14:paraId="61A250C0" w14:textId="6F07DAD1" w:rsidR="00656D40" w:rsidRPr="00656D40" w:rsidRDefault="00656D40" w:rsidP="00656D40">
      <w:pPr>
        <w:spacing w:line="276" w:lineRule="auto"/>
        <w:jc w:val="both"/>
        <w:rPr>
          <w:rFonts w:cstheme="minorHAnsi"/>
          <w:sz w:val="20"/>
          <w:szCs w:val="20"/>
          <w:lang w:val="en-GB"/>
        </w:rPr>
      </w:pPr>
      <w:r w:rsidRPr="00656D40">
        <w:rPr>
          <w:rFonts w:cstheme="minorHAnsi"/>
          <w:sz w:val="20"/>
          <w:szCs w:val="20"/>
          <w:lang w:val="en-GB"/>
        </w:rPr>
        <w:lastRenderedPageBreak/>
        <w:t>2)</w:t>
      </w:r>
      <w:r w:rsidR="004A4433">
        <w:rPr>
          <w:rFonts w:cstheme="minorHAnsi"/>
          <w:sz w:val="20"/>
          <w:szCs w:val="20"/>
          <w:lang w:val="en-GB"/>
        </w:rPr>
        <w:t xml:space="preserve"> </w:t>
      </w:r>
      <w:r w:rsidRPr="00656D40">
        <w:rPr>
          <w:rFonts w:cstheme="minorHAnsi"/>
          <w:sz w:val="20"/>
          <w:szCs w:val="20"/>
          <w:lang w:val="en-GB"/>
        </w:rPr>
        <w:t>Total timescales from the mafic recharge to the onset of the eruption</w:t>
      </w:r>
      <w:r w:rsidR="00085E53">
        <w:rPr>
          <w:rFonts w:cstheme="minorHAnsi"/>
          <w:sz w:val="20"/>
          <w:szCs w:val="20"/>
          <w:lang w:val="en-GB"/>
        </w:rPr>
        <w:t>, including the duration of magma mixing</w:t>
      </w:r>
      <w:r w:rsidRPr="00656D40">
        <w:rPr>
          <w:rFonts w:cstheme="minorHAnsi"/>
          <w:sz w:val="20"/>
          <w:szCs w:val="20"/>
          <w:lang w:val="en-GB"/>
        </w:rPr>
        <w:t>.</w:t>
      </w:r>
    </w:p>
    <w:p w14:paraId="2D7C8CA4" w14:textId="19044DD8" w:rsidR="00656D40" w:rsidRDefault="00656D40" w:rsidP="00656D40">
      <w:pPr>
        <w:spacing w:line="276" w:lineRule="auto"/>
        <w:jc w:val="both"/>
        <w:rPr>
          <w:rFonts w:cstheme="minorHAnsi"/>
          <w:sz w:val="20"/>
          <w:szCs w:val="20"/>
          <w:lang w:val="en-GB"/>
        </w:rPr>
      </w:pPr>
      <w:r w:rsidRPr="00656D40">
        <w:rPr>
          <w:rFonts w:cstheme="minorHAnsi"/>
          <w:sz w:val="20"/>
          <w:szCs w:val="20"/>
          <w:lang w:val="en-GB"/>
        </w:rPr>
        <w:t>3)</w:t>
      </w:r>
      <w:r w:rsidR="004A4433">
        <w:rPr>
          <w:rFonts w:cstheme="minorHAnsi"/>
          <w:sz w:val="20"/>
          <w:szCs w:val="20"/>
          <w:lang w:val="en-GB"/>
        </w:rPr>
        <w:t xml:space="preserve"> </w:t>
      </w:r>
      <w:r w:rsidRPr="00656D40">
        <w:rPr>
          <w:rFonts w:cstheme="minorHAnsi"/>
          <w:sz w:val="20"/>
          <w:szCs w:val="20"/>
          <w:lang w:val="en-GB"/>
        </w:rPr>
        <w:t>Partial timescales related to the diffusive time of the internal core-mantle compositional boundary</w:t>
      </w:r>
      <w:r w:rsidR="00085E53">
        <w:rPr>
          <w:rFonts w:cstheme="minorHAnsi"/>
          <w:sz w:val="20"/>
          <w:szCs w:val="20"/>
          <w:lang w:val="en-GB"/>
        </w:rPr>
        <w:t xml:space="preserve"> (i.e., minimum timescale)</w:t>
      </w:r>
      <w:r w:rsidRPr="00656D40">
        <w:rPr>
          <w:rFonts w:cstheme="minorHAnsi"/>
          <w:sz w:val="20"/>
          <w:szCs w:val="20"/>
          <w:lang w:val="en-GB"/>
        </w:rPr>
        <w:t xml:space="preserve">. </w:t>
      </w:r>
    </w:p>
    <w:p w14:paraId="1FB6B156" w14:textId="77777777" w:rsidR="00656D40" w:rsidRDefault="00656D40" w:rsidP="00656D40">
      <w:pPr>
        <w:spacing w:line="276" w:lineRule="auto"/>
        <w:jc w:val="both"/>
        <w:rPr>
          <w:rFonts w:cstheme="minorHAnsi"/>
          <w:sz w:val="20"/>
          <w:szCs w:val="20"/>
          <w:lang w:val="en-GB"/>
        </w:rPr>
      </w:pPr>
    </w:p>
    <w:p w14:paraId="17D2A4A1" w14:textId="04180928" w:rsidR="00656D40" w:rsidRPr="00D15956" w:rsidRDefault="00656D40" w:rsidP="00656D40">
      <w:pPr>
        <w:spacing w:after="0" w:line="276" w:lineRule="auto"/>
        <w:jc w:val="both"/>
        <w:rPr>
          <w:rFonts w:cstheme="minorHAnsi"/>
          <w:i/>
          <w:iCs/>
          <w:sz w:val="20"/>
          <w:szCs w:val="20"/>
          <w:u w:val="single"/>
          <w:lang w:val="en-GB"/>
        </w:rPr>
      </w:pPr>
      <w:r w:rsidRPr="00D15956">
        <w:rPr>
          <w:rFonts w:cstheme="minorHAnsi"/>
          <w:i/>
          <w:iCs/>
          <w:sz w:val="20"/>
          <w:szCs w:val="20"/>
          <w:u w:val="single"/>
          <w:lang w:val="en-GB"/>
        </w:rPr>
        <w:t xml:space="preserve">Sample selection for diffusion </w:t>
      </w:r>
      <w:proofErr w:type="gramStart"/>
      <w:r w:rsidRPr="00D15956">
        <w:rPr>
          <w:rFonts w:cstheme="minorHAnsi"/>
          <w:i/>
          <w:iCs/>
          <w:sz w:val="20"/>
          <w:szCs w:val="20"/>
          <w:u w:val="single"/>
          <w:lang w:val="en-GB"/>
        </w:rPr>
        <w:t>modelling</w:t>
      </w:r>
      <w:proofErr w:type="gramEnd"/>
    </w:p>
    <w:p w14:paraId="0F6C125C" w14:textId="63B8B8C0" w:rsidR="00656D40" w:rsidRDefault="00656D40" w:rsidP="00656D40">
      <w:pPr>
        <w:spacing w:after="0" w:line="276" w:lineRule="auto"/>
        <w:jc w:val="both"/>
        <w:rPr>
          <w:rFonts w:cstheme="minorHAnsi"/>
          <w:sz w:val="20"/>
          <w:szCs w:val="20"/>
          <w:lang w:val="en-GB"/>
        </w:rPr>
      </w:pPr>
      <w:r w:rsidRPr="00656D40">
        <w:rPr>
          <w:rFonts w:cstheme="minorHAnsi"/>
          <w:sz w:val="20"/>
          <w:szCs w:val="20"/>
          <w:lang w:val="en-GB"/>
        </w:rPr>
        <w:t xml:space="preserve">Typically, in diffusion modelling studies, clinopyroxenes are prepared following the procedure from Morgan et al. (2004) that comprise the phenocrysts separation via hand picking from crushed scoriae and pumice. However, because our samples are represented by the dense coarse fraction found in the basal layer of the Avellino Plinian eruption, </w:t>
      </w:r>
      <w:r w:rsidR="005B361E">
        <w:rPr>
          <w:rFonts w:cstheme="minorHAnsi"/>
          <w:sz w:val="20"/>
          <w:szCs w:val="20"/>
          <w:lang w:val="en-GB"/>
        </w:rPr>
        <w:t>1</w:t>
      </w:r>
      <w:r w:rsidR="00807B49">
        <w:rPr>
          <w:rFonts w:cstheme="minorHAnsi"/>
          <w:sz w:val="20"/>
          <w:szCs w:val="20"/>
          <w:lang w:val="en-GB"/>
        </w:rPr>
        <w:t xml:space="preserve">7 </w:t>
      </w:r>
      <w:r w:rsidR="005B361E">
        <w:rPr>
          <w:rFonts w:cstheme="minorHAnsi"/>
          <w:sz w:val="20"/>
          <w:szCs w:val="20"/>
          <w:lang w:val="en-GB"/>
        </w:rPr>
        <w:t xml:space="preserve">microphenocrysts and </w:t>
      </w:r>
      <w:r w:rsidRPr="00656D40">
        <w:rPr>
          <w:rFonts w:cstheme="minorHAnsi"/>
          <w:sz w:val="20"/>
          <w:szCs w:val="20"/>
          <w:lang w:val="en-GB"/>
        </w:rPr>
        <w:t xml:space="preserve">phenocrysts </w:t>
      </w:r>
      <w:r w:rsidR="005B361E" w:rsidRPr="005B361E">
        <w:rPr>
          <w:rFonts w:ascii="Calibri" w:eastAsia="Calibri" w:hAnsi="Calibri" w:cs="Times New Roman"/>
          <w:sz w:val="20"/>
          <w:szCs w:val="20"/>
          <w:lang w:val="en-GB"/>
        </w:rPr>
        <w:t>(125-530 µm</w:t>
      </w:r>
      <w:r w:rsidR="00C04FA1">
        <w:rPr>
          <w:rFonts w:ascii="Calibri" w:eastAsia="Calibri" w:hAnsi="Calibri" w:cs="Times New Roman"/>
          <w:sz w:val="20"/>
          <w:szCs w:val="20"/>
          <w:lang w:val="en-GB"/>
        </w:rPr>
        <w:t xml:space="preserve">; </w:t>
      </w:r>
      <w:r w:rsidR="00C04FA1" w:rsidRPr="00C04FA1">
        <w:rPr>
          <w:rFonts w:ascii="Calibri" w:eastAsia="Calibri" w:hAnsi="Calibri" w:cs="Times New Roman"/>
          <w:b/>
          <w:bCs/>
          <w:sz w:val="20"/>
          <w:szCs w:val="20"/>
          <w:lang w:val="en-GB"/>
        </w:rPr>
        <w:t>Fig. S</w:t>
      </w:r>
      <w:r w:rsidR="008A0344">
        <w:rPr>
          <w:rFonts w:ascii="Calibri" w:eastAsia="Calibri" w:hAnsi="Calibri" w:cs="Times New Roman"/>
          <w:b/>
          <w:bCs/>
          <w:sz w:val="20"/>
          <w:szCs w:val="20"/>
          <w:lang w:val="en-GB"/>
        </w:rPr>
        <w:t>1</w:t>
      </w:r>
      <w:r w:rsidR="005B361E" w:rsidRPr="005B361E">
        <w:rPr>
          <w:rFonts w:ascii="Calibri" w:eastAsia="Calibri" w:hAnsi="Calibri" w:cs="Times New Roman"/>
          <w:sz w:val="20"/>
          <w:szCs w:val="20"/>
          <w:lang w:val="en-GB"/>
        </w:rPr>
        <w:t xml:space="preserve">) </w:t>
      </w:r>
      <w:r w:rsidRPr="00656D40">
        <w:rPr>
          <w:rFonts w:cstheme="minorHAnsi"/>
          <w:sz w:val="20"/>
          <w:szCs w:val="20"/>
          <w:lang w:val="en-GB"/>
        </w:rPr>
        <w:t xml:space="preserve">were selected from thin sections of the three samples </w:t>
      </w:r>
      <w:r w:rsidR="005B361E">
        <w:rPr>
          <w:rFonts w:cstheme="minorHAnsi"/>
          <w:sz w:val="20"/>
          <w:szCs w:val="20"/>
          <w:lang w:val="en-GB"/>
        </w:rPr>
        <w:t xml:space="preserve">(AVD1, AV_B and AVD9) </w:t>
      </w:r>
      <w:r w:rsidRPr="00656D40">
        <w:rPr>
          <w:rFonts w:cstheme="minorHAnsi"/>
          <w:sz w:val="20"/>
          <w:szCs w:val="20"/>
          <w:lang w:val="en-GB"/>
        </w:rPr>
        <w:t>directly, following the approach of Mangler et al. (2022).</w:t>
      </w:r>
      <w:r>
        <w:rPr>
          <w:rFonts w:cstheme="minorHAnsi"/>
          <w:sz w:val="20"/>
          <w:szCs w:val="20"/>
          <w:lang w:val="en-GB"/>
        </w:rPr>
        <w:t xml:space="preserve"> </w:t>
      </w:r>
      <w:r w:rsidR="005B361E">
        <w:rPr>
          <w:rFonts w:cstheme="minorHAnsi"/>
          <w:sz w:val="20"/>
          <w:szCs w:val="20"/>
          <w:lang w:val="en-GB"/>
        </w:rPr>
        <w:t xml:space="preserve">Clinopyroxene </w:t>
      </w:r>
      <w:r w:rsidR="005B361E" w:rsidRPr="005B361E">
        <w:rPr>
          <w:rFonts w:cstheme="minorHAnsi"/>
          <w:sz w:val="20"/>
          <w:szCs w:val="20"/>
          <w:lang w:val="en-GB"/>
        </w:rPr>
        <w:t>sections cut parallel to the (100) or (010) crystallographic planes (i.e., perpendicular to the a- and b-axes) were selected on the optical microscope for analysis.</w:t>
      </w:r>
      <w:r w:rsidR="005B361E">
        <w:rPr>
          <w:rFonts w:cstheme="minorHAnsi"/>
          <w:sz w:val="20"/>
          <w:szCs w:val="20"/>
          <w:lang w:val="en-GB"/>
        </w:rPr>
        <w:t xml:space="preserve"> </w:t>
      </w:r>
      <w:r w:rsidR="005B361E" w:rsidRPr="005B361E">
        <w:rPr>
          <w:rFonts w:cstheme="minorHAnsi"/>
          <w:sz w:val="20"/>
          <w:szCs w:val="20"/>
          <w:lang w:val="en-GB"/>
        </w:rPr>
        <w:t>Even if the modelling of obliques cuts can lead to artificially inflated estimates by 0.2 to 10 times the true diffusion time (Shea et al., 2015) and since that oblique crystals are common in nature samples and sections with slight oblique cuts cannot be completely avoided, the generated timescales are assumed to be maximum timescales.</w:t>
      </w:r>
      <w:r w:rsidR="005B361E">
        <w:rPr>
          <w:rFonts w:cstheme="minorHAnsi"/>
          <w:sz w:val="20"/>
          <w:szCs w:val="20"/>
          <w:lang w:val="en-GB"/>
        </w:rPr>
        <w:t xml:space="preserve"> </w:t>
      </w:r>
    </w:p>
    <w:p w14:paraId="57FFE0F9" w14:textId="77777777" w:rsidR="005B361E" w:rsidRDefault="005B361E" w:rsidP="00656D40">
      <w:pPr>
        <w:spacing w:after="0" w:line="276" w:lineRule="auto"/>
        <w:jc w:val="both"/>
        <w:rPr>
          <w:rFonts w:cstheme="minorHAnsi"/>
          <w:sz w:val="20"/>
          <w:szCs w:val="20"/>
          <w:lang w:val="en-GB"/>
        </w:rPr>
      </w:pPr>
    </w:p>
    <w:p w14:paraId="37553BBE" w14:textId="77777777" w:rsidR="005B361E" w:rsidRPr="00D15956" w:rsidRDefault="005B361E" w:rsidP="005B361E">
      <w:pPr>
        <w:spacing w:after="0" w:line="276" w:lineRule="auto"/>
        <w:jc w:val="both"/>
        <w:rPr>
          <w:rFonts w:cstheme="minorHAnsi"/>
          <w:bCs/>
          <w:i/>
          <w:iCs/>
          <w:sz w:val="20"/>
          <w:szCs w:val="20"/>
          <w:u w:val="single"/>
          <w:lang w:val="en-GB"/>
        </w:rPr>
      </w:pPr>
      <w:bookmarkStart w:id="3" w:name="_Toc128487537"/>
      <w:r w:rsidRPr="005B361E">
        <w:rPr>
          <w:rFonts w:cstheme="minorHAnsi"/>
          <w:bCs/>
          <w:i/>
          <w:iCs/>
          <w:sz w:val="20"/>
          <w:szCs w:val="20"/>
          <w:u w:val="single"/>
          <w:lang w:val="en-GB"/>
        </w:rPr>
        <w:t>Clinopyroxene analysis for elemental diffusion</w:t>
      </w:r>
      <w:bookmarkEnd w:id="3"/>
    </w:p>
    <w:p w14:paraId="0BBC1335" w14:textId="721EA346" w:rsidR="00D15956" w:rsidRDefault="005B361E" w:rsidP="00D15956">
      <w:pPr>
        <w:spacing w:after="0" w:line="276" w:lineRule="auto"/>
        <w:jc w:val="both"/>
        <w:rPr>
          <w:rFonts w:ascii="Calibri" w:eastAsia="Calibri" w:hAnsi="Calibri" w:cs="Times New Roman"/>
          <w:sz w:val="20"/>
          <w:szCs w:val="20"/>
          <w:lang w:val="en-GB"/>
        </w:rPr>
      </w:pPr>
      <w:r w:rsidRPr="005B361E">
        <w:rPr>
          <w:rFonts w:ascii="Calibri" w:eastAsia="Calibri" w:hAnsi="Calibri" w:cs="Times New Roman"/>
          <w:sz w:val="20"/>
          <w:szCs w:val="20"/>
          <w:lang w:val="en-GB"/>
        </w:rPr>
        <w:t>High-resolution core-to-rim compositional profile, with ~ 4-5 µm step size, were obtained using a CAMECA SX 100 electron microprobe at IAC-NHM</w:t>
      </w:r>
      <w:r w:rsidR="00085E53">
        <w:rPr>
          <w:rFonts w:ascii="Calibri" w:eastAsia="Calibri" w:hAnsi="Calibri" w:cs="Times New Roman"/>
          <w:sz w:val="20"/>
          <w:szCs w:val="20"/>
          <w:lang w:val="en-GB"/>
        </w:rPr>
        <w:t xml:space="preserve"> </w:t>
      </w:r>
      <w:r w:rsidR="00085E53" w:rsidRPr="00D15956">
        <w:rPr>
          <w:rFonts w:eastAsia="Calibri" w:cstheme="minorHAnsi"/>
          <w:bCs/>
          <w:sz w:val="20"/>
          <w:szCs w:val="20"/>
          <w:lang w:val="en-GB"/>
        </w:rPr>
        <w:t>(Imaging and Analysis Cent</w:t>
      </w:r>
      <w:r w:rsidR="004A4433">
        <w:rPr>
          <w:rFonts w:eastAsia="Calibri" w:cstheme="minorHAnsi"/>
          <w:bCs/>
          <w:sz w:val="20"/>
          <w:szCs w:val="20"/>
          <w:lang w:val="en-GB"/>
        </w:rPr>
        <w:t>re</w:t>
      </w:r>
      <w:r w:rsidR="00085E53" w:rsidRPr="00D15956">
        <w:rPr>
          <w:rFonts w:eastAsia="Calibri" w:cstheme="minorHAnsi"/>
          <w:bCs/>
          <w:sz w:val="20"/>
          <w:szCs w:val="20"/>
          <w:lang w:val="en-GB"/>
        </w:rPr>
        <w:t xml:space="preserve"> at the Natural History Museum, London)</w:t>
      </w:r>
      <w:r>
        <w:rPr>
          <w:rFonts w:ascii="Calibri" w:eastAsia="Calibri" w:hAnsi="Calibri" w:cs="Times New Roman"/>
          <w:sz w:val="20"/>
          <w:szCs w:val="20"/>
          <w:lang w:val="en-GB"/>
        </w:rPr>
        <w:t xml:space="preserve">. </w:t>
      </w:r>
      <w:r w:rsidRPr="005B361E">
        <w:rPr>
          <w:rFonts w:ascii="Calibri" w:eastAsia="Calibri" w:hAnsi="Calibri" w:cs="Times New Roman"/>
          <w:sz w:val="20"/>
          <w:szCs w:val="20"/>
          <w:lang w:val="en-GB"/>
        </w:rPr>
        <w:t xml:space="preserve">Major elements measurements were performed using the microprobe with an electron gun voltage of 20 kV, current of 20 </w:t>
      </w:r>
      <w:proofErr w:type="spellStart"/>
      <w:r w:rsidRPr="005B361E">
        <w:rPr>
          <w:rFonts w:ascii="Calibri" w:eastAsia="Calibri" w:hAnsi="Calibri" w:cs="Times New Roman"/>
          <w:sz w:val="20"/>
          <w:szCs w:val="20"/>
          <w:lang w:val="en-GB"/>
        </w:rPr>
        <w:t>nA</w:t>
      </w:r>
      <w:proofErr w:type="spellEnd"/>
      <w:r w:rsidRPr="005B361E">
        <w:rPr>
          <w:rFonts w:ascii="Calibri" w:eastAsia="Calibri" w:hAnsi="Calibri" w:cs="Times New Roman"/>
          <w:sz w:val="20"/>
          <w:szCs w:val="20"/>
          <w:lang w:val="en-GB"/>
        </w:rPr>
        <w:t xml:space="preserve"> and focussed beam size of ~ 2 µm. Na was analysed as first element for 10 s, followed by 20 s for all the other elements (Si, Mg, Al, Ca, Ti, Cr, Mn, Fe, Ca, and Ni). Matrix effects were corrected using the Cameca PAP procedure built-into the microprobe. Detection limits for most elements were &lt; 0.1 wt.%, and standard deviation of the analyses was typically &lt;0.5 wt.%. </w:t>
      </w:r>
      <w:bookmarkStart w:id="4" w:name="_Toc128487538"/>
    </w:p>
    <w:p w14:paraId="3FDA94CC" w14:textId="77777777" w:rsidR="00D15956" w:rsidRDefault="00D15956" w:rsidP="00D15956">
      <w:pPr>
        <w:spacing w:after="0" w:line="276" w:lineRule="auto"/>
        <w:jc w:val="both"/>
        <w:rPr>
          <w:rFonts w:ascii="Calibri" w:eastAsia="Calibri" w:hAnsi="Calibri" w:cs="Times New Roman"/>
          <w:sz w:val="20"/>
          <w:szCs w:val="20"/>
          <w:lang w:val="en-GB"/>
        </w:rPr>
      </w:pPr>
    </w:p>
    <w:p w14:paraId="62EA2546" w14:textId="49398CC7" w:rsidR="00D15956" w:rsidRDefault="00D15956" w:rsidP="00D15956">
      <w:pPr>
        <w:spacing w:after="0" w:line="276" w:lineRule="auto"/>
        <w:jc w:val="both"/>
        <w:rPr>
          <w:rFonts w:eastAsia="Times New Roman" w:cstheme="minorHAnsi"/>
          <w:bCs/>
          <w:i/>
          <w:iCs/>
          <w:sz w:val="20"/>
          <w:szCs w:val="20"/>
          <w:u w:val="single"/>
          <w:lang w:val="en-GB"/>
        </w:rPr>
      </w:pPr>
      <w:r w:rsidRPr="00D15956">
        <w:rPr>
          <w:rFonts w:eastAsia="Times New Roman" w:cstheme="minorHAnsi"/>
          <w:bCs/>
          <w:i/>
          <w:iCs/>
          <w:sz w:val="20"/>
          <w:szCs w:val="20"/>
          <w:u w:val="single"/>
          <w:lang w:val="en-GB"/>
        </w:rPr>
        <w:t>Crystal imaging</w:t>
      </w:r>
      <w:bookmarkEnd w:id="4"/>
      <w:r w:rsidRPr="00D15956">
        <w:rPr>
          <w:rFonts w:eastAsia="Times New Roman" w:cstheme="minorHAnsi"/>
          <w:bCs/>
          <w:i/>
          <w:iCs/>
          <w:sz w:val="20"/>
          <w:szCs w:val="20"/>
          <w:u w:val="single"/>
          <w:lang w:val="en-GB"/>
        </w:rPr>
        <w:t xml:space="preserve"> </w:t>
      </w:r>
    </w:p>
    <w:p w14:paraId="0B91C1A0" w14:textId="230D92A2" w:rsidR="00D15956" w:rsidRDefault="00D15956" w:rsidP="00D15956">
      <w:pPr>
        <w:spacing w:after="0" w:line="276" w:lineRule="auto"/>
        <w:jc w:val="both"/>
        <w:rPr>
          <w:rFonts w:eastAsia="Calibri" w:cstheme="minorHAnsi"/>
          <w:bCs/>
          <w:sz w:val="20"/>
          <w:szCs w:val="20"/>
          <w:lang w:val="en-GB"/>
        </w:rPr>
      </w:pPr>
      <w:r w:rsidRPr="00D15956">
        <w:rPr>
          <w:rFonts w:eastAsia="Calibri" w:cstheme="minorHAnsi"/>
          <w:bCs/>
          <w:sz w:val="20"/>
          <w:szCs w:val="20"/>
          <w:lang w:val="en-GB"/>
        </w:rPr>
        <w:t>High-resolution back-scattered (BSE) SEM images were collected to identify zoned clinopyroxene and to perform elemental diffusion modelling using a ZEISS EVO LS 15 SEM FEI and a Quanta 650 FEG SEM at IAC-</w:t>
      </w:r>
      <w:proofErr w:type="gramStart"/>
      <w:r w:rsidRPr="00D15956">
        <w:rPr>
          <w:rFonts w:eastAsia="Calibri" w:cstheme="minorHAnsi"/>
          <w:bCs/>
          <w:sz w:val="20"/>
          <w:szCs w:val="20"/>
          <w:lang w:val="en-GB"/>
        </w:rPr>
        <w:t>NHM  operating</w:t>
      </w:r>
      <w:proofErr w:type="gramEnd"/>
      <w:r w:rsidRPr="00D15956">
        <w:rPr>
          <w:rFonts w:eastAsia="Calibri" w:cstheme="minorHAnsi"/>
          <w:bCs/>
          <w:sz w:val="20"/>
          <w:szCs w:val="20"/>
          <w:lang w:val="en-GB"/>
        </w:rPr>
        <w:t xml:space="preserve"> at 15 KeV, with a working distance of approximately 10-15 mm, and a dwell time of 30 </w:t>
      </w:r>
      <w:proofErr w:type="spellStart"/>
      <w:r w:rsidRPr="00D15956">
        <w:rPr>
          <w:rFonts w:eastAsia="Calibri" w:cstheme="minorHAnsi"/>
          <w:bCs/>
          <w:sz w:val="20"/>
          <w:szCs w:val="20"/>
          <w:lang w:val="en-GB"/>
        </w:rPr>
        <w:t>μs</w:t>
      </w:r>
      <w:proofErr w:type="spellEnd"/>
      <w:r w:rsidRPr="00D15956">
        <w:rPr>
          <w:rFonts w:eastAsia="Calibri" w:cstheme="minorHAnsi"/>
          <w:bCs/>
          <w:sz w:val="20"/>
          <w:szCs w:val="20"/>
          <w:lang w:val="en-GB"/>
        </w:rPr>
        <w:t>.</w:t>
      </w:r>
    </w:p>
    <w:p w14:paraId="19BBBD64" w14:textId="77777777" w:rsidR="00D15956" w:rsidRDefault="00D15956" w:rsidP="00D15956">
      <w:pPr>
        <w:spacing w:after="0" w:line="276" w:lineRule="auto"/>
        <w:jc w:val="both"/>
        <w:rPr>
          <w:rFonts w:eastAsia="Calibri" w:cstheme="minorHAnsi"/>
          <w:bCs/>
          <w:sz w:val="20"/>
          <w:szCs w:val="20"/>
          <w:lang w:val="en-GB"/>
        </w:rPr>
      </w:pPr>
    </w:p>
    <w:p w14:paraId="6127B3E3" w14:textId="08BADA86" w:rsidR="00D15956" w:rsidRPr="009320BE" w:rsidRDefault="009320BE" w:rsidP="00D15956">
      <w:pPr>
        <w:spacing w:after="0" w:line="276" w:lineRule="auto"/>
        <w:jc w:val="both"/>
        <w:rPr>
          <w:rFonts w:eastAsia="Calibri" w:cstheme="minorHAnsi"/>
          <w:bCs/>
          <w:i/>
          <w:iCs/>
          <w:sz w:val="20"/>
          <w:szCs w:val="20"/>
          <w:u w:val="single"/>
          <w:lang w:val="en-GB"/>
        </w:rPr>
      </w:pPr>
      <w:r w:rsidRPr="009320BE">
        <w:rPr>
          <w:rFonts w:eastAsia="Calibri" w:cstheme="minorHAnsi"/>
          <w:bCs/>
          <w:i/>
          <w:iCs/>
          <w:sz w:val="20"/>
          <w:szCs w:val="20"/>
          <w:u w:val="single"/>
          <w:lang w:val="en-GB"/>
        </w:rPr>
        <w:t xml:space="preserve">Model input </w:t>
      </w:r>
      <w:proofErr w:type="gramStart"/>
      <w:r w:rsidRPr="009320BE">
        <w:rPr>
          <w:rFonts w:eastAsia="Calibri" w:cstheme="minorHAnsi"/>
          <w:bCs/>
          <w:i/>
          <w:iCs/>
          <w:sz w:val="20"/>
          <w:szCs w:val="20"/>
          <w:u w:val="single"/>
          <w:lang w:val="en-GB"/>
        </w:rPr>
        <w:t>values</w:t>
      </w:r>
      <w:proofErr w:type="gramEnd"/>
    </w:p>
    <w:p w14:paraId="70AAF4EC" w14:textId="7C9DAF4B" w:rsidR="00B61AEB" w:rsidRPr="009320BE" w:rsidRDefault="003C56B4" w:rsidP="009320BE">
      <w:pPr>
        <w:spacing w:after="0" w:line="276" w:lineRule="auto"/>
        <w:jc w:val="both"/>
        <w:rPr>
          <w:rFonts w:cstheme="minorHAnsi"/>
          <w:bCs/>
          <w:sz w:val="20"/>
          <w:szCs w:val="20"/>
          <w:u w:val="single"/>
          <w:lang w:val="en-GB"/>
        </w:rPr>
      </w:pPr>
      <w:r w:rsidRPr="004978EB">
        <w:rPr>
          <w:rFonts w:cstheme="minorHAnsi"/>
          <w:sz w:val="20"/>
          <w:szCs w:val="20"/>
          <w:lang w:val="en-GB"/>
        </w:rPr>
        <w:t xml:space="preserve">The NIDIS model uses </w:t>
      </w:r>
      <w:r w:rsidR="00085E53">
        <w:rPr>
          <w:rFonts w:cstheme="minorHAnsi"/>
          <w:sz w:val="20"/>
          <w:szCs w:val="20"/>
          <w:lang w:val="en-GB"/>
        </w:rPr>
        <w:t xml:space="preserve">codes created for </w:t>
      </w:r>
      <w:r w:rsidRPr="004978EB">
        <w:rPr>
          <w:rFonts w:cstheme="minorHAnsi"/>
          <w:sz w:val="20"/>
          <w:szCs w:val="20"/>
          <w:lang w:val="en-GB"/>
        </w:rPr>
        <w:t>the software MATLAB to extract timescales (</w:t>
      </w:r>
      <w:r w:rsidR="00085E53">
        <w:rPr>
          <w:rFonts w:cstheme="minorHAnsi"/>
          <w:sz w:val="20"/>
          <w:szCs w:val="20"/>
          <w:lang w:val="en-GB"/>
        </w:rPr>
        <w:t xml:space="preserve">for the code and explanations </w:t>
      </w:r>
      <w:r w:rsidRPr="004978EB">
        <w:rPr>
          <w:rFonts w:cstheme="minorHAnsi"/>
          <w:sz w:val="20"/>
          <w:szCs w:val="20"/>
          <w:lang w:val="en-GB"/>
        </w:rPr>
        <w:t xml:space="preserve">see Petrone et al., 2016). Several input variables need to be entered to </w:t>
      </w:r>
      <w:r w:rsidR="00204647" w:rsidRPr="004978EB">
        <w:rPr>
          <w:rFonts w:cstheme="minorHAnsi"/>
          <w:sz w:val="20"/>
          <w:szCs w:val="20"/>
          <w:lang w:val="en-GB"/>
        </w:rPr>
        <w:t xml:space="preserve">create the curve of fitting between the calculated model profile from grey values (diffusion process model) to the compositional curve </w:t>
      </w:r>
      <w:r w:rsidRPr="004978EB">
        <w:rPr>
          <w:rFonts w:cstheme="minorHAnsi"/>
          <w:sz w:val="20"/>
          <w:szCs w:val="20"/>
          <w:lang w:val="en-GB"/>
        </w:rPr>
        <w:t xml:space="preserve">data </w:t>
      </w:r>
      <w:r w:rsidR="00204647" w:rsidRPr="004978EB">
        <w:rPr>
          <w:rFonts w:cstheme="minorHAnsi"/>
          <w:sz w:val="20"/>
          <w:szCs w:val="20"/>
          <w:lang w:val="en-GB"/>
        </w:rPr>
        <w:t xml:space="preserve">and to obtain timescales. These variables </w:t>
      </w:r>
      <w:proofErr w:type="gramStart"/>
      <w:r w:rsidR="00204647" w:rsidRPr="004978EB">
        <w:rPr>
          <w:rFonts w:cstheme="minorHAnsi"/>
          <w:sz w:val="20"/>
          <w:szCs w:val="20"/>
          <w:lang w:val="en-GB"/>
        </w:rPr>
        <w:t>are:</w:t>
      </w:r>
      <w:proofErr w:type="gramEnd"/>
      <w:r w:rsidR="00AF42B7" w:rsidRPr="004978EB">
        <w:rPr>
          <w:rFonts w:cstheme="minorHAnsi"/>
          <w:sz w:val="20"/>
          <w:szCs w:val="20"/>
          <w:lang w:val="en-GB"/>
        </w:rPr>
        <w:t xml:space="preserve"> the</w:t>
      </w:r>
      <w:r w:rsidR="00204647" w:rsidRPr="004978EB">
        <w:rPr>
          <w:rFonts w:cstheme="minorHAnsi"/>
          <w:sz w:val="20"/>
          <w:szCs w:val="20"/>
          <w:lang w:val="en-GB"/>
        </w:rPr>
        <w:t xml:space="preserve"> Fe-Mg diffusion </w:t>
      </w:r>
      <w:r w:rsidR="00AF42B7" w:rsidRPr="004978EB">
        <w:rPr>
          <w:rFonts w:cstheme="minorHAnsi"/>
          <w:sz w:val="20"/>
          <w:szCs w:val="20"/>
          <w:lang w:val="en-GB"/>
        </w:rPr>
        <w:t>coefficient D, the pre-exponential factor D</w:t>
      </w:r>
      <w:r w:rsidR="00AF42B7" w:rsidRPr="004978EB">
        <w:rPr>
          <w:rFonts w:cstheme="minorHAnsi"/>
          <w:sz w:val="20"/>
          <w:szCs w:val="20"/>
          <w:vertAlign w:val="subscript"/>
          <w:lang w:val="en-GB"/>
        </w:rPr>
        <w:t>0</w:t>
      </w:r>
      <w:r w:rsidR="00AF42B7" w:rsidRPr="004978EB">
        <w:rPr>
          <w:rFonts w:cstheme="minorHAnsi"/>
          <w:sz w:val="20"/>
          <w:szCs w:val="20"/>
          <w:lang w:val="en-GB"/>
        </w:rPr>
        <w:t>, the activation energy ΔH, and the estimated temperature (T°C) together with the associate error value (1sd). Clinopyroxene from this study are modelled with the following variables: D</w:t>
      </w:r>
      <w:r w:rsidR="00AF42B7" w:rsidRPr="004978EB">
        <w:rPr>
          <w:rFonts w:cstheme="minorHAnsi"/>
          <w:sz w:val="20"/>
          <w:szCs w:val="20"/>
          <w:vertAlign w:val="subscript"/>
          <w:lang w:val="en-GB"/>
        </w:rPr>
        <w:t xml:space="preserve">0 </w:t>
      </w:r>
      <w:r w:rsidR="00AF42B7" w:rsidRPr="004978EB">
        <w:rPr>
          <w:rFonts w:cstheme="minorHAnsi"/>
          <w:sz w:val="20"/>
          <w:szCs w:val="20"/>
          <w:lang w:val="en-GB"/>
        </w:rPr>
        <w:t>= 9.5*10</w:t>
      </w:r>
      <w:r w:rsidR="00AF42B7" w:rsidRPr="004978EB">
        <w:rPr>
          <w:rFonts w:cstheme="minorHAnsi"/>
          <w:sz w:val="20"/>
          <w:szCs w:val="20"/>
          <w:vertAlign w:val="superscript"/>
          <w:lang w:val="en-GB"/>
        </w:rPr>
        <w:t xml:space="preserve">-5 </w:t>
      </w:r>
      <w:r w:rsidR="00AF42B7" w:rsidRPr="004978EB">
        <w:rPr>
          <w:rFonts w:cstheme="minorHAnsi"/>
          <w:sz w:val="20"/>
          <w:szCs w:val="20"/>
          <w:lang w:val="en-GB"/>
        </w:rPr>
        <w:t>m</w:t>
      </w:r>
      <w:r w:rsidR="00AF42B7" w:rsidRPr="004978EB">
        <w:rPr>
          <w:rFonts w:cstheme="minorHAnsi"/>
          <w:sz w:val="20"/>
          <w:szCs w:val="20"/>
          <w:vertAlign w:val="superscript"/>
          <w:lang w:val="en-GB"/>
        </w:rPr>
        <w:t>2</w:t>
      </w:r>
      <w:r w:rsidR="00AF42B7" w:rsidRPr="004978EB">
        <w:rPr>
          <w:rFonts w:cstheme="minorHAnsi"/>
          <w:sz w:val="20"/>
          <w:szCs w:val="20"/>
          <w:lang w:val="en-GB"/>
        </w:rPr>
        <w:t>s</w:t>
      </w:r>
      <w:r w:rsidR="00AF42B7" w:rsidRPr="004978EB">
        <w:rPr>
          <w:rFonts w:cstheme="minorHAnsi"/>
          <w:sz w:val="20"/>
          <w:szCs w:val="20"/>
          <w:vertAlign w:val="superscript"/>
          <w:lang w:val="en-GB"/>
        </w:rPr>
        <w:t>-1</w:t>
      </w:r>
      <w:r w:rsidR="00AF42B7" w:rsidRPr="004978EB">
        <w:rPr>
          <w:rFonts w:cstheme="minorHAnsi"/>
          <w:sz w:val="20"/>
          <w:szCs w:val="20"/>
          <w:lang w:val="en-GB"/>
        </w:rPr>
        <w:t xml:space="preserve"> and ΔH = 406 kJ mol</w:t>
      </w:r>
      <w:r w:rsidR="00AF42B7" w:rsidRPr="004978EB">
        <w:rPr>
          <w:rFonts w:cstheme="minorHAnsi"/>
          <w:sz w:val="20"/>
          <w:szCs w:val="20"/>
          <w:vertAlign w:val="superscript"/>
          <w:lang w:val="en-GB"/>
        </w:rPr>
        <w:t>-1</w:t>
      </w:r>
      <w:r w:rsidR="00B61AEB" w:rsidRPr="004978EB">
        <w:rPr>
          <w:rFonts w:cstheme="minorHAnsi"/>
          <w:sz w:val="20"/>
          <w:szCs w:val="20"/>
          <w:vertAlign w:val="superscript"/>
          <w:lang w:val="en-GB"/>
        </w:rPr>
        <w:t xml:space="preserve"> </w:t>
      </w:r>
      <w:r w:rsidR="00B61AEB" w:rsidRPr="004978EB">
        <w:rPr>
          <w:rFonts w:cstheme="minorHAnsi"/>
          <w:sz w:val="20"/>
          <w:szCs w:val="20"/>
          <w:lang w:val="en-GB"/>
        </w:rPr>
        <w:t xml:space="preserve">from </w:t>
      </w:r>
      <w:proofErr w:type="spellStart"/>
      <w:r w:rsidR="00B61AEB" w:rsidRPr="004978EB">
        <w:rPr>
          <w:rFonts w:cstheme="minorHAnsi"/>
          <w:sz w:val="20"/>
          <w:szCs w:val="20"/>
          <w:lang w:val="en-GB"/>
        </w:rPr>
        <w:t>Dimanov</w:t>
      </w:r>
      <w:proofErr w:type="spellEnd"/>
      <w:r w:rsidR="00B61AEB" w:rsidRPr="004978EB">
        <w:rPr>
          <w:rFonts w:cstheme="minorHAnsi"/>
          <w:sz w:val="20"/>
          <w:szCs w:val="20"/>
          <w:lang w:val="en-GB"/>
        </w:rPr>
        <w:t xml:space="preserve"> and Sauter (2000). The D is calculated using a modified form of the Arrhenius equation: </w:t>
      </w:r>
    </w:p>
    <w:p w14:paraId="4D5752A4" w14:textId="4BCDD6AC" w:rsidR="00B61AEB" w:rsidRPr="004978EB" w:rsidRDefault="00B61AEB" w:rsidP="008C10E6">
      <w:pPr>
        <w:spacing w:line="276" w:lineRule="auto"/>
        <w:jc w:val="both"/>
        <w:rPr>
          <w:rFonts w:cstheme="minorHAnsi"/>
          <w:sz w:val="20"/>
          <w:szCs w:val="20"/>
          <w:lang w:val="en-GB"/>
        </w:rPr>
      </w:pPr>
      <m:oMathPara>
        <m:oMath>
          <m:r>
            <w:rPr>
              <w:rFonts w:ascii="Cambria Math" w:hAnsi="Cambria Math" w:cstheme="minorHAnsi"/>
              <w:sz w:val="20"/>
              <w:szCs w:val="20"/>
              <w:lang w:val="en-GB"/>
            </w:rPr>
            <m:t>D=</m:t>
          </m:r>
          <m:sSup>
            <m:sSupPr>
              <m:ctrlPr>
                <w:rPr>
                  <w:rFonts w:ascii="Cambria Math" w:hAnsi="Cambria Math" w:cstheme="minorHAnsi"/>
                  <w:i/>
                  <w:sz w:val="20"/>
                  <w:szCs w:val="20"/>
                  <w:lang w:val="en-GB"/>
                </w:rPr>
              </m:ctrlPr>
            </m:sSupPr>
            <m:e>
              <m:sSub>
                <m:sSubPr>
                  <m:ctrlPr>
                    <w:rPr>
                      <w:rFonts w:ascii="Cambria Math" w:hAnsi="Cambria Math" w:cstheme="minorHAnsi"/>
                      <w:sz w:val="20"/>
                      <w:szCs w:val="20"/>
                      <w:vertAlign w:val="subscript"/>
                      <w:lang w:val="en-GB"/>
                    </w:rPr>
                  </m:ctrlPr>
                </m:sSubPr>
                <m:e>
                  <m:r>
                    <w:rPr>
                      <w:rFonts w:ascii="Cambria Math" w:hAnsi="Cambria Math" w:cstheme="minorHAnsi"/>
                      <w:sz w:val="20"/>
                      <w:szCs w:val="20"/>
                      <w:vertAlign w:val="subscript"/>
                      <w:lang w:val="en-GB"/>
                    </w:rPr>
                    <m:t>D</m:t>
                  </m:r>
                </m:e>
                <m:sub>
                  <m:r>
                    <w:rPr>
                      <w:rFonts w:ascii="Cambria Math" w:hAnsi="Cambria Math" w:cstheme="minorHAnsi"/>
                      <w:sz w:val="20"/>
                      <w:szCs w:val="20"/>
                      <w:vertAlign w:val="subscript"/>
                      <w:lang w:val="en-GB"/>
                    </w:rPr>
                    <m:t>0</m:t>
                  </m:r>
                </m:sub>
              </m:sSub>
              <m:r>
                <w:rPr>
                  <w:rFonts w:ascii="Cambria Math" w:hAnsi="Cambria Math" w:cstheme="minorHAnsi"/>
                  <w:sz w:val="20"/>
                  <w:szCs w:val="20"/>
                  <w:lang w:val="en-GB"/>
                </w:rPr>
                <m:t>e</m:t>
              </m:r>
            </m:e>
            <m:sup>
              <m:r>
                <w:rPr>
                  <w:rFonts w:ascii="Cambria Math" w:hAnsi="Cambria Math" w:cstheme="minorHAnsi"/>
                  <w:sz w:val="20"/>
                  <w:szCs w:val="20"/>
                  <w:lang w:val="en-GB"/>
                </w:rPr>
                <m:t>-</m:t>
              </m:r>
              <m:r>
                <m:rPr>
                  <m:sty m:val="p"/>
                </m:rPr>
                <w:rPr>
                  <w:rFonts w:ascii="Cambria Math" w:hAnsi="Cambria Math" w:cstheme="minorHAnsi"/>
                  <w:sz w:val="20"/>
                  <w:szCs w:val="20"/>
                  <w:lang w:val="en-GB"/>
                </w:rPr>
                <m:t>ΔH</m:t>
              </m:r>
              <m:r>
                <w:rPr>
                  <w:rFonts w:ascii="Cambria Math" w:hAnsi="Cambria Math" w:cstheme="minorHAnsi"/>
                  <w:sz w:val="20"/>
                  <w:szCs w:val="20"/>
                  <w:lang w:val="en-GB"/>
                </w:rPr>
                <m:t>/RT</m:t>
              </m:r>
            </m:sup>
          </m:sSup>
        </m:oMath>
      </m:oMathPara>
    </w:p>
    <w:p w14:paraId="60947C87" w14:textId="1B356819" w:rsidR="008C10E6" w:rsidRDefault="00B61AEB" w:rsidP="00807B49">
      <w:pPr>
        <w:spacing w:line="276" w:lineRule="auto"/>
        <w:jc w:val="both"/>
        <w:rPr>
          <w:rFonts w:cstheme="minorHAnsi"/>
          <w:sz w:val="20"/>
          <w:szCs w:val="20"/>
          <w:lang w:val="en-GB"/>
        </w:rPr>
      </w:pPr>
      <w:r w:rsidRPr="004978EB">
        <w:rPr>
          <w:rFonts w:cstheme="minorHAnsi"/>
          <w:sz w:val="20"/>
          <w:szCs w:val="20"/>
          <w:lang w:val="en-GB"/>
        </w:rPr>
        <w:t>Where R is the gas constant (8.3145 J/mol/K</w:t>
      </w:r>
      <w:proofErr w:type="gramStart"/>
      <w:r w:rsidRPr="004978EB">
        <w:rPr>
          <w:rFonts w:cstheme="minorHAnsi"/>
          <w:sz w:val="20"/>
          <w:szCs w:val="20"/>
          <w:lang w:val="en-GB"/>
        </w:rPr>
        <w:t>)</w:t>
      </w:r>
      <w:proofErr w:type="gramEnd"/>
      <w:r w:rsidRPr="004978EB">
        <w:rPr>
          <w:rFonts w:cstheme="minorHAnsi"/>
          <w:sz w:val="20"/>
          <w:szCs w:val="20"/>
          <w:lang w:val="en-GB"/>
        </w:rPr>
        <w:t xml:space="preserve"> and T is temperature in Kelvin. Temperatures are estimated applying the empirical geothermometer equation from </w:t>
      </w:r>
      <w:proofErr w:type="spellStart"/>
      <w:r w:rsidRPr="004978EB">
        <w:rPr>
          <w:rFonts w:cstheme="minorHAnsi"/>
          <w:sz w:val="20"/>
          <w:szCs w:val="20"/>
          <w:lang w:val="en-GB"/>
        </w:rPr>
        <w:t>Bardeglinu</w:t>
      </w:r>
      <w:proofErr w:type="spellEnd"/>
      <w:r w:rsidRPr="004978EB">
        <w:rPr>
          <w:rFonts w:cstheme="minorHAnsi"/>
          <w:sz w:val="20"/>
          <w:szCs w:val="20"/>
          <w:lang w:val="en-GB"/>
        </w:rPr>
        <w:t xml:space="preserve"> et al. (2020)</w:t>
      </w:r>
      <w:r w:rsidR="009320BE">
        <w:rPr>
          <w:rFonts w:cstheme="minorHAnsi"/>
          <w:sz w:val="20"/>
          <w:szCs w:val="20"/>
          <w:lang w:val="en-GB"/>
        </w:rPr>
        <w:t>.</w:t>
      </w:r>
      <w:r w:rsidR="00CB295F">
        <w:rPr>
          <w:rFonts w:cstheme="minorHAnsi"/>
          <w:sz w:val="20"/>
          <w:szCs w:val="20"/>
          <w:lang w:val="en-GB"/>
        </w:rPr>
        <w:t xml:space="preserve"> </w:t>
      </w:r>
      <w:r w:rsidRPr="004978EB">
        <w:rPr>
          <w:rFonts w:cstheme="minorHAnsi"/>
          <w:sz w:val="20"/>
          <w:szCs w:val="20"/>
          <w:lang w:val="en-GB"/>
        </w:rPr>
        <w:t>Temperatures are determined using different mineral composition for each considered clinopyroxene zone</w:t>
      </w:r>
      <w:r w:rsidR="001E5928" w:rsidRPr="004978EB">
        <w:rPr>
          <w:rFonts w:cstheme="minorHAnsi"/>
          <w:sz w:val="20"/>
          <w:szCs w:val="20"/>
          <w:lang w:val="en-GB"/>
        </w:rPr>
        <w:t xml:space="preserve"> </w:t>
      </w:r>
      <w:r w:rsidR="00BC6D86">
        <w:rPr>
          <w:rFonts w:cstheme="minorHAnsi"/>
          <w:sz w:val="20"/>
          <w:szCs w:val="20"/>
          <w:lang w:val="en-GB"/>
        </w:rPr>
        <w:t>(</w:t>
      </w:r>
      <w:r w:rsidR="00BC6D86" w:rsidRPr="00BC6D86">
        <w:rPr>
          <w:rFonts w:cstheme="minorHAnsi"/>
          <w:b/>
          <w:bCs/>
          <w:sz w:val="20"/>
          <w:szCs w:val="20"/>
          <w:lang w:val="en-GB"/>
        </w:rPr>
        <w:t>Fig. S</w:t>
      </w:r>
      <w:r w:rsidR="008A0344">
        <w:rPr>
          <w:rFonts w:cstheme="minorHAnsi"/>
          <w:b/>
          <w:bCs/>
          <w:sz w:val="20"/>
          <w:szCs w:val="20"/>
          <w:lang w:val="en-GB"/>
        </w:rPr>
        <w:t>1</w:t>
      </w:r>
      <w:r w:rsidR="00BC6D86">
        <w:rPr>
          <w:rFonts w:cstheme="minorHAnsi"/>
          <w:sz w:val="20"/>
          <w:szCs w:val="20"/>
          <w:lang w:val="en-GB"/>
        </w:rPr>
        <w:t xml:space="preserve">) </w:t>
      </w:r>
      <w:r w:rsidR="009471E3" w:rsidRPr="004978EB">
        <w:rPr>
          <w:rFonts w:cstheme="minorHAnsi"/>
          <w:sz w:val="20"/>
          <w:szCs w:val="20"/>
          <w:lang w:val="en-GB"/>
        </w:rPr>
        <w:t>ranging from 10</w:t>
      </w:r>
      <w:r w:rsidR="00807B49">
        <w:rPr>
          <w:rFonts w:cstheme="minorHAnsi"/>
          <w:sz w:val="20"/>
          <w:szCs w:val="20"/>
          <w:lang w:val="en-GB"/>
        </w:rPr>
        <w:t>4</w:t>
      </w:r>
      <w:r w:rsidR="009471E3" w:rsidRPr="004978EB">
        <w:rPr>
          <w:rFonts w:cstheme="minorHAnsi"/>
          <w:sz w:val="20"/>
          <w:szCs w:val="20"/>
          <w:lang w:val="en-GB"/>
        </w:rPr>
        <w:t>0°C to 8</w:t>
      </w:r>
      <w:r w:rsidR="00807B49">
        <w:rPr>
          <w:rFonts w:cstheme="minorHAnsi"/>
          <w:sz w:val="20"/>
          <w:szCs w:val="20"/>
          <w:lang w:val="en-GB"/>
        </w:rPr>
        <w:t>20</w:t>
      </w:r>
      <w:r w:rsidR="009471E3" w:rsidRPr="004978EB">
        <w:rPr>
          <w:rFonts w:cstheme="minorHAnsi"/>
          <w:sz w:val="20"/>
          <w:szCs w:val="20"/>
          <w:lang w:val="en-GB"/>
        </w:rPr>
        <w:t xml:space="preserve">°C </w:t>
      </w:r>
      <w:r w:rsidR="001E5928" w:rsidRPr="004978EB">
        <w:rPr>
          <w:rFonts w:cstheme="minorHAnsi"/>
          <w:sz w:val="20"/>
          <w:szCs w:val="20"/>
          <w:lang w:val="en-GB"/>
        </w:rPr>
        <w:t xml:space="preserve">with </w:t>
      </w:r>
      <w:r w:rsidR="006D24AF">
        <w:rPr>
          <w:rFonts w:cstheme="minorHAnsi"/>
          <w:sz w:val="20"/>
          <w:szCs w:val="20"/>
          <w:lang w:val="en-GB"/>
        </w:rPr>
        <w:t xml:space="preserve">an average </w:t>
      </w:r>
      <w:r w:rsidR="001E5928" w:rsidRPr="004978EB">
        <w:rPr>
          <w:rFonts w:cstheme="minorHAnsi"/>
          <w:sz w:val="20"/>
          <w:szCs w:val="20"/>
          <w:lang w:val="en-GB"/>
        </w:rPr>
        <w:t>error of ± 58 °C</w:t>
      </w:r>
      <w:r w:rsidR="00807B49">
        <w:rPr>
          <w:rFonts w:cstheme="minorHAnsi"/>
          <w:sz w:val="20"/>
          <w:szCs w:val="20"/>
          <w:lang w:val="en-GB"/>
        </w:rPr>
        <w:t xml:space="preserve"> </w:t>
      </w:r>
      <w:r w:rsidR="006D24AF">
        <w:rPr>
          <w:rFonts w:cstheme="minorHAnsi"/>
          <w:sz w:val="20"/>
          <w:szCs w:val="20"/>
          <w:lang w:val="en-GB"/>
        </w:rPr>
        <w:t xml:space="preserve">determined from the standard </w:t>
      </w:r>
      <w:r w:rsidR="005D70D2">
        <w:rPr>
          <w:rFonts w:cstheme="minorHAnsi"/>
          <w:sz w:val="20"/>
          <w:szCs w:val="20"/>
          <w:lang w:val="en-GB"/>
        </w:rPr>
        <w:t>deviation</w:t>
      </w:r>
      <w:r w:rsidR="006D24AF">
        <w:rPr>
          <w:rFonts w:cstheme="minorHAnsi"/>
          <w:sz w:val="20"/>
          <w:szCs w:val="20"/>
          <w:lang w:val="en-GB"/>
        </w:rPr>
        <w:t xml:space="preserve">s of the estimated temperatures </w:t>
      </w:r>
      <w:r w:rsidR="00807B49">
        <w:rPr>
          <w:rFonts w:cstheme="minorHAnsi"/>
          <w:sz w:val="20"/>
          <w:szCs w:val="20"/>
          <w:lang w:val="en-GB"/>
        </w:rPr>
        <w:t>(</w:t>
      </w:r>
      <w:r w:rsidR="00807B49" w:rsidRPr="00807B49">
        <w:rPr>
          <w:rFonts w:cstheme="minorHAnsi"/>
          <w:b/>
          <w:bCs/>
          <w:sz w:val="20"/>
          <w:szCs w:val="20"/>
          <w:lang w:val="en-GB"/>
        </w:rPr>
        <w:t>Table S</w:t>
      </w:r>
      <w:r w:rsidR="00BC6D86">
        <w:rPr>
          <w:rFonts w:cstheme="minorHAnsi"/>
          <w:b/>
          <w:bCs/>
          <w:sz w:val="20"/>
          <w:szCs w:val="20"/>
          <w:lang w:val="en-GB"/>
        </w:rPr>
        <w:t>17</w:t>
      </w:r>
      <w:r w:rsidR="00807B49">
        <w:rPr>
          <w:rFonts w:cstheme="minorHAnsi"/>
          <w:sz w:val="20"/>
          <w:szCs w:val="20"/>
          <w:lang w:val="en-GB"/>
        </w:rPr>
        <w:t>)</w:t>
      </w:r>
      <w:r w:rsidR="001E5928" w:rsidRPr="004978EB">
        <w:rPr>
          <w:rFonts w:cstheme="minorHAnsi"/>
          <w:sz w:val="20"/>
          <w:szCs w:val="20"/>
          <w:lang w:val="en-GB"/>
        </w:rPr>
        <w:t xml:space="preserve">. </w:t>
      </w:r>
    </w:p>
    <w:p w14:paraId="2C74AE5A" w14:textId="0D789060" w:rsidR="00C04FA1" w:rsidRDefault="001A285A" w:rsidP="00807B49">
      <w:pPr>
        <w:spacing w:line="276" w:lineRule="auto"/>
        <w:jc w:val="both"/>
        <w:rPr>
          <w:rFonts w:cstheme="minorHAnsi"/>
          <w:sz w:val="20"/>
          <w:szCs w:val="20"/>
          <w:lang w:val="en-GB"/>
        </w:rPr>
      </w:pPr>
      <w:r>
        <w:rPr>
          <w:rFonts w:cstheme="minorHAnsi"/>
          <w:i/>
          <w:iCs/>
          <w:noProof/>
          <w:sz w:val="20"/>
          <w:szCs w:val="20"/>
          <w:highlight w:val="red"/>
          <w:lang w:val="en-GB"/>
        </w:rPr>
        <w:lastRenderedPageBreak/>
        <w:drawing>
          <wp:inline distT="0" distB="0" distL="0" distR="0" wp14:anchorId="65477808" wp14:editId="37107B37">
            <wp:extent cx="6116955" cy="8153400"/>
            <wp:effectExtent l="0" t="0" r="0" b="0"/>
            <wp:docPr id="293410176" name="Picture 1" descr="A collage of images of a sample of a sam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10176" name="Picture 1" descr="A collage of images of a sample of a sampl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6955" cy="8153400"/>
                    </a:xfrm>
                    <a:prstGeom prst="rect">
                      <a:avLst/>
                    </a:prstGeom>
                    <a:noFill/>
                    <a:ln>
                      <a:noFill/>
                    </a:ln>
                  </pic:spPr>
                </pic:pic>
              </a:graphicData>
            </a:graphic>
          </wp:inline>
        </w:drawing>
      </w:r>
    </w:p>
    <w:p w14:paraId="413ABDBF" w14:textId="7ED1A8BE" w:rsidR="00880268" w:rsidRPr="001C3D49" w:rsidRDefault="001A285A" w:rsidP="00880268">
      <w:pPr>
        <w:pStyle w:val="Caption"/>
        <w:jc w:val="both"/>
        <w:rPr>
          <w:b/>
          <w:bCs/>
          <w:color w:val="auto"/>
          <w:lang w:val="en-GB"/>
        </w:rPr>
      </w:pPr>
      <w:r w:rsidRPr="00B50703">
        <w:rPr>
          <w:b/>
          <w:bCs/>
          <w:color w:val="auto"/>
          <w:lang w:val="en-GB"/>
        </w:rPr>
        <w:t>Fig. S</w:t>
      </w:r>
      <w:r w:rsidR="001C3D49">
        <w:rPr>
          <w:b/>
          <w:bCs/>
          <w:color w:val="auto"/>
          <w:lang w:val="en-GB"/>
        </w:rPr>
        <w:t>1</w:t>
      </w:r>
      <w:r w:rsidRPr="00B50703">
        <w:rPr>
          <w:b/>
          <w:bCs/>
          <w:color w:val="auto"/>
          <w:lang w:val="en-GB"/>
        </w:rPr>
        <w:t>.</w:t>
      </w:r>
      <w:r w:rsidRPr="00B50703">
        <w:rPr>
          <w:color w:val="auto"/>
          <w:lang w:val="en-GB"/>
        </w:rPr>
        <w:t xml:space="preserve"> </w:t>
      </w:r>
      <w:r w:rsidR="00880268">
        <w:rPr>
          <w:color w:val="auto"/>
          <w:lang w:val="en-GB"/>
        </w:rPr>
        <w:t>Backscattered (BSE) images of 4 representative clinopyroxene crystals</w:t>
      </w:r>
      <w:r w:rsidR="004013FB">
        <w:rPr>
          <w:color w:val="auto"/>
          <w:lang w:val="en-GB"/>
        </w:rPr>
        <w:t xml:space="preserve"> of T1 blocks</w:t>
      </w:r>
      <w:r w:rsidR="00880268">
        <w:rPr>
          <w:color w:val="auto"/>
          <w:lang w:val="en-GB"/>
        </w:rPr>
        <w:t xml:space="preserve"> (in the left) associated with the respective grey value diffusion profile (grey circles; in the right). Compositional boundaries have been measured along the red line in the BSE-SEM images. The diffusion profiles across the boundaries have been modelled using the NIDIS code (Petrone et al., 2016); the red lines represent the best fit</w:t>
      </w:r>
      <w:r w:rsidR="001817F2">
        <w:rPr>
          <w:color w:val="auto"/>
          <w:lang w:val="en-GB"/>
        </w:rPr>
        <w:t xml:space="preserve">ting grey value diffusion profiles of the core/mantle – </w:t>
      </w:r>
      <w:r w:rsidR="008105A7">
        <w:rPr>
          <w:color w:val="auto"/>
          <w:lang w:val="en-GB"/>
        </w:rPr>
        <w:t>rim timescale</w:t>
      </w:r>
      <w:r w:rsidR="001817F2">
        <w:rPr>
          <w:color w:val="auto"/>
          <w:lang w:val="en-GB"/>
        </w:rPr>
        <w:t xml:space="preserve">. The relative equilibrium temperature used in the NIDIS modelling and Mg# values for each crystal zone are reported together with the modelled residence time. </w:t>
      </w:r>
      <w:r w:rsidR="001817F2" w:rsidRPr="004013FB">
        <w:rPr>
          <w:b/>
          <w:bCs/>
          <w:color w:val="auto"/>
          <w:lang w:val="en-GB"/>
        </w:rPr>
        <w:t>A.</w:t>
      </w:r>
      <w:r w:rsidR="001817F2">
        <w:rPr>
          <w:color w:val="auto"/>
          <w:lang w:val="en-GB"/>
        </w:rPr>
        <w:t xml:space="preserve"> Selected NZ-</w:t>
      </w:r>
      <w:r w:rsidR="001817F2">
        <w:rPr>
          <w:color w:val="auto"/>
          <w:lang w:val="en-GB"/>
        </w:rPr>
        <w:lastRenderedPageBreak/>
        <w:t xml:space="preserve">A type clinopyroxene. </w:t>
      </w:r>
      <w:r w:rsidR="001817F2" w:rsidRPr="004013FB">
        <w:rPr>
          <w:b/>
          <w:bCs/>
          <w:color w:val="auto"/>
          <w:lang w:val="en-GB"/>
        </w:rPr>
        <w:t>B.</w:t>
      </w:r>
      <w:r w:rsidR="001817F2">
        <w:rPr>
          <w:color w:val="auto"/>
          <w:lang w:val="en-GB"/>
        </w:rPr>
        <w:t xml:space="preserve"> Selected NZ-B type clinopyroxene. </w:t>
      </w:r>
      <w:r w:rsidR="001817F2" w:rsidRPr="004013FB">
        <w:rPr>
          <w:b/>
          <w:bCs/>
          <w:color w:val="auto"/>
          <w:lang w:val="en-GB"/>
        </w:rPr>
        <w:t>C.</w:t>
      </w:r>
      <w:r w:rsidR="001817F2">
        <w:rPr>
          <w:color w:val="auto"/>
          <w:lang w:val="en-GB"/>
        </w:rPr>
        <w:t xml:space="preserve"> Selected RZ-A type clinopyroxene</w:t>
      </w:r>
      <w:r w:rsidR="001817F2" w:rsidRPr="004013FB">
        <w:rPr>
          <w:b/>
          <w:bCs/>
          <w:color w:val="auto"/>
          <w:lang w:val="en-GB"/>
        </w:rPr>
        <w:t>. D.</w:t>
      </w:r>
      <w:r w:rsidR="001817F2">
        <w:rPr>
          <w:color w:val="auto"/>
          <w:lang w:val="en-GB"/>
        </w:rPr>
        <w:t xml:space="preserve"> Selected RZ-B type clinopyroxene. (see text for full details on textures and chemical compositions of clinopyroxene). </w:t>
      </w:r>
    </w:p>
    <w:p w14:paraId="6F58F0E3" w14:textId="77777777" w:rsidR="001A285A" w:rsidRDefault="001A285A" w:rsidP="00807B49">
      <w:pPr>
        <w:spacing w:line="276" w:lineRule="auto"/>
        <w:jc w:val="both"/>
        <w:rPr>
          <w:rFonts w:cstheme="minorHAnsi"/>
          <w:sz w:val="20"/>
          <w:szCs w:val="20"/>
          <w:lang w:val="en-GB"/>
        </w:rPr>
      </w:pPr>
    </w:p>
    <w:p w14:paraId="7F94414A" w14:textId="3D11382F" w:rsidR="00B46277" w:rsidRPr="00807B49" w:rsidRDefault="00B46277" w:rsidP="008C10E6">
      <w:pPr>
        <w:autoSpaceDE w:val="0"/>
        <w:autoSpaceDN w:val="0"/>
        <w:adjustRightInd w:val="0"/>
        <w:spacing w:after="0" w:line="276" w:lineRule="auto"/>
        <w:rPr>
          <w:rFonts w:cstheme="minorHAnsi"/>
          <w:sz w:val="20"/>
          <w:szCs w:val="20"/>
          <w:lang w:val="en-GB"/>
        </w:rPr>
      </w:pPr>
    </w:p>
    <w:p w14:paraId="6FF14F93" w14:textId="77777777" w:rsidR="007E66BC" w:rsidRDefault="007E66BC" w:rsidP="002B2D1A">
      <w:pPr>
        <w:jc w:val="both"/>
        <w:rPr>
          <w:rFonts w:ascii="Calibri" w:hAnsi="Calibri" w:cs="Calibri"/>
          <w:lang w:val="en-GB"/>
        </w:rPr>
      </w:pPr>
    </w:p>
    <w:p w14:paraId="7F00F293" w14:textId="205B12E5" w:rsidR="00A9055E" w:rsidRPr="007E66BC" w:rsidRDefault="007E2B00" w:rsidP="002B2D1A">
      <w:pPr>
        <w:jc w:val="both"/>
        <w:rPr>
          <w:rFonts w:ascii="Calibri" w:hAnsi="Calibri" w:cs="Calibri"/>
          <w:b/>
          <w:bCs/>
          <w:lang w:val="en-GB"/>
        </w:rPr>
      </w:pPr>
      <w:r w:rsidRPr="00BF061F">
        <w:rPr>
          <w:rFonts w:ascii="Calibri" w:hAnsi="Calibri" w:cs="Calibri"/>
          <w:b/>
          <w:bCs/>
          <w:lang w:val="en-GB"/>
        </w:rPr>
        <w:t>Tab</w:t>
      </w:r>
      <w:r w:rsidR="00CE63F4" w:rsidRPr="00BF061F">
        <w:rPr>
          <w:rFonts w:ascii="Calibri" w:hAnsi="Calibri" w:cs="Calibri"/>
          <w:b/>
          <w:bCs/>
          <w:lang w:val="en-GB"/>
        </w:rPr>
        <w:t>le</w:t>
      </w:r>
      <w:r w:rsidRPr="00BF061F">
        <w:rPr>
          <w:rFonts w:ascii="Calibri" w:hAnsi="Calibri" w:cs="Calibri"/>
          <w:b/>
          <w:bCs/>
          <w:lang w:val="en-GB"/>
        </w:rPr>
        <w:t xml:space="preserve"> </w:t>
      </w:r>
      <w:r w:rsidR="00CE63F4" w:rsidRPr="00BF061F">
        <w:rPr>
          <w:rFonts w:ascii="Calibri" w:hAnsi="Calibri" w:cs="Calibri"/>
          <w:b/>
          <w:bCs/>
          <w:lang w:val="en-GB"/>
        </w:rPr>
        <w:t>S1</w:t>
      </w:r>
      <w:r w:rsidR="00BF061F" w:rsidRPr="00BF061F">
        <w:rPr>
          <w:rFonts w:ascii="Calibri" w:hAnsi="Calibri" w:cs="Calibri"/>
          <w:b/>
          <w:bCs/>
          <w:lang w:val="en-GB"/>
        </w:rPr>
        <w:t>.</w:t>
      </w:r>
      <w:r w:rsidR="00BF061F">
        <w:rPr>
          <w:rFonts w:ascii="Calibri" w:hAnsi="Calibri" w:cs="Calibri"/>
          <w:lang w:val="en-GB"/>
        </w:rPr>
        <w:t xml:space="preserve"> </w:t>
      </w:r>
      <w:r w:rsidRPr="007E66BC">
        <w:rPr>
          <w:rFonts w:ascii="Calibri" w:hAnsi="Calibri" w:cs="Calibri"/>
          <w:lang w:val="en-GB"/>
        </w:rPr>
        <w:t>Selected matrix glasses compositions of pumice</w:t>
      </w:r>
      <w:r w:rsidR="00A9055E" w:rsidRPr="007E66BC">
        <w:rPr>
          <w:rFonts w:ascii="Calibri" w:hAnsi="Calibri" w:cs="Calibri"/>
          <w:lang w:val="en-GB"/>
        </w:rPr>
        <w:t xml:space="preserve"> (WP</w:t>
      </w:r>
      <w:r w:rsidR="00A9055E" w:rsidRPr="007E66BC">
        <w:rPr>
          <w:rFonts w:ascii="Calibri" w:hAnsi="Calibri" w:cs="Calibri"/>
          <w:vertAlign w:val="subscript"/>
          <w:lang w:val="en-GB"/>
        </w:rPr>
        <w:t>EU1</w:t>
      </w:r>
      <w:r w:rsidR="00A9055E" w:rsidRPr="007E66BC">
        <w:rPr>
          <w:rFonts w:ascii="Calibri" w:hAnsi="Calibri" w:cs="Calibri"/>
          <w:lang w:val="en-GB"/>
        </w:rPr>
        <w:t>)</w:t>
      </w:r>
      <w:r w:rsidRPr="007E66BC">
        <w:rPr>
          <w:rFonts w:ascii="Calibri" w:hAnsi="Calibri" w:cs="Calibri"/>
          <w:lang w:val="en-GB"/>
        </w:rPr>
        <w:t xml:space="preserve"> and </w:t>
      </w:r>
      <w:r w:rsidR="00A9055E" w:rsidRPr="007E66BC">
        <w:rPr>
          <w:rFonts w:ascii="Calibri" w:hAnsi="Calibri" w:cs="Calibri"/>
          <w:lang w:val="en-GB"/>
        </w:rPr>
        <w:t xml:space="preserve">dense clasts </w:t>
      </w:r>
      <w:r w:rsidRPr="007E66BC">
        <w:rPr>
          <w:rFonts w:ascii="Calibri" w:hAnsi="Calibri" w:cs="Calibri"/>
          <w:lang w:val="en-GB"/>
        </w:rPr>
        <w:t>(</w:t>
      </w:r>
      <w:r w:rsidR="00A9055E" w:rsidRPr="007E66BC">
        <w:rPr>
          <w:rFonts w:ascii="Calibri" w:hAnsi="Calibri" w:cs="Calibri"/>
          <w:lang w:val="en-GB"/>
        </w:rPr>
        <w:t>DC</w:t>
      </w:r>
      <w:r w:rsidR="00A9055E" w:rsidRPr="007E66BC">
        <w:rPr>
          <w:rFonts w:ascii="Calibri" w:hAnsi="Calibri" w:cs="Calibri"/>
          <w:vertAlign w:val="subscript"/>
          <w:lang w:val="en-GB"/>
        </w:rPr>
        <w:t>EU1</w:t>
      </w:r>
      <w:r w:rsidR="00A9055E" w:rsidRPr="007E66BC">
        <w:rPr>
          <w:rFonts w:ascii="Calibri" w:hAnsi="Calibri" w:cs="Calibri"/>
          <w:lang w:val="en-GB"/>
        </w:rPr>
        <w:t xml:space="preserve">) </w:t>
      </w:r>
      <w:r w:rsidRPr="007E66BC">
        <w:rPr>
          <w:rFonts w:ascii="Calibri" w:hAnsi="Calibri" w:cs="Calibri"/>
          <w:lang w:val="en-GB"/>
        </w:rPr>
        <w:t>of the opening phase of the Avellino eruption.</w:t>
      </w:r>
      <w:r w:rsidR="002B2D1A" w:rsidRPr="007E66BC">
        <w:rPr>
          <w:rFonts w:ascii="Calibri" w:hAnsi="Calibri" w:cs="Calibri"/>
          <w:lang w:val="en-GB"/>
        </w:rPr>
        <w:t xml:space="preserve"> For WP</w:t>
      </w:r>
      <w:r w:rsidR="002B2D1A" w:rsidRPr="007E66BC">
        <w:rPr>
          <w:rFonts w:ascii="Calibri" w:hAnsi="Calibri" w:cs="Calibri"/>
          <w:vertAlign w:val="subscript"/>
          <w:lang w:val="en-GB"/>
        </w:rPr>
        <w:t xml:space="preserve">EU1 </w:t>
      </w:r>
      <w:r w:rsidR="002B2D1A" w:rsidRPr="007E66BC">
        <w:rPr>
          <w:rFonts w:ascii="Calibri" w:hAnsi="Calibri" w:cs="Calibri"/>
          <w:lang w:val="en-GB"/>
        </w:rPr>
        <w:t>and DC</w:t>
      </w:r>
      <w:r w:rsidR="002B2D1A" w:rsidRPr="007E66BC">
        <w:rPr>
          <w:rFonts w:ascii="Calibri" w:hAnsi="Calibri" w:cs="Calibri"/>
          <w:vertAlign w:val="subscript"/>
          <w:lang w:val="en-GB"/>
        </w:rPr>
        <w:t>EU1</w:t>
      </w:r>
      <w:r w:rsidR="002B2D1A" w:rsidRPr="007E66BC">
        <w:rPr>
          <w:rFonts w:ascii="Calibri" w:hAnsi="Calibri" w:cs="Calibri"/>
          <w:lang w:val="en-GB"/>
        </w:rPr>
        <w:t xml:space="preserve"> is also reported the typology of analysis (EPMA or SEM). </w:t>
      </w:r>
    </w:p>
    <w:p w14:paraId="2488BF73" w14:textId="77777777" w:rsidR="00A9055E" w:rsidRDefault="00A9055E" w:rsidP="00B46277">
      <w:pPr>
        <w:pStyle w:val="ListParagraph"/>
        <w:rPr>
          <w:rFonts w:cstheme="minorHAnsi"/>
          <w:b/>
          <w:bCs/>
          <w:lang w:val="en-GB"/>
        </w:rPr>
      </w:pPr>
    </w:p>
    <w:p w14:paraId="10FE7DAB" w14:textId="3B0A7888" w:rsidR="00A9055E" w:rsidRDefault="00A545E0" w:rsidP="0031617F">
      <w:pPr>
        <w:pStyle w:val="ListParagraph"/>
        <w:ind w:left="0"/>
        <w:rPr>
          <w:rFonts w:cstheme="minorHAnsi"/>
          <w:lang w:val="en-GB"/>
        </w:rPr>
      </w:pPr>
      <w:r w:rsidRPr="00A545E0">
        <w:rPr>
          <w:noProof/>
        </w:rPr>
        <w:drawing>
          <wp:inline distT="0" distB="0" distL="0" distR="0" wp14:anchorId="38507DD7" wp14:editId="1D1AD524">
            <wp:extent cx="6120130" cy="2298065"/>
            <wp:effectExtent l="0" t="0" r="0" b="6985"/>
            <wp:docPr id="946663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298065"/>
                    </a:xfrm>
                    <a:prstGeom prst="rect">
                      <a:avLst/>
                    </a:prstGeom>
                    <a:noFill/>
                    <a:ln>
                      <a:noFill/>
                    </a:ln>
                  </pic:spPr>
                </pic:pic>
              </a:graphicData>
            </a:graphic>
          </wp:inline>
        </w:drawing>
      </w:r>
    </w:p>
    <w:p w14:paraId="231F872F" w14:textId="77777777" w:rsidR="007E66BC" w:rsidRPr="007E66BC" w:rsidRDefault="007E66BC" w:rsidP="0031617F">
      <w:pPr>
        <w:jc w:val="both"/>
        <w:rPr>
          <w:rFonts w:ascii="Calibri" w:hAnsi="Calibri" w:cs="Calibri"/>
          <w:lang w:val="en-GB"/>
        </w:rPr>
      </w:pPr>
    </w:p>
    <w:p w14:paraId="4E85C591" w14:textId="7E05221A" w:rsidR="00487506" w:rsidRPr="007E66BC" w:rsidRDefault="0031617F" w:rsidP="0031617F">
      <w:pPr>
        <w:jc w:val="both"/>
        <w:rPr>
          <w:rFonts w:ascii="Calibri" w:hAnsi="Calibri" w:cs="Calibri"/>
          <w:lang w:val="en-GB"/>
        </w:rPr>
      </w:pPr>
      <w:r w:rsidRPr="00BF061F">
        <w:rPr>
          <w:rFonts w:ascii="Calibri" w:hAnsi="Calibri" w:cs="Calibri"/>
          <w:b/>
          <w:bCs/>
          <w:lang w:val="en-GB"/>
        </w:rPr>
        <w:t>Tab</w:t>
      </w:r>
      <w:r w:rsidR="00CE63F4" w:rsidRPr="00BF061F">
        <w:rPr>
          <w:rFonts w:ascii="Calibri" w:hAnsi="Calibri" w:cs="Calibri"/>
          <w:b/>
          <w:bCs/>
          <w:lang w:val="en-GB"/>
        </w:rPr>
        <w:t>le S2</w:t>
      </w:r>
      <w:r w:rsidR="00BF061F" w:rsidRPr="00BF061F">
        <w:rPr>
          <w:rFonts w:ascii="Calibri" w:hAnsi="Calibri" w:cs="Calibri"/>
          <w:b/>
          <w:bCs/>
          <w:lang w:val="en-GB"/>
        </w:rPr>
        <w:t xml:space="preserve">. </w:t>
      </w:r>
      <w:r w:rsidRPr="007E66BC">
        <w:rPr>
          <w:rFonts w:ascii="Calibri" w:hAnsi="Calibri" w:cs="Calibri"/>
          <w:lang w:val="en-GB"/>
        </w:rPr>
        <w:t>Selected matrix glasses compositions of dense blocks, both T1 and T2 of the opening phase of the Avellino eruption.</w:t>
      </w:r>
    </w:p>
    <w:p w14:paraId="4F6E31FB" w14:textId="61F82C9A" w:rsidR="00713ACE" w:rsidRPr="006A7205" w:rsidRDefault="00A545E0" w:rsidP="006A7205">
      <w:pPr>
        <w:jc w:val="both"/>
        <w:rPr>
          <w:rFonts w:ascii="Arial" w:hAnsi="Arial" w:cs="Arial"/>
          <w:lang w:val="en-GB"/>
        </w:rPr>
      </w:pPr>
      <w:r w:rsidRPr="00A545E0">
        <w:rPr>
          <w:noProof/>
        </w:rPr>
        <w:drawing>
          <wp:inline distT="0" distB="0" distL="0" distR="0" wp14:anchorId="2F14EC80" wp14:editId="22C66829">
            <wp:extent cx="6120130" cy="2395220"/>
            <wp:effectExtent l="0" t="0" r="0" b="5080"/>
            <wp:docPr id="15610053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2395220"/>
                    </a:xfrm>
                    <a:prstGeom prst="rect">
                      <a:avLst/>
                    </a:prstGeom>
                    <a:noFill/>
                    <a:ln>
                      <a:noFill/>
                    </a:ln>
                  </pic:spPr>
                </pic:pic>
              </a:graphicData>
            </a:graphic>
          </wp:inline>
        </w:drawing>
      </w:r>
    </w:p>
    <w:p w14:paraId="37D8F3A8" w14:textId="77777777" w:rsidR="007E66BC" w:rsidRDefault="007E66BC" w:rsidP="004823EA">
      <w:pPr>
        <w:rPr>
          <w:rFonts w:cstheme="minorHAnsi"/>
          <w:lang w:val="en-GB"/>
        </w:rPr>
      </w:pPr>
    </w:p>
    <w:p w14:paraId="6CA92C50" w14:textId="77777777" w:rsidR="007E66BC" w:rsidRDefault="007E66BC" w:rsidP="004823EA">
      <w:pPr>
        <w:rPr>
          <w:rFonts w:cstheme="minorHAnsi"/>
          <w:lang w:val="en-GB"/>
        </w:rPr>
      </w:pPr>
    </w:p>
    <w:p w14:paraId="31CF259F" w14:textId="77777777" w:rsidR="007E66BC" w:rsidRDefault="007E66BC" w:rsidP="004823EA">
      <w:pPr>
        <w:rPr>
          <w:rFonts w:cstheme="minorHAnsi"/>
          <w:lang w:val="en-GB"/>
        </w:rPr>
      </w:pPr>
    </w:p>
    <w:p w14:paraId="0E72E79D" w14:textId="77777777" w:rsidR="007E66BC" w:rsidRDefault="007E66BC" w:rsidP="004823EA">
      <w:pPr>
        <w:rPr>
          <w:rFonts w:cstheme="minorHAnsi"/>
          <w:lang w:val="en-GB"/>
        </w:rPr>
      </w:pPr>
    </w:p>
    <w:p w14:paraId="1A7312C4" w14:textId="77777777" w:rsidR="001C3D49" w:rsidRDefault="001C3D49" w:rsidP="004823EA">
      <w:pPr>
        <w:rPr>
          <w:rFonts w:cstheme="minorHAnsi"/>
          <w:lang w:val="en-GB"/>
        </w:rPr>
      </w:pPr>
    </w:p>
    <w:p w14:paraId="52C38E2A" w14:textId="6AE97D26" w:rsidR="00622B81" w:rsidRPr="00627C94" w:rsidRDefault="00713ACE" w:rsidP="004823EA">
      <w:pPr>
        <w:rPr>
          <w:lang w:val="en-GB"/>
        </w:rPr>
      </w:pPr>
      <w:r w:rsidRPr="00BF061F">
        <w:rPr>
          <w:rFonts w:cstheme="minorHAnsi"/>
          <w:b/>
          <w:bCs/>
          <w:lang w:val="en-GB"/>
        </w:rPr>
        <w:lastRenderedPageBreak/>
        <w:t>Table S</w:t>
      </w:r>
      <w:r w:rsidR="00CE63F4" w:rsidRPr="00BF061F">
        <w:rPr>
          <w:rFonts w:cstheme="minorHAnsi"/>
          <w:b/>
          <w:bCs/>
          <w:lang w:val="en-GB"/>
        </w:rPr>
        <w:t>3</w:t>
      </w:r>
      <w:r w:rsidRPr="00BF061F">
        <w:rPr>
          <w:rFonts w:cstheme="minorHAnsi"/>
          <w:b/>
          <w:bCs/>
          <w:lang w:val="en-GB"/>
        </w:rPr>
        <w:t>.</w:t>
      </w:r>
      <w:r>
        <w:rPr>
          <w:rFonts w:cstheme="minorHAnsi"/>
          <w:lang w:val="en-GB"/>
        </w:rPr>
        <w:t xml:space="preserve"> Chemical composition </w:t>
      </w:r>
      <w:r w:rsidRPr="00D809B2">
        <w:rPr>
          <w:rFonts w:cstheme="minorHAnsi"/>
          <w:lang w:val="en-GB"/>
        </w:rPr>
        <w:t>of sanidine for the different</w:t>
      </w:r>
      <w:r>
        <w:rPr>
          <w:rFonts w:cstheme="minorHAnsi"/>
          <w:lang w:val="en-GB"/>
        </w:rPr>
        <w:t xml:space="preserve"> products of the opening phase of the Avellino Plinian eruption.</w:t>
      </w:r>
      <w:r w:rsidR="00D809B2">
        <w:rPr>
          <w:rFonts w:cstheme="minorHAnsi"/>
          <w:lang w:val="en-GB"/>
        </w:rPr>
        <w:t xml:space="preserve"> *c</w:t>
      </w:r>
      <w:r>
        <w:rPr>
          <w:rFonts w:cstheme="minorHAnsi"/>
          <w:lang w:val="en-GB"/>
        </w:rPr>
        <w:t xml:space="preserve"> </w:t>
      </w:r>
      <w:r w:rsidR="00D809B2" w:rsidRPr="00D809B2">
        <w:rPr>
          <w:lang w:val="en-GB"/>
        </w:rPr>
        <w:t xml:space="preserve">is core; </w:t>
      </w:r>
      <w:r w:rsidR="00D809B2">
        <w:rPr>
          <w:lang w:val="en-GB"/>
        </w:rPr>
        <w:t>r</w:t>
      </w:r>
      <w:r w:rsidR="00D809B2" w:rsidRPr="00D809B2">
        <w:rPr>
          <w:lang w:val="en-GB"/>
        </w:rPr>
        <w:t xml:space="preserve">, rim; </w:t>
      </w:r>
      <w:proofErr w:type="spellStart"/>
      <w:r w:rsidR="00D809B2">
        <w:rPr>
          <w:lang w:val="en-GB"/>
        </w:rPr>
        <w:t>ir</w:t>
      </w:r>
      <w:proofErr w:type="spellEnd"/>
      <w:r w:rsidR="00D809B2" w:rsidRPr="00D809B2">
        <w:rPr>
          <w:lang w:val="en-GB"/>
        </w:rPr>
        <w:t>, inner rim</w:t>
      </w:r>
      <w:r w:rsidR="00D809B2">
        <w:rPr>
          <w:lang w:val="en-GB"/>
        </w:rPr>
        <w:t xml:space="preserve">; </w:t>
      </w:r>
      <w:proofErr w:type="spellStart"/>
      <w:r w:rsidR="00D809B2">
        <w:rPr>
          <w:lang w:val="en-GB"/>
        </w:rPr>
        <w:t>gdm</w:t>
      </w:r>
      <w:proofErr w:type="spellEnd"/>
      <w:r w:rsidR="00D809B2">
        <w:rPr>
          <w:lang w:val="en-GB"/>
        </w:rPr>
        <w:t>, groundmass</w:t>
      </w:r>
    </w:p>
    <w:p w14:paraId="592CB61D" w14:textId="0FDEC606" w:rsidR="00EA0E01" w:rsidRDefault="00622B81" w:rsidP="00E56BBA">
      <w:pPr>
        <w:rPr>
          <w:rFonts w:cstheme="minorHAnsi"/>
          <w:lang w:val="en-GB"/>
        </w:rPr>
      </w:pPr>
      <w:r w:rsidRPr="00622B81">
        <w:rPr>
          <w:noProof/>
        </w:rPr>
        <w:drawing>
          <wp:inline distT="0" distB="0" distL="0" distR="0" wp14:anchorId="2D8D471E" wp14:editId="15D8A381">
            <wp:extent cx="6120130" cy="2976245"/>
            <wp:effectExtent l="0" t="0" r="0" b="0"/>
            <wp:docPr id="950549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2976245"/>
                    </a:xfrm>
                    <a:prstGeom prst="rect">
                      <a:avLst/>
                    </a:prstGeom>
                    <a:noFill/>
                    <a:ln>
                      <a:noFill/>
                    </a:ln>
                  </pic:spPr>
                </pic:pic>
              </a:graphicData>
            </a:graphic>
          </wp:inline>
        </w:drawing>
      </w:r>
    </w:p>
    <w:p w14:paraId="3F75F2BD" w14:textId="77777777" w:rsidR="007E66BC" w:rsidRDefault="007E66BC" w:rsidP="00E56BBA">
      <w:pPr>
        <w:rPr>
          <w:rFonts w:cstheme="minorHAnsi"/>
          <w:lang w:val="en-GB"/>
        </w:rPr>
      </w:pPr>
    </w:p>
    <w:p w14:paraId="7EEC8EB5" w14:textId="7DCD1C4E" w:rsidR="00BE5752" w:rsidRDefault="00E56BBA" w:rsidP="00CF17DB">
      <w:pPr>
        <w:rPr>
          <w:lang w:val="en-GB"/>
        </w:rPr>
      </w:pPr>
      <w:r w:rsidRPr="00BF061F">
        <w:rPr>
          <w:rFonts w:cstheme="minorHAnsi"/>
          <w:b/>
          <w:bCs/>
          <w:lang w:val="en-GB"/>
        </w:rPr>
        <w:t>Table S</w:t>
      </w:r>
      <w:r w:rsidR="00CE63F4" w:rsidRPr="00BF061F">
        <w:rPr>
          <w:rFonts w:cstheme="minorHAnsi"/>
          <w:b/>
          <w:bCs/>
          <w:lang w:val="en-GB"/>
        </w:rPr>
        <w:t>4</w:t>
      </w:r>
      <w:r w:rsidRPr="00BF061F">
        <w:rPr>
          <w:rFonts w:cstheme="minorHAnsi"/>
          <w:b/>
          <w:bCs/>
          <w:lang w:val="en-GB"/>
        </w:rPr>
        <w:t>.</w:t>
      </w:r>
      <w:r>
        <w:rPr>
          <w:rFonts w:cstheme="minorHAnsi"/>
          <w:lang w:val="en-GB"/>
        </w:rPr>
        <w:t xml:space="preserve"> </w:t>
      </w:r>
      <w:r w:rsidRPr="003A26C0">
        <w:rPr>
          <w:rFonts w:cstheme="minorHAnsi"/>
          <w:lang w:val="en-GB"/>
        </w:rPr>
        <w:t xml:space="preserve">Selected chemical composition </w:t>
      </w:r>
      <w:r w:rsidRPr="00D809B2">
        <w:rPr>
          <w:rFonts w:cstheme="minorHAnsi"/>
          <w:lang w:val="en-GB"/>
        </w:rPr>
        <w:t>of amphibole for</w:t>
      </w:r>
      <w:r w:rsidRPr="003A26C0">
        <w:rPr>
          <w:rFonts w:cstheme="minorHAnsi"/>
          <w:lang w:val="en-GB"/>
        </w:rPr>
        <w:t xml:space="preserve"> the different products of the opening phase of </w:t>
      </w:r>
      <w:r w:rsidR="00CF17DB">
        <w:rPr>
          <w:rFonts w:cstheme="minorHAnsi"/>
          <w:lang w:val="en-GB"/>
        </w:rPr>
        <w:t xml:space="preserve">the Avellino Plinian eruption. *c </w:t>
      </w:r>
      <w:r w:rsidR="00CF17DB" w:rsidRPr="00D809B2">
        <w:rPr>
          <w:lang w:val="en-GB"/>
        </w:rPr>
        <w:t xml:space="preserve">is core; </w:t>
      </w:r>
      <w:r w:rsidR="00CF17DB">
        <w:rPr>
          <w:lang w:val="en-GB"/>
        </w:rPr>
        <w:t>r</w:t>
      </w:r>
      <w:r w:rsidR="00CF17DB" w:rsidRPr="00D809B2">
        <w:rPr>
          <w:lang w:val="en-GB"/>
        </w:rPr>
        <w:t>, rim</w:t>
      </w:r>
      <w:r w:rsidR="00CF17DB">
        <w:rPr>
          <w:lang w:val="en-GB"/>
        </w:rPr>
        <w:t xml:space="preserve">; </w:t>
      </w:r>
      <w:proofErr w:type="spellStart"/>
      <w:r w:rsidR="00CF17DB">
        <w:rPr>
          <w:lang w:val="en-GB"/>
        </w:rPr>
        <w:t>gdm</w:t>
      </w:r>
      <w:proofErr w:type="spellEnd"/>
      <w:r w:rsidR="00CF17DB">
        <w:rPr>
          <w:lang w:val="en-GB"/>
        </w:rPr>
        <w:t>, groundmass.</w:t>
      </w:r>
    </w:p>
    <w:p w14:paraId="24B2A2F3" w14:textId="77777777" w:rsidR="00BE5752" w:rsidRDefault="00BE5752" w:rsidP="00CF17DB">
      <w:pPr>
        <w:rPr>
          <w:lang w:val="en-GB"/>
        </w:rPr>
      </w:pPr>
    </w:p>
    <w:p w14:paraId="2DE1934E" w14:textId="36DE7CB4" w:rsidR="00BE5752" w:rsidRPr="00627C94" w:rsidRDefault="00BE5752" w:rsidP="00CF17DB">
      <w:pPr>
        <w:rPr>
          <w:lang w:val="en-GB"/>
        </w:rPr>
      </w:pPr>
      <w:r w:rsidRPr="00BE5752">
        <w:rPr>
          <w:noProof/>
        </w:rPr>
        <w:drawing>
          <wp:inline distT="0" distB="0" distL="0" distR="0" wp14:anchorId="0B4FDCFF" wp14:editId="7AA48A02">
            <wp:extent cx="6120130" cy="3162300"/>
            <wp:effectExtent l="0" t="0" r="0" b="0"/>
            <wp:docPr id="3625419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162300"/>
                    </a:xfrm>
                    <a:prstGeom prst="rect">
                      <a:avLst/>
                    </a:prstGeom>
                    <a:noFill/>
                    <a:ln>
                      <a:noFill/>
                    </a:ln>
                  </pic:spPr>
                </pic:pic>
              </a:graphicData>
            </a:graphic>
          </wp:inline>
        </w:drawing>
      </w:r>
    </w:p>
    <w:p w14:paraId="6ECE3692" w14:textId="70C32C67" w:rsidR="00CF17DB" w:rsidRPr="00CE3E9A" w:rsidRDefault="00CF17DB" w:rsidP="00CF17DB">
      <w:pPr>
        <w:rPr>
          <w:rFonts w:cstheme="minorHAnsi"/>
          <w:lang w:val="en-GB"/>
        </w:rPr>
      </w:pPr>
    </w:p>
    <w:p w14:paraId="2076127A" w14:textId="77777777" w:rsidR="00CF17DB" w:rsidRDefault="00CF17DB" w:rsidP="00CE3E9A">
      <w:pPr>
        <w:rPr>
          <w:rFonts w:cstheme="minorHAnsi"/>
          <w:lang w:val="en-GB"/>
        </w:rPr>
      </w:pPr>
    </w:p>
    <w:p w14:paraId="291C21B3" w14:textId="77777777" w:rsidR="00CF17DB" w:rsidRDefault="00CF17DB" w:rsidP="00CE3E9A">
      <w:pPr>
        <w:rPr>
          <w:rFonts w:cstheme="minorHAnsi"/>
          <w:lang w:val="en-GB"/>
        </w:rPr>
      </w:pPr>
    </w:p>
    <w:p w14:paraId="4F5C5E2C" w14:textId="77777777" w:rsidR="00CF17DB" w:rsidRDefault="00CF17DB" w:rsidP="00CE3E9A">
      <w:pPr>
        <w:rPr>
          <w:rFonts w:cstheme="minorHAnsi"/>
          <w:lang w:val="en-GB"/>
        </w:rPr>
      </w:pPr>
    </w:p>
    <w:p w14:paraId="124CD1AD" w14:textId="76A91375" w:rsidR="00123AD7" w:rsidRPr="00627C94" w:rsidRDefault="00CE3E9A" w:rsidP="00CE3E9A">
      <w:pPr>
        <w:rPr>
          <w:lang w:val="en-GB"/>
        </w:rPr>
      </w:pPr>
      <w:r w:rsidRPr="00BF061F">
        <w:rPr>
          <w:rFonts w:cstheme="minorHAnsi"/>
          <w:b/>
          <w:bCs/>
          <w:lang w:val="en-GB"/>
        </w:rPr>
        <w:lastRenderedPageBreak/>
        <w:t>Table S5.</w:t>
      </w:r>
      <w:r w:rsidRPr="00CE3E9A">
        <w:rPr>
          <w:rFonts w:cstheme="minorHAnsi"/>
          <w:lang w:val="en-GB"/>
        </w:rPr>
        <w:t xml:space="preserve"> Selected chemical composition of clinopyroxene for the different products of the opening phase of the Avellino Plinian eruption</w:t>
      </w:r>
      <w:r w:rsidR="00C909AC">
        <w:rPr>
          <w:rFonts w:cstheme="minorHAnsi"/>
          <w:lang w:val="en-GB"/>
        </w:rPr>
        <w:t>.</w:t>
      </w:r>
      <w:r w:rsidR="00D809B2" w:rsidRPr="00D809B2">
        <w:rPr>
          <w:rFonts w:cstheme="minorHAnsi"/>
          <w:lang w:val="en-GB"/>
        </w:rPr>
        <w:t xml:space="preserve"> </w:t>
      </w:r>
      <w:r w:rsidR="00D809B2">
        <w:rPr>
          <w:rFonts w:cstheme="minorHAnsi"/>
          <w:lang w:val="en-GB"/>
        </w:rPr>
        <w:t xml:space="preserve">*c </w:t>
      </w:r>
      <w:r w:rsidR="00D809B2" w:rsidRPr="00D809B2">
        <w:rPr>
          <w:lang w:val="en-GB"/>
        </w:rPr>
        <w:t xml:space="preserve">is core; </w:t>
      </w:r>
      <w:r w:rsidR="00D809B2">
        <w:rPr>
          <w:lang w:val="en-GB"/>
        </w:rPr>
        <w:t>r</w:t>
      </w:r>
      <w:r w:rsidR="00D809B2" w:rsidRPr="00D809B2">
        <w:rPr>
          <w:lang w:val="en-GB"/>
        </w:rPr>
        <w:t>, rim</w:t>
      </w:r>
      <w:r w:rsidR="00D809B2">
        <w:rPr>
          <w:lang w:val="en-GB"/>
        </w:rPr>
        <w:t xml:space="preserve">; </w:t>
      </w:r>
      <w:proofErr w:type="spellStart"/>
      <w:r w:rsidR="00D809B2">
        <w:rPr>
          <w:lang w:val="en-GB"/>
        </w:rPr>
        <w:t>gdm</w:t>
      </w:r>
      <w:proofErr w:type="spellEnd"/>
      <w:r w:rsidR="00D809B2">
        <w:rPr>
          <w:lang w:val="en-GB"/>
        </w:rPr>
        <w:t>, groundmass</w:t>
      </w:r>
      <w:r w:rsidR="00123AD7">
        <w:rPr>
          <w:lang w:val="en-GB"/>
        </w:rPr>
        <w:t>.</w:t>
      </w:r>
    </w:p>
    <w:p w14:paraId="598E02DA" w14:textId="1DDFF1FC" w:rsidR="00E56BBA" w:rsidRDefault="00123AD7" w:rsidP="00123AD7">
      <w:pPr>
        <w:pStyle w:val="ListParagraph"/>
        <w:ind w:left="142" w:hanging="142"/>
        <w:jc w:val="both"/>
        <w:rPr>
          <w:rFonts w:cstheme="minorHAnsi"/>
          <w:lang w:val="en-GB"/>
        </w:rPr>
      </w:pPr>
      <w:r w:rsidRPr="00123AD7">
        <w:rPr>
          <w:noProof/>
        </w:rPr>
        <w:drawing>
          <wp:inline distT="0" distB="0" distL="0" distR="0" wp14:anchorId="7158785B" wp14:editId="1DFD6A33">
            <wp:extent cx="5966460" cy="4206240"/>
            <wp:effectExtent l="0" t="0" r="0" b="3810"/>
            <wp:docPr id="2060257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6460" cy="4206240"/>
                    </a:xfrm>
                    <a:prstGeom prst="rect">
                      <a:avLst/>
                    </a:prstGeom>
                    <a:noFill/>
                    <a:ln>
                      <a:noFill/>
                    </a:ln>
                  </pic:spPr>
                </pic:pic>
              </a:graphicData>
            </a:graphic>
          </wp:inline>
        </w:drawing>
      </w:r>
    </w:p>
    <w:p w14:paraId="0EE64BC3" w14:textId="77777777" w:rsidR="00E430D9" w:rsidRPr="00537924" w:rsidRDefault="00E430D9" w:rsidP="00537924">
      <w:pPr>
        <w:rPr>
          <w:rFonts w:cstheme="minorHAnsi"/>
          <w:lang w:val="en-GB"/>
        </w:rPr>
      </w:pPr>
    </w:p>
    <w:p w14:paraId="1C5A0E2C" w14:textId="53AF7233" w:rsidR="00CE3E9A" w:rsidRDefault="00CE3E9A" w:rsidP="00CE3E9A">
      <w:pPr>
        <w:rPr>
          <w:rFonts w:cstheme="minorHAnsi"/>
          <w:lang w:val="en-GB"/>
        </w:rPr>
      </w:pPr>
      <w:r w:rsidRPr="00BF061F">
        <w:rPr>
          <w:rFonts w:cstheme="minorHAnsi"/>
          <w:b/>
          <w:bCs/>
          <w:lang w:val="en-GB"/>
        </w:rPr>
        <w:t>Table S6.</w:t>
      </w:r>
      <w:r w:rsidRPr="003A26C0">
        <w:rPr>
          <w:rFonts w:cstheme="minorHAnsi"/>
          <w:lang w:val="en-GB"/>
        </w:rPr>
        <w:t xml:space="preserve"> Selected chemical composition </w:t>
      </w:r>
      <w:r w:rsidRPr="00A83288">
        <w:rPr>
          <w:rFonts w:cstheme="minorHAnsi"/>
          <w:lang w:val="en-GB"/>
        </w:rPr>
        <w:t>of nepheline for the</w:t>
      </w:r>
      <w:r w:rsidRPr="003A26C0">
        <w:rPr>
          <w:rFonts w:cstheme="minorHAnsi"/>
          <w:lang w:val="en-GB"/>
        </w:rPr>
        <w:t xml:space="preserve"> different products of the opening phase of the Avellino Plinian eruption</w:t>
      </w:r>
      <w:r>
        <w:rPr>
          <w:rFonts w:cstheme="minorHAnsi"/>
          <w:lang w:val="en-GB"/>
        </w:rPr>
        <w:t xml:space="preserve">. </w:t>
      </w:r>
      <w:r w:rsidR="00D809B2">
        <w:rPr>
          <w:rFonts w:cstheme="minorHAnsi"/>
          <w:lang w:val="en-GB"/>
        </w:rPr>
        <w:t xml:space="preserve">*c </w:t>
      </w:r>
      <w:r w:rsidR="00D809B2" w:rsidRPr="00D809B2">
        <w:rPr>
          <w:lang w:val="en-GB"/>
        </w:rPr>
        <w:t xml:space="preserve">is core; </w:t>
      </w:r>
      <w:r w:rsidR="00D809B2">
        <w:rPr>
          <w:lang w:val="en-GB"/>
        </w:rPr>
        <w:t>r</w:t>
      </w:r>
      <w:r w:rsidR="00D809B2" w:rsidRPr="00D809B2">
        <w:rPr>
          <w:lang w:val="en-GB"/>
        </w:rPr>
        <w:t>, ri</w:t>
      </w:r>
      <w:r w:rsidR="00D809B2">
        <w:rPr>
          <w:lang w:val="en-GB"/>
        </w:rPr>
        <w:t xml:space="preserve">m; </w:t>
      </w:r>
      <w:proofErr w:type="spellStart"/>
      <w:r w:rsidR="00D809B2">
        <w:rPr>
          <w:lang w:val="en-GB"/>
        </w:rPr>
        <w:t>gdm</w:t>
      </w:r>
      <w:proofErr w:type="spellEnd"/>
      <w:r w:rsidR="00D809B2">
        <w:rPr>
          <w:lang w:val="en-GB"/>
        </w:rPr>
        <w:t>, groundmass</w:t>
      </w:r>
    </w:p>
    <w:p w14:paraId="45DE6F8C" w14:textId="15D86CDF" w:rsidR="00CE3E9A" w:rsidRPr="00102E89" w:rsidRDefault="00A83288" w:rsidP="00CE3E9A">
      <w:pPr>
        <w:rPr>
          <w:rFonts w:cstheme="minorHAnsi"/>
          <w:lang w:val="en-GB"/>
        </w:rPr>
      </w:pPr>
      <w:r w:rsidRPr="00A83288">
        <w:rPr>
          <w:noProof/>
        </w:rPr>
        <w:drawing>
          <wp:inline distT="0" distB="0" distL="0" distR="0" wp14:anchorId="7C7349CE" wp14:editId="55B76455">
            <wp:extent cx="6120130" cy="2192020"/>
            <wp:effectExtent l="0" t="0" r="0" b="0"/>
            <wp:docPr id="3960719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2192020"/>
                    </a:xfrm>
                    <a:prstGeom prst="rect">
                      <a:avLst/>
                    </a:prstGeom>
                    <a:noFill/>
                    <a:ln>
                      <a:noFill/>
                    </a:ln>
                  </pic:spPr>
                </pic:pic>
              </a:graphicData>
            </a:graphic>
          </wp:inline>
        </w:drawing>
      </w:r>
    </w:p>
    <w:p w14:paraId="586F685F" w14:textId="77777777" w:rsidR="00CE3E9A" w:rsidRDefault="00CE3E9A" w:rsidP="00CE3E9A">
      <w:pPr>
        <w:pStyle w:val="ListParagraph"/>
        <w:rPr>
          <w:rFonts w:cstheme="minorHAnsi"/>
          <w:lang w:val="en-GB"/>
        </w:rPr>
      </w:pPr>
    </w:p>
    <w:p w14:paraId="4503FA73" w14:textId="77777777" w:rsidR="00CE3E9A" w:rsidRDefault="00CE3E9A" w:rsidP="00CE3E9A">
      <w:pPr>
        <w:pStyle w:val="ListParagraph"/>
        <w:rPr>
          <w:rFonts w:cstheme="minorHAnsi"/>
          <w:lang w:val="en-GB"/>
        </w:rPr>
      </w:pPr>
    </w:p>
    <w:p w14:paraId="44ABE3DF" w14:textId="77777777" w:rsidR="00CE3E9A" w:rsidRDefault="00CE3E9A" w:rsidP="00CE3E9A">
      <w:pPr>
        <w:pStyle w:val="ListParagraph"/>
        <w:rPr>
          <w:rFonts w:cstheme="minorHAnsi"/>
          <w:lang w:val="en-GB"/>
        </w:rPr>
      </w:pPr>
    </w:p>
    <w:p w14:paraId="1151B08A" w14:textId="77777777" w:rsidR="00CE3E9A" w:rsidRDefault="00CE3E9A" w:rsidP="00CE3E9A">
      <w:pPr>
        <w:pStyle w:val="ListParagraph"/>
        <w:rPr>
          <w:rFonts w:cstheme="minorHAnsi"/>
          <w:lang w:val="en-GB"/>
        </w:rPr>
      </w:pPr>
    </w:p>
    <w:p w14:paraId="05EE5F66" w14:textId="77777777" w:rsidR="00CE3E9A" w:rsidRDefault="00CE3E9A" w:rsidP="00CE3E9A">
      <w:pPr>
        <w:pStyle w:val="ListParagraph"/>
        <w:rPr>
          <w:rFonts w:cstheme="minorHAnsi"/>
          <w:lang w:val="en-GB"/>
        </w:rPr>
      </w:pPr>
    </w:p>
    <w:p w14:paraId="71374A0D" w14:textId="02FC89C5" w:rsidR="003A26C0" w:rsidRDefault="00CF17DB" w:rsidP="003A26C0">
      <w:pPr>
        <w:rPr>
          <w:lang w:val="en-GB"/>
        </w:rPr>
      </w:pPr>
      <w:r w:rsidRPr="00BF061F">
        <w:rPr>
          <w:rFonts w:cstheme="minorHAnsi"/>
          <w:b/>
          <w:bCs/>
          <w:lang w:val="en-GB"/>
        </w:rPr>
        <w:lastRenderedPageBreak/>
        <w:t>Tab</w:t>
      </w:r>
      <w:r w:rsidR="003A26C0" w:rsidRPr="00BF061F">
        <w:rPr>
          <w:rFonts w:cstheme="minorHAnsi"/>
          <w:b/>
          <w:bCs/>
          <w:lang w:val="en-GB"/>
        </w:rPr>
        <w:t>le S</w:t>
      </w:r>
      <w:r w:rsidR="00FD1B30" w:rsidRPr="00BF061F">
        <w:rPr>
          <w:rFonts w:cstheme="minorHAnsi"/>
          <w:b/>
          <w:bCs/>
          <w:lang w:val="en-GB"/>
        </w:rPr>
        <w:t>7.</w:t>
      </w:r>
      <w:r w:rsidR="003A26C0" w:rsidRPr="003A26C0">
        <w:rPr>
          <w:rFonts w:cstheme="minorHAnsi"/>
          <w:lang w:val="en-GB"/>
        </w:rPr>
        <w:t xml:space="preserve"> </w:t>
      </w:r>
      <w:r w:rsidR="003A26C0" w:rsidRPr="00CF17DB">
        <w:rPr>
          <w:rFonts w:cstheme="minorHAnsi"/>
          <w:lang w:val="en-GB"/>
        </w:rPr>
        <w:t>Selected chemical composition of plagioclase for the different products of the opening phase of the</w:t>
      </w:r>
      <w:r>
        <w:rPr>
          <w:rFonts w:cstheme="minorHAnsi"/>
          <w:lang w:val="en-GB"/>
        </w:rPr>
        <w:t xml:space="preserve"> </w:t>
      </w:r>
      <w:r w:rsidR="003A26C0" w:rsidRPr="00CF17DB">
        <w:rPr>
          <w:rFonts w:cstheme="minorHAnsi"/>
          <w:lang w:val="en-GB"/>
        </w:rPr>
        <w:t>Avellino Plinian eruption</w:t>
      </w:r>
      <w:r w:rsidR="000873AD" w:rsidRPr="00CF17DB">
        <w:rPr>
          <w:rFonts w:cstheme="minorHAnsi"/>
          <w:lang w:val="en-GB"/>
        </w:rPr>
        <w:t xml:space="preserve">. </w:t>
      </w:r>
      <w:r w:rsidR="00D809B2" w:rsidRPr="00CF17DB">
        <w:rPr>
          <w:rFonts w:cstheme="minorHAnsi"/>
          <w:lang w:val="en-GB"/>
        </w:rPr>
        <w:t xml:space="preserve">*c </w:t>
      </w:r>
      <w:r w:rsidR="00D809B2" w:rsidRPr="00CF17DB">
        <w:rPr>
          <w:lang w:val="en-GB"/>
        </w:rPr>
        <w:t xml:space="preserve">is core; r, rim; </w:t>
      </w:r>
      <w:proofErr w:type="spellStart"/>
      <w:r w:rsidR="00D809B2" w:rsidRPr="00CF17DB">
        <w:rPr>
          <w:lang w:val="en-GB"/>
        </w:rPr>
        <w:t>ir</w:t>
      </w:r>
      <w:proofErr w:type="spellEnd"/>
      <w:r w:rsidR="00D809B2" w:rsidRPr="00CF17DB">
        <w:rPr>
          <w:lang w:val="en-GB"/>
        </w:rPr>
        <w:t xml:space="preserve">, inner rim; </w:t>
      </w:r>
      <w:proofErr w:type="spellStart"/>
      <w:r w:rsidR="00D809B2" w:rsidRPr="00CF17DB">
        <w:rPr>
          <w:lang w:val="en-GB"/>
        </w:rPr>
        <w:t>gdm</w:t>
      </w:r>
      <w:proofErr w:type="spellEnd"/>
      <w:r w:rsidR="00D809B2" w:rsidRPr="00CF17DB">
        <w:rPr>
          <w:lang w:val="en-GB"/>
        </w:rPr>
        <w:t>, groundmass</w:t>
      </w:r>
    </w:p>
    <w:p w14:paraId="5C74AC22" w14:textId="52916824" w:rsidR="00CF17DB" w:rsidRDefault="00CF17DB" w:rsidP="003A26C0">
      <w:pPr>
        <w:rPr>
          <w:lang w:val="en-GB"/>
        </w:rPr>
      </w:pPr>
      <w:r w:rsidRPr="00CF17DB">
        <w:rPr>
          <w:noProof/>
        </w:rPr>
        <w:drawing>
          <wp:inline distT="0" distB="0" distL="0" distR="0" wp14:anchorId="1545D767" wp14:editId="5505D781">
            <wp:extent cx="6120130" cy="3105785"/>
            <wp:effectExtent l="0" t="0" r="0" b="0"/>
            <wp:docPr id="1255302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3105785"/>
                    </a:xfrm>
                    <a:prstGeom prst="rect">
                      <a:avLst/>
                    </a:prstGeom>
                    <a:noFill/>
                    <a:ln>
                      <a:noFill/>
                    </a:ln>
                  </pic:spPr>
                </pic:pic>
              </a:graphicData>
            </a:graphic>
          </wp:inline>
        </w:drawing>
      </w:r>
    </w:p>
    <w:p w14:paraId="7891F871" w14:textId="77777777" w:rsidR="00CF17DB" w:rsidRDefault="00CF17DB" w:rsidP="003A26C0">
      <w:pPr>
        <w:rPr>
          <w:lang w:val="en-GB"/>
        </w:rPr>
      </w:pPr>
    </w:p>
    <w:p w14:paraId="232414BB" w14:textId="77777777" w:rsidR="00CF17DB" w:rsidRDefault="00CF17DB" w:rsidP="003A26C0">
      <w:pPr>
        <w:rPr>
          <w:rFonts w:cstheme="minorHAnsi"/>
          <w:lang w:val="en-GB"/>
        </w:rPr>
      </w:pPr>
    </w:p>
    <w:p w14:paraId="48A8707E" w14:textId="00F07834" w:rsidR="00B54738" w:rsidRPr="00B54738" w:rsidRDefault="009806A5" w:rsidP="009806A5">
      <w:pPr>
        <w:rPr>
          <w:lang w:val="en-GB"/>
        </w:rPr>
      </w:pPr>
      <w:r w:rsidRPr="00BF061F">
        <w:rPr>
          <w:rFonts w:cstheme="minorHAnsi"/>
          <w:b/>
          <w:bCs/>
          <w:lang w:val="en-GB"/>
        </w:rPr>
        <w:t>Table S</w:t>
      </w:r>
      <w:r w:rsidR="00FD1B30" w:rsidRPr="00BF061F">
        <w:rPr>
          <w:rFonts w:cstheme="minorHAnsi"/>
          <w:b/>
          <w:bCs/>
          <w:lang w:val="en-GB"/>
        </w:rPr>
        <w:t>8</w:t>
      </w:r>
      <w:r w:rsidRPr="00BF061F">
        <w:rPr>
          <w:rFonts w:cstheme="minorHAnsi"/>
          <w:b/>
          <w:bCs/>
          <w:lang w:val="en-GB"/>
        </w:rPr>
        <w:t>.</w:t>
      </w:r>
      <w:r w:rsidRPr="003A26C0">
        <w:rPr>
          <w:rFonts w:cstheme="minorHAnsi"/>
          <w:lang w:val="en-GB"/>
        </w:rPr>
        <w:t xml:space="preserve"> Selected chemical </w:t>
      </w:r>
      <w:r w:rsidRPr="004A35CD">
        <w:rPr>
          <w:rFonts w:cstheme="minorHAnsi"/>
          <w:lang w:val="en-GB"/>
        </w:rPr>
        <w:t>composition of sodalite for the different</w:t>
      </w:r>
      <w:r w:rsidRPr="003A26C0">
        <w:rPr>
          <w:rFonts w:cstheme="minorHAnsi"/>
          <w:lang w:val="en-GB"/>
        </w:rPr>
        <w:t xml:space="preserve"> products of the opening phase of the Avellino Plinian eruption</w:t>
      </w:r>
      <w:r>
        <w:rPr>
          <w:rFonts w:cstheme="minorHAnsi"/>
          <w:lang w:val="en-GB"/>
        </w:rPr>
        <w:t xml:space="preserve">. </w:t>
      </w:r>
      <w:r w:rsidR="00D809B2">
        <w:rPr>
          <w:rFonts w:cstheme="minorHAnsi"/>
          <w:lang w:val="en-GB"/>
        </w:rPr>
        <w:t xml:space="preserve">*c </w:t>
      </w:r>
      <w:r w:rsidR="00D809B2" w:rsidRPr="00D809B2">
        <w:rPr>
          <w:lang w:val="en-GB"/>
        </w:rPr>
        <w:t xml:space="preserve">is core; </w:t>
      </w:r>
      <w:r w:rsidR="00D809B2">
        <w:rPr>
          <w:lang w:val="en-GB"/>
        </w:rPr>
        <w:t>r</w:t>
      </w:r>
      <w:r w:rsidR="00D809B2" w:rsidRPr="00D809B2">
        <w:rPr>
          <w:lang w:val="en-GB"/>
        </w:rPr>
        <w:t>, rim</w:t>
      </w:r>
      <w:r w:rsidR="00D809B2">
        <w:rPr>
          <w:lang w:val="en-GB"/>
        </w:rPr>
        <w:t xml:space="preserve">; </w:t>
      </w:r>
      <w:proofErr w:type="spellStart"/>
      <w:r w:rsidR="00D809B2">
        <w:rPr>
          <w:lang w:val="en-GB"/>
        </w:rPr>
        <w:t>gdm</w:t>
      </w:r>
      <w:proofErr w:type="spellEnd"/>
      <w:r w:rsidR="00D809B2">
        <w:rPr>
          <w:lang w:val="en-GB"/>
        </w:rPr>
        <w:t>, groundmass</w:t>
      </w:r>
    </w:p>
    <w:p w14:paraId="5226466A" w14:textId="1BD93B2A" w:rsidR="000213E1" w:rsidRDefault="00B54738" w:rsidP="00B54738">
      <w:pPr>
        <w:pStyle w:val="ListParagraph"/>
        <w:ind w:left="0"/>
        <w:rPr>
          <w:rFonts w:cstheme="minorHAnsi"/>
          <w:lang w:val="en-GB"/>
        </w:rPr>
      </w:pPr>
      <w:r w:rsidRPr="00B54738">
        <w:rPr>
          <w:noProof/>
        </w:rPr>
        <w:drawing>
          <wp:inline distT="0" distB="0" distL="0" distR="0" wp14:anchorId="40CA9981" wp14:editId="1D13CE2C">
            <wp:extent cx="5608320" cy="2430780"/>
            <wp:effectExtent l="0" t="0" r="0" b="7620"/>
            <wp:docPr id="15824557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8320" cy="2430780"/>
                    </a:xfrm>
                    <a:prstGeom prst="rect">
                      <a:avLst/>
                    </a:prstGeom>
                    <a:noFill/>
                    <a:ln>
                      <a:noFill/>
                    </a:ln>
                  </pic:spPr>
                </pic:pic>
              </a:graphicData>
            </a:graphic>
          </wp:inline>
        </w:drawing>
      </w:r>
    </w:p>
    <w:p w14:paraId="37C5409F" w14:textId="77777777" w:rsidR="000213E1" w:rsidRDefault="000213E1" w:rsidP="00820FA9">
      <w:pPr>
        <w:pStyle w:val="ListParagraph"/>
        <w:rPr>
          <w:rFonts w:cstheme="minorHAnsi"/>
          <w:lang w:val="en-GB"/>
        </w:rPr>
      </w:pPr>
    </w:p>
    <w:p w14:paraId="110AD83A" w14:textId="77777777" w:rsidR="000213E1" w:rsidRDefault="000213E1" w:rsidP="00820FA9">
      <w:pPr>
        <w:pStyle w:val="ListParagraph"/>
        <w:rPr>
          <w:rFonts w:cstheme="minorHAnsi"/>
          <w:lang w:val="en-GB"/>
        </w:rPr>
      </w:pPr>
    </w:p>
    <w:p w14:paraId="2B362776" w14:textId="77777777" w:rsidR="000213E1" w:rsidRDefault="000213E1" w:rsidP="00820FA9">
      <w:pPr>
        <w:pStyle w:val="ListParagraph"/>
        <w:rPr>
          <w:rFonts w:cstheme="minorHAnsi"/>
          <w:lang w:val="en-GB"/>
        </w:rPr>
      </w:pPr>
    </w:p>
    <w:p w14:paraId="3A028D46" w14:textId="77777777" w:rsidR="00CF17DB" w:rsidRDefault="00CF17DB" w:rsidP="00820FA9">
      <w:pPr>
        <w:pStyle w:val="ListParagraph"/>
        <w:rPr>
          <w:rFonts w:cstheme="minorHAnsi"/>
          <w:lang w:val="en-GB"/>
        </w:rPr>
      </w:pPr>
    </w:p>
    <w:p w14:paraId="0B1C92AA" w14:textId="77777777" w:rsidR="00CF17DB" w:rsidRDefault="00CF17DB" w:rsidP="00820FA9">
      <w:pPr>
        <w:pStyle w:val="ListParagraph"/>
        <w:rPr>
          <w:rFonts w:cstheme="minorHAnsi"/>
          <w:lang w:val="en-GB"/>
        </w:rPr>
      </w:pPr>
    </w:p>
    <w:p w14:paraId="6181AE7A" w14:textId="77777777" w:rsidR="00CF17DB" w:rsidRDefault="00CF17DB" w:rsidP="00820FA9">
      <w:pPr>
        <w:pStyle w:val="ListParagraph"/>
        <w:rPr>
          <w:rFonts w:cstheme="minorHAnsi"/>
          <w:lang w:val="en-GB"/>
        </w:rPr>
      </w:pPr>
    </w:p>
    <w:p w14:paraId="348A797D" w14:textId="77777777" w:rsidR="00CF17DB" w:rsidRDefault="00CF17DB" w:rsidP="00820FA9">
      <w:pPr>
        <w:pStyle w:val="ListParagraph"/>
        <w:rPr>
          <w:rFonts w:cstheme="minorHAnsi"/>
          <w:lang w:val="en-GB"/>
        </w:rPr>
      </w:pPr>
    </w:p>
    <w:p w14:paraId="4B6471C7" w14:textId="77777777" w:rsidR="00B54738" w:rsidRDefault="00B54738" w:rsidP="00820FA9">
      <w:pPr>
        <w:pStyle w:val="ListParagraph"/>
        <w:rPr>
          <w:rFonts w:cstheme="minorHAnsi"/>
          <w:lang w:val="en-GB"/>
        </w:rPr>
      </w:pPr>
    </w:p>
    <w:p w14:paraId="0BEFC52A" w14:textId="302735B9" w:rsidR="00A06DD3" w:rsidRPr="009806A5" w:rsidRDefault="00A06DD3" w:rsidP="00A06DD3">
      <w:pPr>
        <w:rPr>
          <w:rFonts w:cstheme="minorHAnsi"/>
          <w:lang w:val="en-GB"/>
        </w:rPr>
      </w:pPr>
      <w:r w:rsidRPr="00BF061F">
        <w:rPr>
          <w:rFonts w:cstheme="minorHAnsi"/>
          <w:b/>
          <w:bCs/>
          <w:lang w:val="en-GB"/>
        </w:rPr>
        <w:lastRenderedPageBreak/>
        <w:t xml:space="preserve">Table </w:t>
      </w:r>
      <w:r w:rsidR="00FD1B30" w:rsidRPr="00BF061F">
        <w:rPr>
          <w:rFonts w:cstheme="minorHAnsi"/>
          <w:b/>
          <w:bCs/>
          <w:lang w:val="en-GB"/>
        </w:rPr>
        <w:t>9</w:t>
      </w:r>
      <w:r w:rsidRPr="00BF061F">
        <w:rPr>
          <w:rFonts w:cstheme="minorHAnsi"/>
          <w:b/>
          <w:bCs/>
          <w:lang w:val="en-GB"/>
        </w:rPr>
        <w:t>.</w:t>
      </w:r>
      <w:r w:rsidRPr="003A26C0">
        <w:rPr>
          <w:rFonts w:cstheme="minorHAnsi"/>
          <w:lang w:val="en-GB"/>
        </w:rPr>
        <w:t xml:space="preserve"> Selected chemical </w:t>
      </w:r>
      <w:r w:rsidRPr="00CF17DB">
        <w:rPr>
          <w:rFonts w:cstheme="minorHAnsi"/>
          <w:lang w:val="en-GB"/>
        </w:rPr>
        <w:t xml:space="preserve">composition of garnet for the different products of the opening phase of the Avellino Plinian eruption. </w:t>
      </w:r>
      <w:r w:rsidR="00D809B2" w:rsidRPr="00CF17DB">
        <w:rPr>
          <w:rFonts w:cstheme="minorHAnsi"/>
          <w:lang w:val="en-GB"/>
        </w:rPr>
        <w:t xml:space="preserve">*c </w:t>
      </w:r>
      <w:r w:rsidR="00D809B2" w:rsidRPr="00CF17DB">
        <w:rPr>
          <w:lang w:val="en-GB"/>
        </w:rPr>
        <w:t xml:space="preserve">is </w:t>
      </w:r>
      <w:proofErr w:type="gramStart"/>
      <w:r w:rsidR="00D809B2" w:rsidRPr="00CF17DB">
        <w:rPr>
          <w:lang w:val="en-GB"/>
        </w:rPr>
        <w:t>core;</w:t>
      </w:r>
      <w:proofErr w:type="gramEnd"/>
      <w:r w:rsidR="00D809B2" w:rsidRPr="00CF17DB">
        <w:rPr>
          <w:lang w:val="en-GB"/>
        </w:rPr>
        <w:t xml:space="preserve"> r, rim</w:t>
      </w:r>
    </w:p>
    <w:p w14:paraId="7DA54519" w14:textId="77777777" w:rsidR="000213E1" w:rsidRDefault="000213E1" w:rsidP="00B54738">
      <w:pPr>
        <w:pStyle w:val="ListParagraph"/>
        <w:ind w:left="0"/>
        <w:rPr>
          <w:rFonts w:cstheme="minorHAnsi"/>
          <w:lang w:val="en-GB"/>
        </w:rPr>
      </w:pPr>
    </w:p>
    <w:p w14:paraId="0F727258" w14:textId="7D8D0A09" w:rsidR="000213E1" w:rsidRDefault="00B54738" w:rsidP="00B54738">
      <w:pPr>
        <w:pStyle w:val="ListParagraph"/>
        <w:ind w:left="0"/>
        <w:rPr>
          <w:rFonts w:cstheme="minorHAnsi"/>
          <w:lang w:val="en-GB"/>
        </w:rPr>
      </w:pPr>
      <w:r w:rsidRPr="00B54738">
        <w:rPr>
          <w:noProof/>
        </w:rPr>
        <w:drawing>
          <wp:inline distT="0" distB="0" distL="0" distR="0" wp14:anchorId="63200D74" wp14:editId="69A45214">
            <wp:extent cx="6120130" cy="4255770"/>
            <wp:effectExtent l="0" t="0" r="0" b="0"/>
            <wp:docPr id="7007194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255770"/>
                    </a:xfrm>
                    <a:prstGeom prst="rect">
                      <a:avLst/>
                    </a:prstGeom>
                    <a:noFill/>
                    <a:ln>
                      <a:noFill/>
                    </a:ln>
                  </pic:spPr>
                </pic:pic>
              </a:graphicData>
            </a:graphic>
          </wp:inline>
        </w:drawing>
      </w:r>
    </w:p>
    <w:p w14:paraId="77260CA1" w14:textId="77777777" w:rsidR="000213E1" w:rsidRDefault="000213E1" w:rsidP="00820FA9">
      <w:pPr>
        <w:pStyle w:val="ListParagraph"/>
        <w:rPr>
          <w:rFonts w:cstheme="minorHAnsi"/>
          <w:lang w:val="en-GB"/>
        </w:rPr>
      </w:pPr>
      <w:bookmarkStart w:id="5" w:name="_Hlk163491975"/>
    </w:p>
    <w:p w14:paraId="4AE5059E" w14:textId="5051BD11" w:rsidR="000213E1" w:rsidRPr="00046991" w:rsidRDefault="00046991" w:rsidP="00046991">
      <w:pPr>
        <w:rPr>
          <w:rFonts w:cstheme="minorHAnsi"/>
          <w:lang w:val="en-GB"/>
        </w:rPr>
      </w:pPr>
      <w:r w:rsidRPr="00BF061F">
        <w:rPr>
          <w:rFonts w:cstheme="minorHAnsi"/>
          <w:b/>
          <w:bCs/>
          <w:lang w:val="en-GB"/>
        </w:rPr>
        <w:t>Table S</w:t>
      </w:r>
      <w:r w:rsidR="00FD1B30" w:rsidRPr="00BF061F">
        <w:rPr>
          <w:rFonts w:cstheme="minorHAnsi"/>
          <w:b/>
          <w:bCs/>
          <w:lang w:val="en-GB"/>
        </w:rPr>
        <w:t>10</w:t>
      </w:r>
      <w:r w:rsidRPr="00BF061F">
        <w:rPr>
          <w:rFonts w:cstheme="minorHAnsi"/>
          <w:b/>
          <w:bCs/>
          <w:lang w:val="en-GB"/>
        </w:rPr>
        <w:t>.</w:t>
      </w:r>
      <w:r w:rsidRPr="003A26C0">
        <w:rPr>
          <w:rFonts w:cstheme="minorHAnsi"/>
          <w:lang w:val="en-GB"/>
        </w:rPr>
        <w:t xml:space="preserve"> Selected chemical </w:t>
      </w:r>
      <w:r w:rsidRPr="00CF17DB">
        <w:rPr>
          <w:rFonts w:cstheme="minorHAnsi"/>
          <w:lang w:val="en-GB"/>
        </w:rPr>
        <w:t>composition of scapolite for the different</w:t>
      </w:r>
      <w:r w:rsidRPr="003A26C0">
        <w:rPr>
          <w:rFonts w:cstheme="minorHAnsi"/>
          <w:lang w:val="en-GB"/>
        </w:rPr>
        <w:t xml:space="preserve"> products of the opening phase of the Avellino Plinian eruption</w:t>
      </w:r>
      <w:r>
        <w:rPr>
          <w:rFonts w:cstheme="minorHAnsi"/>
          <w:lang w:val="en-GB"/>
        </w:rPr>
        <w:t xml:space="preserve">. </w:t>
      </w:r>
      <w:r w:rsidR="00D809B2">
        <w:rPr>
          <w:rFonts w:cstheme="minorHAnsi"/>
          <w:lang w:val="en-GB"/>
        </w:rPr>
        <w:t xml:space="preserve">*c </w:t>
      </w:r>
      <w:r w:rsidR="00D809B2" w:rsidRPr="00D809B2">
        <w:rPr>
          <w:lang w:val="en-GB"/>
        </w:rPr>
        <w:t xml:space="preserve">is </w:t>
      </w:r>
      <w:proofErr w:type="gramStart"/>
      <w:r w:rsidR="00D809B2" w:rsidRPr="00D809B2">
        <w:rPr>
          <w:lang w:val="en-GB"/>
        </w:rPr>
        <w:t>core;</w:t>
      </w:r>
      <w:proofErr w:type="gramEnd"/>
      <w:r w:rsidR="00D809B2" w:rsidRPr="00D809B2">
        <w:rPr>
          <w:lang w:val="en-GB"/>
        </w:rPr>
        <w:t xml:space="preserve"> </w:t>
      </w:r>
      <w:r w:rsidR="00D809B2">
        <w:rPr>
          <w:lang w:val="en-GB"/>
        </w:rPr>
        <w:t>r</w:t>
      </w:r>
      <w:r w:rsidR="00D809B2" w:rsidRPr="00D809B2">
        <w:rPr>
          <w:lang w:val="en-GB"/>
        </w:rPr>
        <w:t>, rim</w:t>
      </w:r>
    </w:p>
    <w:bookmarkEnd w:id="5"/>
    <w:p w14:paraId="03793038" w14:textId="77777777" w:rsidR="000213E1" w:rsidRPr="00046991" w:rsidRDefault="000213E1" w:rsidP="00820FA9">
      <w:pPr>
        <w:pStyle w:val="ListParagraph"/>
        <w:rPr>
          <w:rFonts w:cstheme="minorHAnsi"/>
          <w:sz w:val="18"/>
          <w:szCs w:val="18"/>
          <w:lang w:val="en-GB"/>
        </w:rPr>
      </w:pPr>
    </w:p>
    <w:p w14:paraId="18125B3A" w14:textId="228D16BA" w:rsidR="000213E1" w:rsidRDefault="00B54738" w:rsidP="00B54738">
      <w:pPr>
        <w:pStyle w:val="ListParagraph"/>
        <w:ind w:left="0"/>
        <w:rPr>
          <w:rFonts w:cstheme="minorHAnsi"/>
          <w:lang w:val="en-GB"/>
        </w:rPr>
      </w:pPr>
      <w:r w:rsidRPr="00B54738">
        <w:rPr>
          <w:noProof/>
        </w:rPr>
        <w:drawing>
          <wp:inline distT="0" distB="0" distL="0" distR="0" wp14:anchorId="6BF931ED" wp14:editId="009D031D">
            <wp:extent cx="5608320" cy="2202180"/>
            <wp:effectExtent l="0" t="0" r="0" b="7620"/>
            <wp:docPr id="2412359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8320" cy="2202180"/>
                    </a:xfrm>
                    <a:prstGeom prst="rect">
                      <a:avLst/>
                    </a:prstGeom>
                    <a:noFill/>
                    <a:ln>
                      <a:noFill/>
                    </a:ln>
                  </pic:spPr>
                </pic:pic>
              </a:graphicData>
            </a:graphic>
          </wp:inline>
        </w:drawing>
      </w:r>
    </w:p>
    <w:p w14:paraId="65BC0D73" w14:textId="77777777" w:rsidR="00CF17DB" w:rsidRDefault="00CF17DB" w:rsidP="00820FA9">
      <w:pPr>
        <w:pStyle w:val="ListParagraph"/>
        <w:rPr>
          <w:rFonts w:cstheme="minorHAnsi"/>
          <w:lang w:val="en-GB"/>
        </w:rPr>
      </w:pPr>
    </w:p>
    <w:p w14:paraId="594948B6" w14:textId="77777777" w:rsidR="00CF17DB" w:rsidRDefault="00CF17DB" w:rsidP="00820FA9">
      <w:pPr>
        <w:pStyle w:val="ListParagraph"/>
        <w:rPr>
          <w:rFonts w:cstheme="minorHAnsi"/>
          <w:lang w:val="en-GB"/>
        </w:rPr>
      </w:pPr>
    </w:p>
    <w:p w14:paraId="7F1B3F3A" w14:textId="77777777" w:rsidR="00B54738" w:rsidRDefault="00B54738" w:rsidP="00820FA9">
      <w:pPr>
        <w:pStyle w:val="ListParagraph"/>
        <w:rPr>
          <w:rFonts w:cstheme="minorHAnsi"/>
          <w:lang w:val="en-GB"/>
        </w:rPr>
      </w:pPr>
    </w:p>
    <w:p w14:paraId="12E72D0B" w14:textId="77777777" w:rsidR="00B54738" w:rsidRDefault="00B54738" w:rsidP="00820FA9">
      <w:pPr>
        <w:pStyle w:val="ListParagraph"/>
        <w:rPr>
          <w:rFonts w:cstheme="minorHAnsi"/>
          <w:lang w:val="en-GB"/>
        </w:rPr>
      </w:pPr>
    </w:p>
    <w:p w14:paraId="0DE4E3AC" w14:textId="6858468C" w:rsidR="000213E1" w:rsidRDefault="006555C8" w:rsidP="00FD1B30">
      <w:pPr>
        <w:rPr>
          <w:rFonts w:cstheme="minorHAnsi"/>
          <w:lang w:val="en-GB"/>
        </w:rPr>
      </w:pPr>
      <w:r w:rsidRPr="00BF061F">
        <w:rPr>
          <w:rFonts w:cstheme="minorHAnsi"/>
          <w:b/>
          <w:bCs/>
          <w:lang w:val="en-GB"/>
        </w:rPr>
        <w:lastRenderedPageBreak/>
        <w:t>Table S</w:t>
      </w:r>
      <w:r w:rsidR="00FD1B30" w:rsidRPr="00BF061F">
        <w:rPr>
          <w:rFonts w:cstheme="minorHAnsi"/>
          <w:b/>
          <w:bCs/>
          <w:lang w:val="en-GB"/>
        </w:rPr>
        <w:t>11</w:t>
      </w:r>
      <w:r w:rsidRPr="00BF061F">
        <w:rPr>
          <w:rFonts w:cstheme="minorHAnsi"/>
          <w:b/>
          <w:bCs/>
          <w:lang w:val="en-GB"/>
        </w:rPr>
        <w:t>.</w:t>
      </w:r>
      <w:r w:rsidRPr="003A26C0">
        <w:rPr>
          <w:rFonts w:cstheme="minorHAnsi"/>
          <w:lang w:val="en-GB"/>
        </w:rPr>
        <w:t xml:space="preserve"> Selected chemical composition </w:t>
      </w:r>
      <w:r w:rsidRPr="00CF17DB">
        <w:rPr>
          <w:rFonts w:cstheme="minorHAnsi"/>
          <w:lang w:val="en-GB"/>
        </w:rPr>
        <w:t>of biotite for WP</w:t>
      </w:r>
      <w:r w:rsidRPr="00CF17DB">
        <w:rPr>
          <w:rFonts w:cstheme="minorHAnsi"/>
          <w:vertAlign w:val="subscript"/>
          <w:lang w:val="en-GB"/>
        </w:rPr>
        <w:t>EU1</w:t>
      </w:r>
      <w:r w:rsidRPr="00CF17DB">
        <w:rPr>
          <w:rFonts w:cstheme="minorHAnsi"/>
          <w:lang w:val="en-GB"/>
        </w:rPr>
        <w:t xml:space="preserve"> o</w:t>
      </w:r>
      <w:r w:rsidRPr="003A26C0">
        <w:rPr>
          <w:rFonts w:cstheme="minorHAnsi"/>
          <w:lang w:val="en-GB"/>
        </w:rPr>
        <w:t>f the opening phase of the Avellino Plinian eruption</w:t>
      </w:r>
      <w:r>
        <w:rPr>
          <w:rFonts w:cstheme="minorHAnsi"/>
          <w:lang w:val="en-GB"/>
        </w:rPr>
        <w:t xml:space="preserve">. </w:t>
      </w:r>
    </w:p>
    <w:p w14:paraId="6FE42EE2" w14:textId="4D7ADEB0" w:rsidR="002B2D1A" w:rsidRPr="00FD1B30" w:rsidRDefault="00B54738" w:rsidP="00FD1B30">
      <w:pPr>
        <w:rPr>
          <w:rFonts w:cstheme="minorHAnsi"/>
          <w:lang w:val="en-GB"/>
        </w:rPr>
      </w:pPr>
      <w:r w:rsidRPr="00B54738">
        <w:rPr>
          <w:noProof/>
        </w:rPr>
        <w:drawing>
          <wp:inline distT="0" distB="0" distL="0" distR="0" wp14:anchorId="39FA496D" wp14:editId="64AFF5F0">
            <wp:extent cx="2537460" cy="4366260"/>
            <wp:effectExtent l="0" t="0" r="0" b="0"/>
            <wp:docPr id="2669990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7460" cy="4366260"/>
                    </a:xfrm>
                    <a:prstGeom prst="rect">
                      <a:avLst/>
                    </a:prstGeom>
                    <a:noFill/>
                    <a:ln>
                      <a:noFill/>
                    </a:ln>
                  </pic:spPr>
                </pic:pic>
              </a:graphicData>
            </a:graphic>
          </wp:inline>
        </w:drawing>
      </w:r>
    </w:p>
    <w:p w14:paraId="6DD3D188" w14:textId="77777777" w:rsidR="000213E1" w:rsidRDefault="000213E1" w:rsidP="00820FA9">
      <w:pPr>
        <w:pStyle w:val="ListParagraph"/>
        <w:rPr>
          <w:rFonts w:cstheme="minorHAnsi"/>
          <w:lang w:val="en-GB"/>
        </w:rPr>
      </w:pPr>
    </w:p>
    <w:p w14:paraId="4AFA04DA" w14:textId="77777777" w:rsidR="000213E1" w:rsidRPr="00B54738" w:rsidRDefault="000213E1" w:rsidP="00B54738">
      <w:pPr>
        <w:rPr>
          <w:rFonts w:cstheme="minorHAnsi"/>
          <w:lang w:val="en-GB"/>
        </w:rPr>
      </w:pPr>
    </w:p>
    <w:p w14:paraId="43A6EC46" w14:textId="3023BAD1" w:rsidR="00EA0E01" w:rsidRDefault="00EA0E01" w:rsidP="00EA0E01">
      <w:pPr>
        <w:rPr>
          <w:rFonts w:cstheme="minorHAnsi"/>
          <w:lang w:val="en-GB"/>
        </w:rPr>
      </w:pPr>
      <w:r w:rsidRPr="00BF061F">
        <w:rPr>
          <w:rFonts w:cstheme="minorHAnsi"/>
          <w:b/>
          <w:bCs/>
          <w:lang w:val="en-GB"/>
        </w:rPr>
        <w:t>Table S12.</w:t>
      </w:r>
      <w:r w:rsidRPr="003A26C0">
        <w:rPr>
          <w:rFonts w:cstheme="minorHAnsi"/>
          <w:lang w:val="en-GB"/>
        </w:rPr>
        <w:t xml:space="preserve"> Selected chemical composition </w:t>
      </w:r>
      <w:r w:rsidRPr="00CF17DB">
        <w:rPr>
          <w:rFonts w:cstheme="minorHAnsi"/>
          <w:lang w:val="en-GB"/>
        </w:rPr>
        <w:t>of olivine for T2 blocks of</w:t>
      </w:r>
      <w:r w:rsidRPr="003A26C0">
        <w:rPr>
          <w:rFonts w:cstheme="minorHAnsi"/>
          <w:lang w:val="en-GB"/>
        </w:rPr>
        <w:t xml:space="preserve"> the opening phase of the Avellino Plinian eruption</w:t>
      </w:r>
      <w:r>
        <w:rPr>
          <w:rFonts w:cstheme="minorHAnsi"/>
          <w:lang w:val="en-GB"/>
        </w:rPr>
        <w:t xml:space="preserve">. </w:t>
      </w:r>
    </w:p>
    <w:p w14:paraId="3B2EFCAE" w14:textId="753C3204" w:rsidR="006A7205" w:rsidRDefault="00B54738" w:rsidP="00447B22">
      <w:pPr>
        <w:rPr>
          <w:rFonts w:cstheme="minorHAnsi"/>
        </w:rPr>
      </w:pPr>
      <w:r w:rsidRPr="00B54738">
        <w:rPr>
          <w:noProof/>
        </w:rPr>
        <w:drawing>
          <wp:inline distT="0" distB="0" distL="0" distR="0" wp14:anchorId="1407277D" wp14:editId="0A944588">
            <wp:extent cx="1965960" cy="1988820"/>
            <wp:effectExtent l="0" t="0" r="0" b="0"/>
            <wp:docPr id="2252969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5960" cy="1988820"/>
                    </a:xfrm>
                    <a:prstGeom prst="rect">
                      <a:avLst/>
                    </a:prstGeom>
                    <a:noFill/>
                    <a:ln>
                      <a:noFill/>
                    </a:ln>
                  </pic:spPr>
                </pic:pic>
              </a:graphicData>
            </a:graphic>
          </wp:inline>
        </w:drawing>
      </w:r>
    </w:p>
    <w:p w14:paraId="5700E3DC" w14:textId="77777777" w:rsidR="00B54738" w:rsidRDefault="00B54738" w:rsidP="00447B22">
      <w:pPr>
        <w:rPr>
          <w:rFonts w:cstheme="minorHAnsi"/>
        </w:rPr>
      </w:pPr>
    </w:p>
    <w:p w14:paraId="18B573FC" w14:textId="77777777" w:rsidR="00B54738" w:rsidRDefault="00B54738" w:rsidP="00447B22">
      <w:pPr>
        <w:rPr>
          <w:rFonts w:cstheme="minorHAnsi"/>
        </w:rPr>
      </w:pPr>
    </w:p>
    <w:p w14:paraId="45C9C2FF" w14:textId="77777777" w:rsidR="00107BE1" w:rsidRDefault="00107BE1" w:rsidP="00447B22">
      <w:pPr>
        <w:rPr>
          <w:rFonts w:cstheme="minorHAnsi"/>
        </w:rPr>
      </w:pPr>
    </w:p>
    <w:p w14:paraId="6CAC22C1" w14:textId="345784FD" w:rsidR="00447B22" w:rsidRDefault="00447B22" w:rsidP="00942C39">
      <w:pPr>
        <w:rPr>
          <w:noProof/>
        </w:rPr>
      </w:pPr>
      <w:r w:rsidRPr="00BF061F">
        <w:rPr>
          <w:rFonts w:cstheme="minorHAnsi"/>
          <w:b/>
          <w:bCs/>
          <w:lang w:val="en-GB"/>
        </w:rPr>
        <w:lastRenderedPageBreak/>
        <w:t>Table S</w:t>
      </w:r>
      <w:r w:rsidR="00C02BB3" w:rsidRPr="00BF061F">
        <w:rPr>
          <w:rFonts w:cstheme="minorHAnsi"/>
          <w:b/>
          <w:bCs/>
          <w:lang w:val="en-GB"/>
        </w:rPr>
        <w:t>13</w:t>
      </w:r>
      <w:r w:rsidRPr="00447B22">
        <w:rPr>
          <w:rFonts w:cstheme="minorHAnsi"/>
          <w:lang w:val="en-GB"/>
        </w:rPr>
        <w:t>. Liquid/clinopyroxene p</w:t>
      </w:r>
      <w:r>
        <w:rPr>
          <w:rFonts w:cstheme="minorHAnsi"/>
          <w:lang w:val="en-GB"/>
        </w:rPr>
        <w:t xml:space="preserve">airs considered for geothermobarometric modelling applying Masotta et al., 2013. </w:t>
      </w:r>
      <w:r w:rsidR="007E66BC">
        <w:rPr>
          <w:rFonts w:cstheme="minorHAnsi"/>
          <w:lang w:val="en-GB"/>
        </w:rPr>
        <w:t xml:space="preserve">FeO as </w:t>
      </w:r>
      <w:proofErr w:type="spellStart"/>
      <w:r w:rsidR="007E66BC">
        <w:rPr>
          <w:rFonts w:cstheme="minorHAnsi"/>
          <w:lang w:val="en-GB"/>
        </w:rPr>
        <w:t>FeOtotal</w:t>
      </w:r>
      <w:proofErr w:type="spellEnd"/>
    </w:p>
    <w:p w14:paraId="62A65C72" w14:textId="6F56307A" w:rsidR="00D809B2" w:rsidRDefault="00942C39" w:rsidP="00942C39">
      <w:pPr>
        <w:jc w:val="center"/>
        <w:rPr>
          <w:rFonts w:cstheme="minorHAnsi"/>
          <w:lang w:val="en-GB"/>
        </w:rPr>
      </w:pPr>
      <w:r w:rsidRPr="00942C39">
        <w:rPr>
          <w:noProof/>
        </w:rPr>
        <w:drawing>
          <wp:inline distT="0" distB="0" distL="0" distR="0" wp14:anchorId="52987033" wp14:editId="419795AF">
            <wp:extent cx="6120130" cy="5293360"/>
            <wp:effectExtent l="0" t="0" r="0" b="2540"/>
            <wp:docPr id="1892460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5293360"/>
                    </a:xfrm>
                    <a:prstGeom prst="rect">
                      <a:avLst/>
                    </a:prstGeom>
                    <a:noFill/>
                    <a:ln>
                      <a:noFill/>
                    </a:ln>
                  </pic:spPr>
                </pic:pic>
              </a:graphicData>
            </a:graphic>
          </wp:inline>
        </w:drawing>
      </w:r>
    </w:p>
    <w:p w14:paraId="04944F02" w14:textId="77777777" w:rsidR="004A35CD" w:rsidRDefault="004A35CD" w:rsidP="003B7FEB">
      <w:pPr>
        <w:rPr>
          <w:rFonts w:cstheme="minorHAnsi"/>
          <w:lang w:val="en-GB"/>
        </w:rPr>
      </w:pPr>
    </w:p>
    <w:p w14:paraId="66758DD5" w14:textId="77777777" w:rsidR="004A35CD" w:rsidRDefault="004A35CD" w:rsidP="003B7FEB">
      <w:pPr>
        <w:rPr>
          <w:rFonts w:cstheme="minorHAnsi"/>
          <w:lang w:val="en-GB"/>
        </w:rPr>
      </w:pPr>
    </w:p>
    <w:p w14:paraId="1364FDAF" w14:textId="77777777" w:rsidR="004A35CD" w:rsidRDefault="004A35CD" w:rsidP="003B7FEB">
      <w:pPr>
        <w:rPr>
          <w:rFonts w:cstheme="minorHAnsi"/>
          <w:lang w:val="en-GB"/>
        </w:rPr>
      </w:pPr>
    </w:p>
    <w:p w14:paraId="4CAAF46D" w14:textId="77777777" w:rsidR="004A35CD" w:rsidRDefault="004A35CD" w:rsidP="003B7FEB">
      <w:pPr>
        <w:rPr>
          <w:rFonts w:cstheme="minorHAnsi"/>
          <w:lang w:val="en-GB"/>
        </w:rPr>
      </w:pPr>
    </w:p>
    <w:p w14:paraId="404867C1" w14:textId="77777777" w:rsidR="004A35CD" w:rsidRDefault="004A35CD" w:rsidP="003B7FEB">
      <w:pPr>
        <w:rPr>
          <w:rFonts w:cstheme="minorHAnsi"/>
          <w:lang w:val="en-GB"/>
        </w:rPr>
      </w:pPr>
    </w:p>
    <w:p w14:paraId="70E1E4EF" w14:textId="77777777" w:rsidR="004A35CD" w:rsidRDefault="004A35CD" w:rsidP="003B7FEB">
      <w:pPr>
        <w:rPr>
          <w:rFonts w:cstheme="minorHAnsi"/>
          <w:lang w:val="en-GB"/>
        </w:rPr>
      </w:pPr>
    </w:p>
    <w:p w14:paraId="3A60B33E" w14:textId="77777777" w:rsidR="004A35CD" w:rsidRDefault="004A35CD" w:rsidP="003B7FEB">
      <w:pPr>
        <w:rPr>
          <w:rFonts w:cstheme="minorHAnsi"/>
          <w:lang w:val="en-GB"/>
        </w:rPr>
      </w:pPr>
    </w:p>
    <w:p w14:paraId="02C23E43" w14:textId="77777777" w:rsidR="004A35CD" w:rsidRDefault="004A35CD" w:rsidP="003B7FEB">
      <w:pPr>
        <w:rPr>
          <w:rFonts w:cstheme="minorHAnsi"/>
          <w:lang w:val="en-GB"/>
        </w:rPr>
      </w:pPr>
    </w:p>
    <w:p w14:paraId="27B40FDE" w14:textId="77777777" w:rsidR="004A35CD" w:rsidRDefault="004A35CD" w:rsidP="003B7FEB">
      <w:pPr>
        <w:rPr>
          <w:rFonts w:cstheme="minorHAnsi"/>
          <w:lang w:val="en-GB"/>
        </w:rPr>
      </w:pPr>
    </w:p>
    <w:p w14:paraId="1DE44FD0" w14:textId="77777777" w:rsidR="004A35CD" w:rsidRDefault="004A35CD" w:rsidP="003B7FEB">
      <w:pPr>
        <w:rPr>
          <w:rFonts w:cstheme="minorHAnsi"/>
          <w:lang w:val="en-GB"/>
        </w:rPr>
      </w:pPr>
    </w:p>
    <w:p w14:paraId="74E118F9" w14:textId="77777777" w:rsidR="004A35CD" w:rsidRDefault="004A35CD" w:rsidP="003B7FEB">
      <w:pPr>
        <w:rPr>
          <w:rFonts w:cstheme="minorHAnsi"/>
          <w:lang w:val="en-GB"/>
        </w:rPr>
      </w:pPr>
    </w:p>
    <w:p w14:paraId="71033B8F" w14:textId="5AD69363" w:rsidR="003B7FEB" w:rsidRDefault="003B7FEB" w:rsidP="003B7FEB">
      <w:pPr>
        <w:rPr>
          <w:rFonts w:cstheme="minorHAnsi"/>
          <w:lang w:val="en-GB"/>
        </w:rPr>
      </w:pPr>
      <w:r w:rsidRPr="00BF061F">
        <w:rPr>
          <w:rFonts w:cstheme="minorHAnsi"/>
          <w:b/>
          <w:bCs/>
          <w:lang w:val="en-GB"/>
        </w:rPr>
        <w:lastRenderedPageBreak/>
        <w:t>Table S</w:t>
      </w:r>
      <w:r w:rsidR="00C02BB3" w:rsidRPr="00BF061F">
        <w:rPr>
          <w:rFonts w:cstheme="minorHAnsi"/>
          <w:b/>
          <w:bCs/>
          <w:lang w:val="en-GB"/>
        </w:rPr>
        <w:t>14</w:t>
      </w:r>
      <w:r w:rsidRPr="00447B22">
        <w:rPr>
          <w:rFonts w:cstheme="minorHAnsi"/>
          <w:lang w:val="en-GB"/>
        </w:rPr>
        <w:t xml:space="preserve">. </w:t>
      </w:r>
      <w:r>
        <w:rPr>
          <w:rFonts w:cstheme="minorHAnsi"/>
          <w:lang w:val="en-GB"/>
        </w:rPr>
        <w:t xml:space="preserve">Two-feldspar </w:t>
      </w:r>
      <w:r w:rsidRPr="00447B22">
        <w:rPr>
          <w:rFonts w:cstheme="minorHAnsi"/>
          <w:lang w:val="en-GB"/>
        </w:rPr>
        <w:t>p</w:t>
      </w:r>
      <w:r>
        <w:rPr>
          <w:rFonts w:cstheme="minorHAnsi"/>
          <w:lang w:val="en-GB"/>
        </w:rPr>
        <w:t xml:space="preserve">airs considered for geothermobarometric modelling applying </w:t>
      </w:r>
      <w:proofErr w:type="spellStart"/>
      <w:r>
        <w:rPr>
          <w:rFonts w:cstheme="minorHAnsi"/>
          <w:lang w:val="en-GB"/>
        </w:rPr>
        <w:t>Putirka</w:t>
      </w:r>
      <w:proofErr w:type="spellEnd"/>
      <w:r>
        <w:rPr>
          <w:rFonts w:cstheme="minorHAnsi"/>
          <w:lang w:val="en-GB"/>
        </w:rPr>
        <w:t xml:space="preserve"> et al.</w:t>
      </w:r>
      <w:r w:rsidR="00F60244">
        <w:rPr>
          <w:rFonts w:cstheme="minorHAnsi"/>
          <w:lang w:val="en-GB"/>
        </w:rPr>
        <w:t xml:space="preserve"> (</w:t>
      </w:r>
      <w:r>
        <w:rPr>
          <w:rFonts w:cstheme="minorHAnsi"/>
          <w:lang w:val="en-GB"/>
        </w:rPr>
        <w:t>2008</w:t>
      </w:r>
      <w:r w:rsidR="00F60244">
        <w:rPr>
          <w:rFonts w:cstheme="minorHAnsi"/>
          <w:lang w:val="en-GB"/>
        </w:rPr>
        <w:t>)</w:t>
      </w:r>
      <w:r>
        <w:rPr>
          <w:rFonts w:cstheme="minorHAnsi"/>
          <w:lang w:val="en-GB"/>
        </w:rPr>
        <w:t xml:space="preserve">. </w:t>
      </w:r>
    </w:p>
    <w:p w14:paraId="1F9CF640" w14:textId="18A22EB3" w:rsidR="00995FDB" w:rsidRDefault="00942C39" w:rsidP="00942C39">
      <w:pPr>
        <w:rPr>
          <w:rFonts w:cstheme="minorHAnsi"/>
          <w:lang w:val="en-GB"/>
        </w:rPr>
      </w:pPr>
      <w:r w:rsidRPr="00942C39">
        <w:rPr>
          <w:noProof/>
        </w:rPr>
        <w:drawing>
          <wp:inline distT="0" distB="0" distL="0" distR="0" wp14:anchorId="66841018" wp14:editId="53DCEF58">
            <wp:extent cx="6120130" cy="8620125"/>
            <wp:effectExtent l="0" t="0" r="0" b="9525"/>
            <wp:docPr id="2025256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8620125"/>
                    </a:xfrm>
                    <a:prstGeom prst="rect">
                      <a:avLst/>
                    </a:prstGeom>
                    <a:noFill/>
                    <a:ln>
                      <a:noFill/>
                    </a:ln>
                  </pic:spPr>
                </pic:pic>
              </a:graphicData>
            </a:graphic>
          </wp:inline>
        </w:drawing>
      </w:r>
    </w:p>
    <w:p w14:paraId="28E050AA" w14:textId="295403A8" w:rsidR="00995FDB" w:rsidRDefault="00995FDB" w:rsidP="00995FDB">
      <w:pPr>
        <w:rPr>
          <w:rFonts w:cstheme="minorHAnsi"/>
          <w:lang w:val="en-GB"/>
        </w:rPr>
      </w:pPr>
      <w:r w:rsidRPr="00BF061F">
        <w:rPr>
          <w:rFonts w:cstheme="minorHAnsi"/>
          <w:b/>
          <w:bCs/>
          <w:lang w:val="en-GB"/>
        </w:rPr>
        <w:lastRenderedPageBreak/>
        <w:t>Table S</w:t>
      </w:r>
      <w:r w:rsidR="00C02BB3" w:rsidRPr="00BF061F">
        <w:rPr>
          <w:rFonts w:cstheme="minorHAnsi"/>
          <w:b/>
          <w:bCs/>
          <w:lang w:val="en-GB"/>
        </w:rPr>
        <w:t>15</w:t>
      </w:r>
      <w:r w:rsidRPr="00447B22">
        <w:rPr>
          <w:rFonts w:cstheme="minorHAnsi"/>
          <w:lang w:val="en-GB"/>
        </w:rPr>
        <w:t xml:space="preserve">. </w:t>
      </w:r>
      <w:r>
        <w:rPr>
          <w:rFonts w:cstheme="minorHAnsi"/>
          <w:lang w:val="en-GB"/>
        </w:rPr>
        <w:t xml:space="preserve">Amphibole-plagioclase </w:t>
      </w:r>
      <w:r w:rsidRPr="00447B22">
        <w:rPr>
          <w:rFonts w:cstheme="minorHAnsi"/>
          <w:lang w:val="en-GB"/>
        </w:rPr>
        <w:t>p</w:t>
      </w:r>
      <w:r>
        <w:rPr>
          <w:rFonts w:cstheme="minorHAnsi"/>
          <w:lang w:val="en-GB"/>
        </w:rPr>
        <w:t xml:space="preserve">airs considered for geothermobarometric modelling applying Molina et al. </w:t>
      </w:r>
      <w:r w:rsidR="00F60244">
        <w:rPr>
          <w:rFonts w:cstheme="minorHAnsi"/>
          <w:lang w:val="en-GB"/>
        </w:rPr>
        <w:t>(</w:t>
      </w:r>
      <w:r>
        <w:rPr>
          <w:rFonts w:cstheme="minorHAnsi"/>
          <w:lang w:val="en-GB"/>
        </w:rPr>
        <w:t>2015</w:t>
      </w:r>
      <w:r w:rsidR="00F60244">
        <w:rPr>
          <w:rFonts w:cstheme="minorHAnsi"/>
          <w:lang w:val="en-GB"/>
        </w:rPr>
        <w:t>)</w:t>
      </w:r>
      <w:r>
        <w:rPr>
          <w:rFonts w:cstheme="minorHAnsi"/>
          <w:lang w:val="en-GB"/>
        </w:rPr>
        <w:t xml:space="preserve">. </w:t>
      </w:r>
    </w:p>
    <w:p w14:paraId="03D8A28B" w14:textId="08E02E2D" w:rsidR="00995FDB" w:rsidRDefault="00942C39" w:rsidP="00995FDB">
      <w:pPr>
        <w:jc w:val="center"/>
        <w:rPr>
          <w:rFonts w:cstheme="minorHAnsi"/>
          <w:lang w:val="en-GB"/>
        </w:rPr>
      </w:pPr>
      <w:r w:rsidRPr="00942C39">
        <w:rPr>
          <w:noProof/>
        </w:rPr>
        <w:drawing>
          <wp:inline distT="0" distB="0" distL="0" distR="0" wp14:anchorId="1BC39579" wp14:editId="079FBB74">
            <wp:extent cx="6120130" cy="779145"/>
            <wp:effectExtent l="0" t="0" r="0" b="1905"/>
            <wp:docPr id="10644643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779145"/>
                    </a:xfrm>
                    <a:prstGeom prst="rect">
                      <a:avLst/>
                    </a:prstGeom>
                    <a:noFill/>
                    <a:ln>
                      <a:noFill/>
                    </a:ln>
                  </pic:spPr>
                </pic:pic>
              </a:graphicData>
            </a:graphic>
          </wp:inline>
        </w:drawing>
      </w:r>
    </w:p>
    <w:p w14:paraId="620EBBA0" w14:textId="77777777" w:rsidR="009C4982" w:rsidRDefault="009C4982" w:rsidP="00995FDB">
      <w:pPr>
        <w:jc w:val="center"/>
        <w:rPr>
          <w:rFonts w:cstheme="minorHAnsi"/>
          <w:lang w:val="en-GB"/>
        </w:rPr>
      </w:pPr>
    </w:p>
    <w:p w14:paraId="74A090A3" w14:textId="18E17E34" w:rsidR="009C4982" w:rsidRPr="009C4982" w:rsidRDefault="009C4982" w:rsidP="009C4982">
      <w:pPr>
        <w:spacing w:after="240" w:line="240" w:lineRule="auto"/>
        <w:rPr>
          <w:rFonts w:cstheme="minorHAnsi"/>
          <w:lang w:val="en-GB"/>
        </w:rPr>
      </w:pPr>
      <w:r w:rsidRPr="00BF061F">
        <w:rPr>
          <w:rFonts w:cstheme="minorHAnsi"/>
          <w:b/>
          <w:bCs/>
          <w:lang w:val="en-GB"/>
        </w:rPr>
        <w:t>Tables S16</w:t>
      </w:r>
      <w:r w:rsidRPr="009C4982">
        <w:rPr>
          <w:rFonts w:cstheme="minorHAnsi"/>
          <w:lang w:val="en-GB"/>
        </w:rPr>
        <w:t xml:space="preserve">. Chemical compositions of clinopyroxene selected for diffusion </w:t>
      </w:r>
      <w:r w:rsidR="007E66BC" w:rsidRPr="009C4982">
        <w:rPr>
          <w:rFonts w:cstheme="minorHAnsi"/>
          <w:lang w:val="en-GB"/>
        </w:rPr>
        <w:t>modelling.</w:t>
      </w:r>
    </w:p>
    <w:p w14:paraId="0E0E940B" w14:textId="3835872A" w:rsidR="009C4982" w:rsidRPr="009C4982" w:rsidRDefault="009C4982" w:rsidP="009C4982">
      <w:pPr>
        <w:autoSpaceDE w:val="0"/>
        <w:autoSpaceDN w:val="0"/>
        <w:adjustRightInd w:val="0"/>
        <w:spacing w:after="0" w:line="240" w:lineRule="auto"/>
        <w:rPr>
          <w:rFonts w:cstheme="minorHAnsi"/>
          <w:sz w:val="20"/>
          <w:szCs w:val="20"/>
          <w:lang w:val="en-GB"/>
        </w:rPr>
      </w:pPr>
      <w:r w:rsidRPr="009C4982">
        <w:rPr>
          <w:rFonts w:cstheme="minorHAnsi"/>
          <w:sz w:val="20"/>
          <w:szCs w:val="20"/>
          <w:lang w:val="en-GB"/>
        </w:rPr>
        <w:t xml:space="preserve">Tables show major elements compositions of clinopyroxene profiles selected for Fe-Mg diffusion modelling. Compositions are ordered from core (point 1/1.) to rim (point 1/#). Wo: Wollastonite; En: Enstatite; Fs: </w:t>
      </w:r>
      <w:proofErr w:type="spellStart"/>
      <w:r w:rsidRPr="009C4982">
        <w:rPr>
          <w:rFonts w:cstheme="minorHAnsi"/>
          <w:sz w:val="20"/>
          <w:szCs w:val="20"/>
          <w:lang w:val="en-GB"/>
        </w:rPr>
        <w:t>Ferrosilite</w:t>
      </w:r>
      <w:proofErr w:type="spellEnd"/>
      <w:r w:rsidRPr="009C4982">
        <w:rPr>
          <w:rFonts w:cstheme="minorHAnsi"/>
          <w:sz w:val="20"/>
          <w:szCs w:val="20"/>
          <w:lang w:val="en-GB"/>
        </w:rPr>
        <w:t>; Mg#: [Mg/(Mg+Fe</w:t>
      </w:r>
      <w:r w:rsidRPr="009C4982">
        <w:rPr>
          <w:rFonts w:cstheme="minorHAnsi"/>
          <w:sz w:val="20"/>
          <w:szCs w:val="20"/>
          <w:vertAlign w:val="superscript"/>
          <w:lang w:val="en-GB"/>
        </w:rPr>
        <w:t>2+</w:t>
      </w:r>
      <w:r w:rsidRPr="009C4982">
        <w:rPr>
          <w:rFonts w:cstheme="minorHAnsi"/>
          <w:sz w:val="20"/>
          <w:szCs w:val="20"/>
          <w:lang w:val="en-GB"/>
        </w:rPr>
        <w:t>)]</w:t>
      </w:r>
      <w:r w:rsidR="007E66BC">
        <w:rPr>
          <w:rFonts w:cstheme="minorHAnsi"/>
          <w:sz w:val="20"/>
          <w:szCs w:val="20"/>
          <w:lang w:val="en-GB"/>
        </w:rPr>
        <w:t xml:space="preserve">; FeO as </w:t>
      </w:r>
      <w:proofErr w:type="spellStart"/>
      <w:r w:rsidR="007E66BC">
        <w:rPr>
          <w:rFonts w:cstheme="minorHAnsi"/>
          <w:sz w:val="20"/>
          <w:szCs w:val="20"/>
          <w:lang w:val="en-GB"/>
        </w:rPr>
        <w:t>FeOtot</w:t>
      </w:r>
      <w:proofErr w:type="spellEnd"/>
    </w:p>
    <w:p w14:paraId="605227E3" w14:textId="77777777" w:rsidR="009C4982" w:rsidRPr="009C4982" w:rsidRDefault="009C4982" w:rsidP="009C4982">
      <w:pPr>
        <w:autoSpaceDE w:val="0"/>
        <w:autoSpaceDN w:val="0"/>
        <w:adjustRightInd w:val="0"/>
        <w:spacing w:after="0" w:line="240" w:lineRule="auto"/>
        <w:rPr>
          <w:rFonts w:cstheme="minorHAnsi"/>
          <w:sz w:val="20"/>
          <w:szCs w:val="20"/>
          <w:lang w:val="en-GB"/>
        </w:rPr>
      </w:pPr>
      <w:r w:rsidRPr="009C4982">
        <w:rPr>
          <w:rFonts w:cstheme="minorHAnsi"/>
          <w:sz w:val="20"/>
          <w:szCs w:val="20"/>
          <w:lang w:val="en-GB"/>
        </w:rPr>
        <w:t xml:space="preserve">AV_B and AVD1 samples were analysed by EPMA; AVD9 sample was analysed by SEM-EDS. </w:t>
      </w:r>
    </w:p>
    <w:p w14:paraId="4AD10AA7" w14:textId="77777777" w:rsidR="009C4982" w:rsidRDefault="009C4982" w:rsidP="009C4982">
      <w:pPr>
        <w:autoSpaceDE w:val="0"/>
        <w:autoSpaceDN w:val="0"/>
        <w:adjustRightInd w:val="0"/>
        <w:spacing w:line="240" w:lineRule="auto"/>
        <w:rPr>
          <w:rFonts w:cstheme="minorHAnsi"/>
          <w:b/>
          <w:bCs/>
          <w:sz w:val="18"/>
          <w:szCs w:val="18"/>
          <w:lang w:val="en-GB"/>
        </w:rPr>
      </w:pPr>
    </w:p>
    <w:p w14:paraId="509284AE" w14:textId="77777777"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AV_B – PX4</w:t>
      </w:r>
    </w:p>
    <w:p w14:paraId="1FF8E326" w14:textId="77777777" w:rsidR="009C4982"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Crystal Type: NZ-A</w:t>
      </w:r>
    </w:p>
    <w:p w14:paraId="6D276D6B" w14:textId="77777777" w:rsidR="006B5B07" w:rsidRPr="006A7205" w:rsidRDefault="006B5B07" w:rsidP="009C4982">
      <w:pPr>
        <w:autoSpaceDE w:val="0"/>
        <w:autoSpaceDN w:val="0"/>
        <w:adjustRightInd w:val="0"/>
        <w:spacing w:after="0" w:line="240" w:lineRule="auto"/>
        <w:rPr>
          <w:rFonts w:cstheme="minorHAnsi"/>
          <w:b/>
          <w:bCs/>
          <w:sz w:val="18"/>
          <w:szCs w:val="18"/>
          <w:lang w:val="en-GB"/>
        </w:rPr>
      </w:pPr>
    </w:p>
    <w:p w14:paraId="2A2EFDC6" w14:textId="1ED9AAE6" w:rsidR="009C4982" w:rsidRPr="006A7205" w:rsidRDefault="006B5B07" w:rsidP="009C4982">
      <w:pPr>
        <w:autoSpaceDE w:val="0"/>
        <w:autoSpaceDN w:val="0"/>
        <w:adjustRightInd w:val="0"/>
        <w:spacing w:line="240" w:lineRule="auto"/>
        <w:rPr>
          <w:rFonts w:cstheme="minorHAnsi"/>
          <w:b/>
          <w:bCs/>
          <w:sz w:val="18"/>
          <w:szCs w:val="18"/>
          <w:lang w:val="en-GB"/>
        </w:rPr>
      </w:pPr>
      <w:r w:rsidRPr="006B5B07">
        <w:rPr>
          <w:noProof/>
        </w:rPr>
        <w:drawing>
          <wp:inline distT="0" distB="0" distL="0" distR="0" wp14:anchorId="69D0612D" wp14:editId="09D6C595">
            <wp:extent cx="6120130" cy="2042160"/>
            <wp:effectExtent l="0" t="0" r="0" b="0"/>
            <wp:docPr id="11134494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2042160"/>
                    </a:xfrm>
                    <a:prstGeom prst="rect">
                      <a:avLst/>
                    </a:prstGeom>
                    <a:noFill/>
                    <a:ln>
                      <a:noFill/>
                    </a:ln>
                  </pic:spPr>
                </pic:pic>
              </a:graphicData>
            </a:graphic>
          </wp:inline>
        </w:drawing>
      </w:r>
    </w:p>
    <w:p w14:paraId="76C7D3A4" w14:textId="2C3FB5DD" w:rsidR="009C4982" w:rsidRPr="006A7205" w:rsidRDefault="009C4982" w:rsidP="001721FD">
      <w:pPr>
        <w:spacing w:line="240" w:lineRule="auto"/>
        <w:jc w:val="center"/>
        <w:rPr>
          <w:b/>
          <w:bCs/>
          <w:sz w:val="32"/>
          <w:szCs w:val="32"/>
          <w:lang w:val="en-GB"/>
        </w:rPr>
      </w:pPr>
    </w:p>
    <w:p w14:paraId="6B0F2B6B" w14:textId="77777777"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AV_B – PX5</w:t>
      </w:r>
    </w:p>
    <w:p w14:paraId="400196FD" w14:textId="77777777"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Crystal Type: NZ-A</w:t>
      </w:r>
    </w:p>
    <w:p w14:paraId="180A5023" w14:textId="77777777" w:rsidR="009C4982" w:rsidRPr="006A7205" w:rsidRDefault="009C4982" w:rsidP="009C4982">
      <w:pPr>
        <w:autoSpaceDE w:val="0"/>
        <w:autoSpaceDN w:val="0"/>
        <w:adjustRightInd w:val="0"/>
        <w:spacing w:line="240" w:lineRule="auto"/>
        <w:rPr>
          <w:rFonts w:cstheme="minorHAnsi"/>
          <w:b/>
          <w:bCs/>
          <w:sz w:val="18"/>
          <w:szCs w:val="18"/>
          <w:lang w:val="en-GB"/>
        </w:rPr>
      </w:pPr>
    </w:p>
    <w:p w14:paraId="7C3AAB47" w14:textId="3674A854" w:rsidR="009C4982" w:rsidRPr="006A7205" w:rsidRDefault="006B5B07" w:rsidP="001721FD">
      <w:pPr>
        <w:jc w:val="center"/>
        <w:rPr>
          <w:b/>
          <w:bCs/>
          <w:sz w:val="18"/>
          <w:szCs w:val="18"/>
          <w:lang w:val="en-GB"/>
        </w:rPr>
      </w:pPr>
      <w:r w:rsidRPr="006B5B07">
        <w:rPr>
          <w:noProof/>
        </w:rPr>
        <w:drawing>
          <wp:inline distT="0" distB="0" distL="0" distR="0" wp14:anchorId="7EEE1CE8" wp14:editId="71F476A7">
            <wp:extent cx="6120130" cy="1045845"/>
            <wp:effectExtent l="0" t="0" r="0" b="1905"/>
            <wp:docPr id="14984703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1045845"/>
                    </a:xfrm>
                    <a:prstGeom prst="rect">
                      <a:avLst/>
                    </a:prstGeom>
                    <a:noFill/>
                    <a:ln>
                      <a:noFill/>
                    </a:ln>
                  </pic:spPr>
                </pic:pic>
              </a:graphicData>
            </a:graphic>
          </wp:inline>
        </w:drawing>
      </w:r>
    </w:p>
    <w:p w14:paraId="4A2FBA86"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19E5EF1F"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6EB4FE79"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1E75083B"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72158F17"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103748BC"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502E0BC3"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5F91EFAF"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5E16D772"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0C876C60"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5DBB1E93" w14:textId="77777777" w:rsidR="00BF7AA8" w:rsidRDefault="00BF7AA8" w:rsidP="009C4982">
      <w:pPr>
        <w:autoSpaceDE w:val="0"/>
        <w:autoSpaceDN w:val="0"/>
        <w:adjustRightInd w:val="0"/>
        <w:spacing w:after="0" w:line="240" w:lineRule="auto"/>
        <w:rPr>
          <w:rFonts w:cstheme="minorHAnsi"/>
          <w:b/>
          <w:bCs/>
          <w:sz w:val="18"/>
          <w:szCs w:val="18"/>
          <w:lang w:val="en-GB"/>
        </w:rPr>
      </w:pPr>
    </w:p>
    <w:p w14:paraId="71C9C34B" w14:textId="42554EC1"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lastRenderedPageBreak/>
        <w:t>AV_B – PX7</w:t>
      </w:r>
    </w:p>
    <w:p w14:paraId="645601DD" w14:textId="77777777" w:rsidR="009C4982"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Crystal Type: NZ-B</w:t>
      </w:r>
    </w:p>
    <w:p w14:paraId="18B7A81B" w14:textId="77777777" w:rsidR="00BF7AA8" w:rsidRPr="006A7205" w:rsidRDefault="00BF7AA8" w:rsidP="009C4982">
      <w:pPr>
        <w:autoSpaceDE w:val="0"/>
        <w:autoSpaceDN w:val="0"/>
        <w:adjustRightInd w:val="0"/>
        <w:spacing w:after="0" w:line="240" w:lineRule="auto"/>
        <w:rPr>
          <w:rFonts w:cstheme="minorHAnsi"/>
          <w:b/>
          <w:bCs/>
          <w:sz w:val="18"/>
          <w:szCs w:val="18"/>
          <w:lang w:val="en-GB"/>
        </w:rPr>
      </w:pPr>
    </w:p>
    <w:p w14:paraId="290C39AF" w14:textId="69D89AF6" w:rsidR="001721FD" w:rsidRPr="00BF7AA8" w:rsidRDefault="00BF7AA8" w:rsidP="00BF7AA8">
      <w:pPr>
        <w:spacing w:after="240"/>
        <w:rPr>
          <w:b/>
          <w:bCs/>
          <w:sz w:val="18"/>
          <w:szCs w:val="18"/>
          <w:lang w:val="en-GB"/>
        </w:rPr>
      </w:pPr>
      <w:r w:rsidRPr="00BF7AA8">
        <w:rPr>
          <w:noProof/>
        </w:rPr>
        <w:drawing>
          <wp:inline distT="0" distB="0" distL="0" distR="0" wp14:anchorId="78CE3339" wp14:editId="70AFCD21">
            <wp:extent cx="6120130" cy="1226185"/>
            <wp:effectExtent l="0" t="0" r="0" b="0"/>
            <wp:docPr id="10277409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1226185"/>
                    </a:xfrm>
                    <a:prstGeom prst="rect">
                      <a:avLst/>
                    </a:prstGeom>
                    <a:noFill/>
                    <a:ln>
                      <a:noFill/>
                    </a:ln>
                  </pic:spPr>
                </pic:pic>
              </a:graphicData>
            </a:graphic>
          </wp:inline>
        </w:drawing>
      </w:r>
    </w:p>
    <w:p w14:paraId="0AA67504" w14:textId="77777777" w:rsidR="001721FD" w:rsidRPr="006A7205" w:rsidRDefault="001721FD" w:rsidP="009C4982">
      <w:pPr>
        <w:autoSpaceDE w:val="0"/>
        <w:autoSpaceDN w:val="0"/>
        <w:adjustRightInd w:val="0"/>
        <w:spacing w:after="0" w:line="240" w:lineRule="auto"/>
        <w:rPr>
          <w:rFonts w:cstheme="minorHAnsi"/>
          <w:b/>
          <w:bCs/>
          <w:sz w:val="18"/>
          <w:szCs w:val="18"/>
          <w:lang w:val="en-GB"/>
        </w:rPr>
      </w:pPr>
    </w:p>
    <w:p w14:paraId="7F90BB59" w14:textId="721548BF"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AV_B – PX10</w:t>
      </w:r>
    </w:p>
    <w:p w14:paraId="6E703B7E" w14:textId="77777777"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Crystal Type: NZ-A</w:t>
      </w:r>
    </w:p>
    <w:p w14:paraId="62A73BD8" w14:textId="77777777" w:rsidR="009C4982" w:rsidRPr="006A7205" w:rsidRDefault="009C4982" w:rsidP="009C4982">
      <w:pPr>
        <w:autoSpaceDE w:val="0"/>
        <w:autoSpaceDN w:val="0"/>
        <w:adjustRightInd w:val="0"/>
        <w:spacing w:line="240" w:lineRule="auto"/>
        <w:rPr>
          <w:rFonts w:cstheme="minorHAnsi"/>
          <w:b/>
          <w:bCs/>
          <w:sz w:val="18"/>
          <w:szCs w:val="18"/>
          <w:lang w:val="en-GB"/>
        </w:rPr>
      </w:pPr>
    </w:p>
    <w:p w14:paraId="3CF93132" w14:textId="3D968A2F" w:rsidR="009C4982" w:rsidRPr="006A7205" w:rsidRDefault="006B5B07" w:rsidP="009C4982">
      <w:pPr>
        <w:autoSpaceDE w:val="0"/>
        <w:autoSpaceDN w:val="0"/>
        <w:adjustRightInd w:val="0"/>
        <w:spacing w:line="240" w:lineRule="auto"/>
        <w:rPr>
          <w:rFonts w:cstheme="minorHAnsi"/>
          <w:b/>
          <w:bCs/>
          <w:sz w:val="18"/>
          <w:szCs w:val="18"/>
          <w:lang w:val="en-GB"/>
        </w:rPr>
      </w:pPr>
      <w:r w:rsidRPr="006B5B07">
        <w:rPr>
          <w:noProof/>
        </w:rPr>
        <w:drawing>
          <wp:inline distT="0" distB="0" distL="0" distR="0" wp14:anchorId="6847FC3D" wp14:editId="5A2ACE0D">
            <wp:extent cx="6120130" cy="2131060"/>
            <wp:effectExtent l="0" t="0" r="0" b="2540"/>
            <wp:docPr id="10509352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2131060"/>
                    </a:xfrm>
                    <a:prstGeom prst="rect">
                      <a:avLst/>
                    </a:prstGeom>
                    <a:noFill/>
                    <a:ln>
                      <a:noFill/>
                    </a:ln>
                  </pic:spPr>
                </pic:pic>
              </a:graphicData>
            </a:graphic>
          </wp:inline>
        </w:drawing>
      </w:r>
    </w:p>
    <w:p w14:paraId="3EE112F2" w14:textId="77777777"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AV_B – PX13</w:t>
      </w:r>
    </w:p>
    <w:p w14:paraId="5BA0A834" w14:textId="77777777" w:rsidR="009C4982"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Crystal Type: RZ-B</w:t>
      </w:r>
    </w:p>
    <w:p w14:paraId="3D61A802" w14:textId="77777777" w:rsidR="009C4982" w:rsidRDefault="009C4982" w:rsidP="009C4982">
      <w:pPr>
        <w:autoSpaceDE w:val="0"/>
        <w:autoSpaceDN w:val="0"/>
        <w:adjustRightInd w:val="0"/>
        <w:spacing w:line="240" w:lineRule="auto"/>
        <w:rPr>
          <w:rFonts w:cstheme="minorHAnsi"/>
          <w:b/>
          <w:bCs/>
          <w:sz w:val="18"/>
          <w:szCs w:val="18"/>
          <w:lang w:val="en-GB"/>
        </w:rPr>
      </w:pPr>
    </w:p>
    <w:p w14:paraId="2A60F67B" w14:textId="383A08E7" w:rsidR="009C4982" w:rsidRDefault="00BF7AA8" w:rsidP="009C4982">
      <w:pPr>
        <w:autoSpaceDE w:val="0"/>
        <w:autoSpaceDN w:val="0"/>
        <w:adjustRightInd w:val="0"/>
        <w:spacing w:line="240" w:lineRule="auto"/>
        <w:rPr>
          <w:rFonts w:cstheme="minorHAnsi"/>
          <w:b/>
          <w:bCs/>
          <w:sz w:val="18"/>
          <w:szCs w:val="18"/>
          <w:lang w:val="en-GB"/>
        </w:rPr>
      </w:pPr>
      <w:r w:rsidRPr="00BF7AA8">
        <w:rPr>
          <w:noProof/>
        </w:rPr>
        <w:drawing>
          <wp:inline distT="0" distB="0" distL="0" distR="0" wp14:anchorId="38003441" wp14:editId="41AD3E67">
            <wp:extent cx="6120130" cy="1136650"/>
            <wp:effectExtent l="0" t="0" r="0" b="6350"/>
            <wp:docPr id="8044871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1136650"/>
                    </a:xfrm>
                    <a:prstGeom prst="rect">
                      <a:avLst/>
                    </a:prstGeom>
                    <a:noFill/>
                    <a:ln>
                      <a:noFill/>
                    </a:ln>
                  </pic:spPr>
                </pic:pic>
              </a:graphicData>
            </a:graphic>
          </wp:inline>
        </w:drawing>
      </w:r>
    </w:p>
    <w:p w14:paraId="64DC901E" w14:textId="2EE3BF18" w:rsidR="009C4982" w:rsidRPr="00D92E0D" w:rsidRDefault="009C4982" w:rsidP="009C4982">
      <w:pPr>
        <w:autoSpaceDE w:val="0"/>
        <w:autoSpaceDN w:val="0"/>
        <w:adjustRightInd w:val="0"/>
        <w:spacing w:after="0" w:line="240" w:lineRule="auto"/>
        <w:rPr>
          <w:rFonts w:cstheme="minorHAnsi"/>
          <w:b/>
          <w:bCs/>
          <w:sz w:val="18"/>
          <w:szCs w:val="18"/>
          <w:lang w:val="en-GB"/>
        </w:rPr>
      </w:pPr>
      <w:r w:rsidRPr="00D92E0D">
        <w:rPr>
          <w:rFonts w:cstheme="minorHAnsi"/>
          <w:b/>
          <w:bCs/>
          <w:sz w:val="18"/>
          <w:szCs w:val="18"/>
          <w:lang w:val="en-GB"/>
        </w:rPr>
        <w:t>A</w:t>
      </w:r>
      <w:r w:rsidR="001721FD">
        <w:rPr>
          <w:rFonts w:cstheme="minorHAnsi"/>
          <w:b/>
          <w:bCs/>
          <w:sz w:val="18"/>
          <w:szCs w:val="18"/>
          <w:lang w:val="en-GB"/>
        </w:rPr>
        <w:t>V</w:t>
      </w:r>
      <w:r w:rsidRPr="00D92E0D">
        <w:rPr>
          <w:rFonts w:cstheme="minorHAnsi"/>
          <w:b/>
          <w:bCs/>
          <w:sz w:val="18"/>
          <w:szCs w:val="18"/>
          <w:lang w:val="en-GB"/>
        </w:rPr>
        <w:t>D1 – PX5</w:t>
      </w:r>
    </w:p>
    <w:p w14:paraId="7C91BB04" w14:textId="77777777" w:rsidR="009C4982" w:rsidRDefault="009C4982" w:rsidP="009C4982">
      <w:pPr>
        <w:autoSpaceDE w:val="0"/>
        <w:autoSpaceDN w:val="0"/>
        <w:adjustRightInd w:val="0"/>
        <w:spacing w:after="0" w:line="240" w:lineRule="auto"/>
        <w:rPr>
          <w:rFonts w:cstheme="minorHAnsi"/>
          <w:b/>
          <w:bCs/>
          <w:sz w:val="18"/>
          <w:szCs w:val="18"/>
          <w:lang w:val="en-GB"/>
        </w:rPr>
      </w:pPr>
      <w:r w:rsidRPr="00D92E0D">
        <w:rPr>
          <w:rFonts w:cstheme="minorHAnsi"/>
          <w:b/>
          <w:bCs/>
          <w:sz w:val="18"/>
          <w:szCs w:val="18"/>
          <w:lang w:val="en-GB"/>
        </w:rPr>
        <w:t>Crystal Type: NZ-B</w:t>
      </w:r>
    </w:p>
    <w:p w14:paraId="7DC08CC6" w14:textId="77777777" w:rsidR="009C4982" w:rsidRDefault="009C4982" w:rsidP="009C4982">
      <w:pPr>
        <w:autoSpaceDE w:val="0"/>
        <w:autoSpaceDN w:val="0"/>
        <w:adjustRightInd w:val="0"/>
        <w:spacing w:line="240" w:lineRule="auto"/>
        <w:rPr>
          <w:rFonts w:cstheme="minorHAnsi"/>
          <w:b/>
          <w:bCs/>
          <w:sz w:val="18"/>
          <w:szCs w:val="18"/>
          <w:lang w:val="en-GB"/>
        </w:rPr>
      </w:pPr>
    </w:p>
    <w:p w14:paraId="4A2015AF" w14:textId="07351650" w:rsidR="009C4982" w:rsidRPr="009C4982" w:rsidRDefault="006B5B07" w:rsidP="009C4982">
      <w:pPr>
        <w:autoSpaceDE w:val="0"/>
        <w:autoSpaceDN w:val="0"/>
        <w:adjustRightInd w:val="0"/>
        <w:spacing w:line="240" w:lineRule="auto"/>
        <w:rPr>
          <w:rFonts w:cstheme="minorHAnsi"/>
          <w:b/>
          <w:bCs/>
          <w:sz w:val="18"/>
          <w:szCs w:val="18"/>
          <w:lang w:val="en-GB"/>
        </w:rPr>
      </w:pPr>
      <w:r w:rsidRPr="006B5B07">
        <w:rPr>
          <w:noProof/>
        </w:rPr>
        <w:drawing>
          <wp:inline distT="0" distB="0" distL="0" distR="0" wp14:anchorId="20C6D86D" wp14:editId="59BFC043">
            <wp:extent cx="6120130" cy="2042160"/>
            <wp:effectExtent l="0" t="0" r="0" b="0"/>
            <wp:docPr id="9853937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2042160"/>
                    </a:xfrm>
                    <a:prstGeom prst="rect">
                      <a:avLst/>
                    </a:prstGeom>
                    <a:noFill/>
                    <a:ln>
                      <a:noFill/>
                    </a:ln>
                  </pic:spPr>
                </pic:pic>
              </a:graphicData>
            </a:graphic>
          </wp:inline>
        </w:drawing>
      </w:r>
    </w:p>
    <w:p w14:paraId="4BECC772" w14:textId="7226CEBD" w:rsidR="009C4982" w:rsidRPr="00184F21" w:rsidRDefault="009C4982" w:rsidP="009C4982">
      <w:pPr>
        <w:autoSpaceDE w:val="0"/>
        <w:autoSpaceDN w:val="0"/>
        <w:adjustRightInd w:val="0"/>
        <w:spacing w:after="0" w:line="240" w:lineRule="auto"/>
        <w:rPr>
          <w:rFonts w:cstheme="minorHAnsi"/>
          <w:b/>
          <w:bCs/>
          <w:sz w:val="18"/>
          <w:szCs w:val="18"/>
          <w:lang w:val="en-GB"/>
        </w:rPr>
      </w:pPr>
      <w:r w:rsidRPr="00184F21">
        <w:rPr>
          <w:rFonts w:cstheme="minorHAnsi"/>
          <w:b/>
          <w:bCs/>
          <w:sz w:val="18"/>
          <w:szCs w:val="18"/>
          <w:lang w:val="en-GB"/>
        </w:rPr>
        <w:lastRenderedPageBreak/>
        <w:t>A</w:t>
      </w:r>
      <w:r w:rsidR="001721FD">
        <w:rPr>
          <w:rFonts w:cstheme="minorHAnsi"/>
          <w:b/>
          <w:bCs/>
          <w:sz w:val="18"/>
          <w:szCs w:val="18"/>
          <w:lang w:val="en-GB"/>
        </w:rPr>
        <w:t>V</w:t>
      </w:r>
      <w:r w:rsidRPr="00184F21">
        <w:rPr>
          <w:rFonts w:cstheme="minorHAnsi"/>
          <w:b/>
          <w:bCs/>
          <w:sz w:val="18"/>
          <w:szCs w:val="18"/>
          <w:lang w:val="en-GB"/>
        </w:rPr>
        <w:t>D1 – PX7</w:t>
      </w:r>
    </w:p>
    <w:p w14:paraId="55AC3754" w14:textId="77777777" w:rsidR="009C4982" w:rsidRDefault="009C4982" w:rsidP="009C4982">
      <w:pPr>
        <w:autoSpaceDE w:val="0"/>
        <w:autoSpaceDN w:val="0"/>
        <w:adjustRightInd w:val="0"/>
        <w:spacing w:after="0" w:line="240" w:lineRule="auto"/>
        <w:rPr>
          <w:rFonts w:cstheme="minorHAnsi"/>
          <w:b/>
          <w:bCs/>
          <w:sz w:val="18"/>
          <w:szCs w:val="18"/>
          <w:lang w:val="en-GB"/>
        </w:rPr>
      </w:pPr>
      <w:r w:rsidRPr="00184F21">
        <w:rPr>
          <w:rFonts w:cstheme="minorHAnsi"/>
          <w:b/>
          <w:bCs/>
          <w:sz w:val="18"/>
          <w:szCs w:val="18"/>
          <w:lang w:val="en-GB"/>
        </w:rPr>
        <w:t>Crystal Type: NZ-A</w:t>
      </w:r>
    </w:p>
    <w:p w14:paraId="4AD38654" w14:textId="77777777" w:rsidR="009C4982" w:rsidRDefault="009C4982" w:rsidP="009C4982">
      <w:pPr>
        <w:autoSpaceDE w:val="0"/>
        <w:autoSpaceDN w:val="0"/>
        <w:adjustRightInd w:val="0"/>
        <w:spacing w:line="240" w:lineRule="auto"/>
        <w:rPr>
          <w:rFonts w:cstheme="minorHAnsi"/>
          <w:b/>
          <w:bCs/>
          <w:sz w:val="18"/>
          <w:szCs w:val="18"/>
          <w:lang w:val="en-GB"/>
        </w:rPr>
      </w:pPr>
    </w:p>
    <w:p w14:paraId="2FD5252D" w14:textId="0D6625D0" w:rsidR="009C4982" w:rsidRDefault="00BF7AA8" w:rsidP="009C4982">
      <w:pPr>
        <w:autoSpaceDE w:val="0"/>
        <w:autoSpaceDN w:val="0"/>
        <w:adjustRightInd w:val="0"/>
        <w:spacing w:line="240" w:lineRule="auto"/>
        <w:rPr>
          <w:rFonts w:cstheme="minorHAnsi"/>
          <w:b/>
          <w:bCs/>
          <w:sz w:val="18"/>
          <w:szCs w:val="18"/>
          <w:lang w:val="en-GB"/>
        </w:rPr>
      </w:pPr>
      <w:r w:rsidRPr="00BF7AA8">
        <w:rPr>
          <w:noProof/>
        </w:rPr>
        <w:drawing>
          <wp:inline distT="0" distB="0" distL="0" distR="0" wp14:anchorId="3A2F067A" wp14:editId="2655F667">
            <wp:extent cx="6120130" cy="1012190"/>
            <wp:effectExtent l="0" t="0" r="0" b="0"/>
            <wp:docPr id="130699836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1012190"/>
                    </a:xfrm>
                    <a:prstGeom prst="rect">
                      <a:avLst/>
                    </a:prstGeom>
                    <a:noFill/>
                    <a:ln>
                      <a:noFill/>
                    </a:ln>
                  </pic:spPr>
                </pic:pic>
              </a:graphicData>
            </a:graphic>
          </wp:inline>
        </w:drawing>
      </w:r>
    </w:p>
    <w:p w14:paraId="1EFFEEF7" w14:textId="77777777" w:rsidR="009C4982" w:rsidRDefault="009C4982" w:rsidP="009C4982">
      <w:pPr>
        <w:autoSpaceDE w:val="0"/>
        <w:autoSpaceDN w:val="0"/>
        <w:adjustRightInd w:val="0"/>
        <w:spacing w:line="240" w:lineRule="auto"/>
        <w:rPr>
          <w:rFonts w:cstheme="minorHAnsi"/>
          <w:b/>
          <w:bCs/>
          <w:sz w:val="18"/>
          <w:szCs w:val="18"/>
          <w:lang w:val="en-GB"/>
        </w:rPr>
      </w:pPr>
    </w:p>
    <w:p w14:paraId="5B7F355F" w14:textId="77777777" w:rsidR="009C4982" w:rsidRDefault="009C4982" w:rsidP="009C4982">
      <w:pPr>
        <w:autoSpaceDE w:val="0"/>
        <w:autoSpaceDN w:val="0"/>
        <w:adjustRightInd w:val="0"/>
        <w:spacing w:line="240" w:lineRule="auto"/>
        <w:rPr>
          <w:rFonts w:cstheme="minorHAnsi"/>
          <w:b/>
          <w:bCs/>
          <w:sz w:val="18"/>
          <w:szCs w:val="18"/>
          <w:lang w:val="en-GB"/>
        </w:rPr>
      </w:pPr>
    </w:p>
    <w:p w14:paraId="3A2F6DD4" w14:textId="77777777" w:rsidR="009C4982" w:rsidRPr="00184F21" w:rsidRDefault="009C4982" w:rsidP="009C4982">
      <w:pPr>
        <w:autoSpaceDE w:val="0"/>
        <w:autoSpaceDN w:val="0"/>
        <w:adjustRightInd w:val="0"/>
        <w:spacing w:line="240" w:lineRule="auto"/>
        <w:rPr>
          <w:rFonts w:cstheme="minorHAnsi"/>
          <w:b/>
          <w:bCs/>
          <w:sz w:val="18"/>
          <w:szCs w:val="18"/>
          <w:lang w:val="en-GB"/>
        </w:rPr>
      </w:pPr>
    </w:p>
    <w:p w14:paraId="48954292" w14:textId="0F1B9FFB" w:rsidR="009C4982" w:rsidRPr="00184F21" w:rsidRDefault="009C4982" w:rsidP="009C4982">
      <w:pPr>
        <w:autoSpaceDE w:val="0"/>
        <w:autoSpaceDN w:val="0"/>
        <w:adjustRightInd w:val="0"/>
        <w:spacing w:after="0" w:line="240" w:lineRule="auto"/>
        <w:rPr>
          <w:rFonts w:cstheme="minorHAnsi"/>
          <w:b/>
          <w:bCs/>
          <w:sz w:val="18"/>
          <w:szCs w:val="18"/>
          <w:lang w:val="en-GB"/>
        </w:rPr>
      </w:pPr>
      <w:r w:rsidRPr="00184F21">
        <w:rPr>
          <w:rFonts w:cstheme="minorHAnsi"/>
          <w:b/>
          <w:bCs/>
          <w:sz w:val="18"/>
          <w:szCs w:val="18"/>
          <w:lang w:val="en-GB"/>
        </w:rPr>
        <w:t>A</w:t>
      </w:r>
      <w:r w:rsidR="00D76215">
        <w:rPr>
          <w:rFonts w:cstheme="minorHAnsi"/>
          <w:b/>
          <w:bCs/>
          <w:sz w:val="18"/>
          <w:szCs w:val="18"/>
          <w:lang w:val="en-GB"/>
        </w:rPr>
        <w:t>V</w:t>
      </w:r>
      <w:r w:rsidRPr="00184F21">
        <w:rPr>
          <w:rFonts w:cstheme="minorHAnsi"/>
          <w:b/>
          <w:bCs/>
          <w:sz w:val="18"/>
          <w:szCs w:val="18"/>
          <w:lang w:val="en-GB"/>
        </w:rPr>
        <w:t>D1 – PX9</w:t>
      </w:r>
    </w:p>
    <w:p w14:paraId="2127ABBD" w14:textId="77777777" w:rsidR="009C4982" w:rsidRPr="00184F21" w:rsidRDefault="009C4982" w:rsidP="009C4982">
      <w:pPr>
        <w:autoSpaceDE w:val="0"/>
        <w:autoSpaceDN w:val="0"/>
        <w:adjustRightInd w:val="0"/>
        <w:spacing w:after="0" w:line="240" w:lineRule="auto"/>
        <w:rPr>
          <w:rFonts w:cstheme="minorHAnsi"/>
          <w:b/>
          <w:bCs/>
          <w:sz w:val="18"/>
          <w:szCs w:val="18"/>
          <w:lang w:val="en-GB"/>
        </w:rPr>
      </w:pPr>
      <w:r w:rsidRPr="00184F21">
        <w:rPr>
          <w:rFonts w:cstheme="minorHAnsi"/>
          <w:b/>
          <w:bCs/>
          <w:sz w:val="18"/>
          <w:szCs w:val="18"/>
          <w:lang w:val="en-GB"/>
        </w:rPr>
        <w:t>Crystal Type: NZ-A</w:t>
      </w:r>
    </w:p>
    <w:p w14:paraId="09F43D31" w14:textId="77777777" w:rsidR="009C4982" w:rsidRPr="00184F21" w:rsidRDefault="009C4982" w:rsidP="009C4982">
      <w:pPr>
        <w:autoSpaceDE w:val="0"/>
        <w:autoSpaceDN w:val="0"/>
        <w:adjustRightInd w:val="0"/>
        <w:spacing w:line="240" w:lineRule="auto"/>
        <w:rPr>
          <w:rFonts w:cstheme="minorHAnsi"/>
          <w:b/>
          <w:bCs/>
          <w:sz w:val="18"/>
          <w:szCs w:val="18"/>
          <w:lang w:val="en-GB"/>
        </w:rPr>
      </w:pPr>
    </w:p>
    <w:p w14:paraId="277EDE86" w14:textId="21994B4A" w:rsidR="009C4982" w:rsidRPr="00AC01D9" w:rsidRDefault="00BF7AA8" w:rsidP="009C4982">
      <w:pPr>
        <w:autoSpaceDE w:val="0"/>
        <w:autoSpaceDN w:val="0"/>
        <w:adjustRightInd w:val="0"/>
        <w:spacing w:line="240" w:lineRule="auto"/>
        <w:rPr>
          <w:rFonts w:cstheme="minorHAnsi"/>
          <w:b/>
          <w:bCs/>
          <w:sz w:val="18"/>
          <w:szCs w:val="18"/>
          <w:lang w:val="en-GB"/>
        </w:rPr>
      </w:pPr>
      <w:r w:rsidRPr="00BF7AA8">
        <w:rPr>
          <w:noProof/>
        </w:rPr>
        <w:drawing>
          <wp:inline distT="0" distB="0" distL="0" distR="0" wp14:anchorId="0C43A1BF" wp14:editId="3415B884">
            <wp:extent cx="6120130" cy="2278380"/>
            <wp:effectExtent l="0" t="0" r="0" b="7620"/>
            <wp:docPr id="14872534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2278380"/>
                    </a:xfrm>
                    <a:prstGeom prst="rect">
                      <a:avLst/>
                    </a:prstGeom>
                    <a:noFill/>
                    <a:ln>
                      <a:noFill/>
                    </a:ln>
                  </pic:spPr>
                </pic:pic>
              </a:graphicData>
            </a:graphic>
          </wp:inline>
        </w:drawing>
      </w:r>
    </w:p>
    <w:p w14:paraId="492B8276" w14:textId="31D510F7" w:rsidR="009C4982" w:rsidRPr="00AC01D9" w:rsidRDefault="009C4982" w:rsidP="009C4982">
      <w:pPr>
        <w:autoSpaceDE w:val="0"/>
        <w:autoSpaceDN w:val="0"/>
        <w:adjustRightInd w:val="0"/>
        <w:spacing w:after="0" w:line="240" w:lineRule="auto"/>
        <w:rPr>
          <w:rFonts w:cstheme="minorHAnsi"/>
          <w:b/>
          <w:bCs/>
          <w:sz w:val="18"/>
          <w:szCs w:val="18"/>
          <w:lang w:val="en-GB"/>
        </w:rPr>
      </w:pPr>
      <w:r w:rsidRPr="00AC01D9">
        <w:rPr>
          <w:rFonts w:cstheme="minorHAnsi"/>
          <w:b/>
          <w:bCs/>
          <w:sz w:val="18"/>
          <w:szCs w:val="18"/>
          <w:lang w:val="en-GB"/>
        </w:rPr>
        <w:t>A</w:t>
      </w:r>
      <w:r w:rsidR="00D76215">
        <w:rPr>
          <w:rFonts w:cstheme="minorHAnsi"/>
          <w:b/>
          <w:bCs/>
          <w:sz w:val="18"/>
          <w:szCs w:val="18"/>
          <w:lang w:val="en-GB"/>
        </w:rPr>
        <w:t>V</w:t>
      </w:r>
      <w:r w:rsidRPr="00AC01D9">
        <w:rPr>
          <w:rFonts w:cstheme="minorHAnsi"/>
          <w:b/>
          <w:bCs/>
          <w:sz w:val="18"/>
          <w:szCs w:val="18"/>
          <w:lang w:val="en-GB"/>
        </w:rPr>
        <w:t>D1 – PX11</w:t>
      </w:r>
    </w:p>
    <w:p w14:paraId="2538C328" w14:textId="77777777" w:rsidR="009C4982" w:rsidRPr="00AC01D9" w:rsidRDefault="009C4982" w:rsidP="009C4982">
      <w:pPr>
        <w:autoSpaceDE w:val="0"/>
        <w:autoSpaceDN w:val="0"/>
        <w:adjustRightInd w:val="0"/>
        <w:spacing w:after="0" w:line="240" w:lineRule="auto"/>
        <w:rPr>
          <w:rFonts w:cstheme="minorHAnsi"/>
          <w:b/>
          <w:bCs/>
          <w:sz w:val="18"/>
          <w:szCs w:val="18"/>
          <w:lang w:val="en-GB"/>
        </w:rPr>
      </w:pPr>
      <w:r w:rsidRPr="00AC01D9">
        <w:rPr>
          <w:rFonts w:cstheme="minorHAnsi"/>
          <w:b/>
          <w:bCs/>
          <w:sz w:val="18"/>
          <w:szCs w:val="18"/>
          <w:lang w:val="en-GB"/>
        </w:rPr>
        <w:t>Crystal Type: NZ-B</w:t>
      </w:r>
    </w:p>
    <w:p w14:paraId="0DA3AAA7" w14:textId="77777777" w:rsidR="009C4982" w:rsidRDefault="009C4982" w:rsidP="009C4982">
      <w:pPr>
        <w:autoSpaceDE w:val="0"/>
        <w:autoSpaceDN w:val="0"/>
        <w:adjustRightInd w:val="0"/>
        <w:spacing w:line="240" w:lineRule="auto"/>
        <w:rPr>
          <w:rFonts w:cstheme="minorHAnsi"/>
          <w:b/>
          <w:bCs/>
          <w:sz w:val="18"/>
          <w:szCs w:val="18"/>
          <w:lang w:val="en-GB"/>
        </w:rPr>
      </w:pPr>
    </w:p>
    <w:p w14:paraId="73D278AE" w14:textId="4E4B0C16" w:rsidR="009C4982" w:rsidRPr="00F06F56" w:rsidRDefault="00BF7AA8" w:rsidP="009C4982">
      <w:pPr>
        <w:autoSpaceDE w:val="0"/>
        <w:autoSpaceDN w:val="0"/>
        <w:adjustRightInd w:val="0"/>
        <w:spacing w:line="240" w:lineRule="auto"/>
        <w:rPr>
          <w:rFonts w:cstheme="minorHAnsi"/>
          <w:b/>
          <w:bCs/>
          <w:sz w:val="18"/>
          <w:szCs w:val="18"/>
          <w:lang w:val="en-GB"/>
        </w:rPr>
      </w:pPr>
      <w:r w:rsidRPr="00BF7AA8">
        <w:rPr>
          <w:noProof/>
        </w:rPr>
        <w:drawing>
          <wp:inline distT="0" distB="0" distL="0" distR="0" wp14:anchorId="0580D57B" wp14:editId="4FC59310">
            <wp:extent cx="6120130" cy="1826260"/>
            <wp:effectExtent l="0" t="0" r="0" b="2540"/>
            <wp:docPr id="110007778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1826260"/>
                    </a:xfrm>
                    <a:prstGeom prst="rect">
                      <a:avLst/>
                    </a:prstGeom>
                    <a:noFill/>
                    <a:ln>
                      <a:noFill/>
                    </a:ln>
                  </pic:spPr>
                </pic:pic>
              </a:graphicData>
            </a:graphic>
          </wp:inline>
        </w:drawing>
      </w:r>
    </w:p>
    <w:p w14:paraId="622F49A1" w14:textId="77777777" w:rsidR="00BF7AA8" w:rsidRDefault="00BF7AA8" w:rsidP="006A7205">
      <w:pPr>
        <w:autoSpaceDE w:val="0"/>
        <w:autoSpaceDN w:val="0"/>
        <w:adjustRightInd w:val="0"/>
        <w:spacing w:after="0" w:line="240" w:lineRule="auto"/>
        <w:rPr>
          <w:rFonts w:cstheme="minorHAnsi"/>
          <w:b/>
          <w:bCs/>
          <w:sz w:val="18"/>
          <w:szCs w:val="18"/>
          <w:lang w:val="en-GB"/>
        </w:rPr>
      </w:pPr>
    </w:p>
    <w:p w14:paraId="6C7881E0" w14:textId="77777777" w:rsidR="00BF7AA8" w:rsidRDefault="00BF7AA8" w:rsidP="006A7205">
      <w:pPr>
        <w:autoSpaceDE w:val="0"/>
        <w:autoSpaceDN w:val="0"/>
        <w:adjustRightInd w:val="0"/>
        <w:spacing w:after="0" w:line="240" w:lineRule="auto"/>
        <w:rPr>
          <w:rFonts w:cstheme="minorHAnsi"/>
          <w:b/>
          <w:bCs/>
          <w:sz w:val="18"/>
          <w:szCs w:val="18"/>
          <w:lang w:val="en-GB"/>
        </w:rPr>
      </w:pPr>
    </w:p>
    <w:p w14:paraId="4123E6EA" w14:textId="77777777" w:rsidR="00BF7AA8" w:rsidRDefault="00BF7AA8" w:rsidP="006A7205">
      <w:pPr>
        <w:autoSpaceDE w:val="0"/>
        <w:autoSpaceDN w:val="0"/>
        <w:adjustRightInd w:val="0"/>
        <w:spacing w:after="0" w:line="240" w:lineRule="auto"/>
        <w:rPr>
          <w:rFonts w:cstheme="minorHAnsi"/>
          <w:b/>
          <w:bCs/>
          <w:sz w:val="18"/>
          <w:szCs w:val="18"/>
          <w:lang w:val="en-GB"/>
        </w:rPr>
      </w:pPr>
    </w:p>
    <w:p w14:paraId="597CC0EC" w14:textId="77777777" w:rsidR="00BF7AA8" w:rsidRDefault="00BF7AA8" w:rsidP="006A7205">
      <w:pPr>
        <w:autoSpaceDE w:val="0"/>
        <w:autoSpaceDN w:val="0"/>
        <w:adjustRightInd w:val="0"/>
        <w:spacing w:after="0" w:line="240" w:lineRule="auto"/>
        <w:rPr>
          <w:rFonts w:cstheme="minorHAnsi"/>
          <w:b/>
          <w:bCs/>
          <w:sz w:val="18"/>
          <w:szCs w:val="18"/>
          <w:lang w:val="en-GB"/>
        </w:rPr>
      </w:pPr>
    </w:p>
    <w:p w14:paraId="44970521" w14:textId="77777777" w:rsidR="00BF7AA8" w:rsidRDefault="00BF7AA8" w:rsidP="006A7205">
      <w:pPr>
        <w:autoSpaceDE w:val="0"/>
        <w:autoSpaceDN w:val="0"/>
        <w:adjustRightInd w:val="0"/>
        <w:spacing w:after="0" w:line="240" w:lineRule="auto"/>
        <w:rPr>
          <w:rFonts w:cstheme="minorHAnsi"/>
          <w:b/>
          <w:bCs/>
          <w:sz w:val="18"/>
          <w:szCs w:val="18"/>
          <w:lang w:val="en-GB"/>
        </w:rPr>
      </w:pPr>
    </w:p>
    <w:p w14:paraId="2900A314" w14:textId="77777777" w:rsidR="00BF7AA8" w:rsidRDefault="00BF7AA8" w:rsidP="006A7205">
      <w:pPr>
        <w:autoSpaceDE w:val="0"/>
        <w:autoSpaceDN w:val="0"/>
        <w:adjustRightInd w:val="0"/>
        <w:spacing w:after="0" w:line="240" w:lineRule="auto"/>
        <w:rPr>
          <w:rFonts w:cstheme="minorHAnsi"/>
          <w:b/>
          <w:bCs/>
          <w:sz w:val="18"/>
          <w:szCs w:val="18"/>
          <w:lang w:val="en-GB"/>
        </w:rPr>
      </w:pPr>
    </w:p>
    <w:p w14:paraId="0CEBDB02" w14:textId="77777777" w:rsidR="00BF7AA8" w:rsidRDefault="00BF7AA8" w:rsidP="006A7205">
      <w:pPr>
        <w:autoSpaceDE w:val="0"/>
        <w:autoSpaceDN w:val="0"/>
        <w:adjustRightInd w:val="0"/>
        <w:spacing w:after="0" w:line="240" w:lineRule="auto"/>
        <w:rPr>
          <w:rFonts w:cstheme="minorHAnsi"/>
          <w:b/>
          <w:bCs/>
          <w:sz w:val="18"/>
          <w:szCs w:val="18"/>
          <w:lang w:val="en-GB"/>
        </w:rPr>
      </w:pPr>
    </w:p>
    <w:p w14:paraId="06865CC2" w14:textId="77777777" w:rsidR="00BF7AA8" w:rsidRDefault="00BF7AA8" w:rsidP="006A7205">
      <w:pPr>
        <w:autoSpaceDE w:val="0"/>
        <w:autoSpaceDN w:val="0"/>
        <w:adjustRightInd w:val="0"/>
        <w:spacing w:after="0" w:line="240" w:lineRule="auto"/>
        <w:rPr>
          <w:rFonts w:cstheme="minorHAnsi"/>
          <w:b/>
          <w:bCs/>
          <w:sz w:val="18"/>
          <w:szCs w:val="18"/>
          <w:lang w:val="en-GB"/>
        </w:rPr>
      </w:pPr>
    </w:p>
    <w:p w14:paraId="21B5B2F0" w14:textId="77777777" w:rsidR="00BF7AA8" w:rsidRDefault="00BF7AA8" w:rsidP="006A7205">
      <w:pPr>
        <w:autoSpaceDE w:val="0"/>
        <w:autoSpaceDN w:val="0"/>
        <w:adjustRightInd w:val="0"/>
        <w:spacing w:after="0" w:line="240" w:lineRule="auto"/>
        <w:rPr>
          <w:rFonts w:cstheme="minorHAnsi"/>
          <w:b/>
          <w:bCs/>
          <w:sz w:val="18"/>
          <w:szCs w:val="18"/>
          <w:lang w:val="en-GB"/>
        </w:rPr>
      </w:pPr>
    </w:p>
    <w:p w14:paraId="7F2E3EE5" w14:textId="6BA12FDA" w:rsidR="006A7205" w:rsidRPr="006A7205" w:rsidRDefault="006A7205" w:rsidP="006A7205">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lastRenderedPageBreak/>
        <w:t>AVD1-PX12</w:t>
      </w:r>
    </w:p>
    <w:p w14:paraId="2C2FC2F1" w14:textId="77777777" w:rsidR="006A7205" w:rsidRDefault="006A7205" w:rsidP="006A7205">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Crystal Type:</w:t>
      </w:r>
      <w:r w:rsidRPr="00242DE9">
        <w:rPr>
          <w:rFonts w:cstheme="minorHAnsi"/>
          <w:b/>
          <w:bCs/>
          <w:sz w:val="18"/>
          <w:szCs w:val="18"/>
          <w:lang w:val="en-GB"/>
        </w:rPr>
        <w:t xml:space="preserve"> </w:t>
      </w:r>
      <w:r>
        <w:rPr>
          <w:rFonts w:cstheme="minorHAnsi"/>
          <w:b/>
          <w:bCs/>
          <w:sz w:val="18"/>
          <w:szCs w:val="18"/>
          <w:lang w:val="en-GB"/>
        </w:rPr>
        <w:t>NZ</w:t>
      </w:r>
      <w:r w:rsidRPr="00242DE9">
        <w:rPr>
          <w:rFonts w:cstheme="minorHAnsi"/>
          <w:b/>
          <w:bCs/>
          <w:sz w:val="18"/>
          <w:szCs w:val="18"/>
          <w:lang w:val="en-GB"/>
        </w:rPr>
        <w:t>-</w:t>
      </w:r>
      <w:r>
        <w:rPr>
          <w:rFonts w:cstheme="minorHAnsi"/>
          <w:b/>
          <w:bCs/>
          <w:sz w:val="18"/>
          <w:szCs w:val="18"/>
          <w:lang w:val="en-GB"/>
        </w:rPr>
        <w:t>A</w:t>
      </w:r>
    </w:p>
    <w:p w14:paraId="3F5652D2" w14:textId="77777777" w:rsidR="006A7205" w:rsidRDefault="006A7205" w:rsidP="006A7205">
      <w:pPr>
        <w:autoSpaceDE w:val="0"/>
        <w:autoSpaceDN w:val="0"/>
        <w:adjustRightInd w:val="0"/>
        <w:spacing w:line="240" w:lineRule="auto"/>
        <w:rPr>
          <w:rFonts w:cstheme="minorHAnsi"/>
          <w:b/>
          <w:bCs/>
          <w:sz w:val="18"/>
          <w:szCs w:val="18"/>
          <w:lang w:val="en-GB"/>
        </w:rPr>
      </w:pPr>
    </w:p>
    <w:p w14:paraId="6DB40FC3" w14:textId="236BC941" w:rsidR="006A7205" w:rsidRPr="00242DE9" w:rsidRDefault="00A85664" w:rsidP="006A7205">
      <w:pPr>
        <w:autoSpaceDE w:val="0"/>
        <w:autoSpaceDN w:val="0"/>
        <w:adjustRightInd w:val="0"/>
        <w:spacing w:line="240" w:lineRule="auto"/>
        <w:rPr>
          <w:rFonts w:cstheme="minorHAnsi"/>
          <w:b/>
          <w:bCs/>
          <w:sz w:val="18"/>
          <w:szCs w:val="18"/>
          <w:lang w:val="en-GB"/>
        </w:rPr>
      </w:pPr>
      <w:r w:rsidRPr="00A85664">
        <w:rPr>
          <w:noProof/>
        </w:rPr>
        <w:drawing>
          <wp:inline distT="0" distB="0" distL="0" distR="0" wp14:anchorId="3813CEB6" wp14:editId="28F6D4EA">
            <wp:extent cx="6120130" cy="1736090"/>
            <wp:effectExtent l="0" t="0" r="0" b="0"/>
            <wp:docPr id="9055446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1736090"/>
                    </a:xfrm>
                    <a:prstGeom prst="rect">
                      <a:avLst/>
                    </a:prstGeom>
                    <a:noFill/>
                    <a:ln>
                      <a:noFill/>
                    </a:ln>
                  </pic:spPr>
                </pic:pic>
              </a:graphicData>
            </a:graphic>
          </wp:inline>
        </w:drawing>
      </w:r>
    </w:p>
    <w:p w14:paraId="5664C674" w14:textId="77777777" w:rsidR="00CA108E" w:rsidRDefault="00CA108E" w:rsidP="009C4982">
      <w:pPr>
        <w:autoSpaceDE w:val="0"/>
        <w:autoSpaceDN w:val="0"/>
        <w:adjustRightInd w:val="0"/>
        <w:spacing w:after="0" w:line="240" w:lineRule="auto"/>
        <w:rPr>
          <w:rFonts w:cstheme="minorHAnsi"/>
          <w:b/>
          <w:bCs/>
          <w:sz w:val="18"/>
          <w:szCs w:val="18"/>
          <w:lang w:val="en-GB"/>
        </w:rPr>
      </w:pPr>
    </w:p>
    <w:p w14:paraId="6606E1D2" w14:textId="77777777" w:rsidR="00CA108E" w:rsidRDefault="00CA108E" w:rsidP="009C4982">
      <w:pPr>
        <w:autoSpaceDE w:val="0"/>
        <w:autoSpaceDN w:val="0"/>
        <w:adjustRightInd w:val="0"/>
        <w:spacing w:after="0" w:line="240" w:lineRule="auto"/>
        <w:rPr>
          <w:rFonts w:cstheme="minorHAnsi"/>
          <w:b/>
          <w:bCs/>
          <w:sz w:val="18"/>
          <w:szCs w:val="18"/>
          <w:lang w:val="en-GB"/>
        </w:rPr>
      </w:pPr>
    </w:p>
    <w:p w14:paraId="3DCE0FCA" w14:textId="731E21E2" w:rsidR="009C4982" w:rsidRPr="00AC01D9" w:rsidRDefault="009C4982" w:rsidP="009C4982">
      <w:pPr>
        <w:autoSpaceDE w:val="0"/>
        <w:autoSpaceDN w:val="0"/>
        <w:adjustRightInd w:val="0"/>
        <w:spacing w:after="0" w:line="240" w:lineRule="auto"/>
        <w:rPr>
          <w:rFonts w:cstheme="minorHAnsi"/>
          <w:b/>
          <w:bCs/>
          <w:sz w:val="18"/>
          <w:szCs w:val="18"/>
          <w:lang w:val="en-GB"/>
        </w:rPr>
      </w:pPr>
      <w:r w:rsidRPr="00AC01D9">
        <w:rPr>
          <w:rFonts w:cstheme="minorHAnsi"/>
          <w:b/>
          <w:bCs/>
          <w:sz w:val="18"/>
          <w:szCs w:val="18"/>
          <w:lang w:val="en-GB"/>
        </w:rPr>
        <w:t>A</w:t>
      </w:r>
      <w:r w:rsidR="00D76215">
        <w:rPr>
          <w:rFonts w:cstheme="minorHAnsi"/>
          <w:b/>
          <w:bCs/>
          <w:sz w:val="18"/>
          <w:szCs w:val="18"/>
          <w:lang w:val="en-GB"/>
        </w:rPr>
        <w:t>V</w:t>
      </w:r>
      <w:r w:rsidRPr="00AC01D9">
        <w:rPr>
          <w:rFonts w:cstheme="minorHAnsi"/>
          <w:b/>
          <w:bCs/>
          <w:sz w:val="18"/>
          <w:szCs w:val="18"/>
          <w:lang w:val="en-GB"/>
        </w:rPr>
        <w:t>D9-PX2</w:t>
      </w:r>
    </w:p>
    <w:p w14:paraId="25408AA8" w14:textId="1AA37BDE" w:rsidR="009C4982" w:rsidRPr="00AC01D9" w:rsidRDefault="009C4982" w:rsidP="009C4982">
      <w:pPr>
        <w:autoSpaceDE w:val="0"/>
        <w:autoSpaceDN w:val="0"/>
        <w:adjustRightInd w:val="0"/>
        <w:spacing w:after="0" w:line="240" w:lineRule="auto"/>
        <w:rPr>
          <w:rFonts w:cstheme="minorHAnsi"/>
          <w:b/>
          <w:bCs/>
          <w:sz w:val="18"/>
          <w:szCs w:val="18"/>
          <w:lang w:val="en-GB"/>
        </w:rPr>
      </w:pPr>
      <w:r w:rsidRPr="00AC01D9">
        <w:rPr>
          <w:rFonts w:cstheme="minorHAnsi"/>
          <w:b/>
          <w:bCs/>
          <w:sz w:val="18"/>
          <w:szCs w:val="18"/>
          <w:lang w:val="en-GB"/>
        </w:rPr>
        <w:t xml:space="preserve">Crystal Type: </w:t>
      </w:r>
      <w:r w:rsidR="00F06F56">
        <w:rPr>
          <w:rFonts w:cstheme="minorHAnsi"/>
          <w:b/>
          <w:bCs/>
          <w:sz w:val="18"/>
          <w:szCs w:val="18"/>
          <w:lang w:val="en-GB"/>
        </w:rPr>
        <w:t>NZ</w:t>
      </w:r>
      <w:r w:rsidRPr="00AC01D9">
        <w:rPr>
          <w:rFonts w:cstheme="minorHAnsi"/>
          <w:b/>
          <w:bCs/>
          <w:sz w:val="18"/>
          <w:szCs w:val="18"/>
          <w:lang w:val="en-GB"/>
        </w:rPr>
        <w:t>-</w:t>
      </w:r>
      <w:r w:rsidR="00F06F56">
        <w:rPr>
          <w:rFonts w:cstheme="minorHAnsi"/>
          <w:b/>
          <w:bCs/>
          <w:sz w:val="18"/>
          <w:szCs w:val="18"/>
          <w:lang w:val="en-GB"/>
        </w:rPr>
        <w:t>B</w:t>
      </w:r>
    </w:p>
    <w:p w14:paraId="38141371" w14:textId="77777777" w:rsidR="009C4982" w:rsidRDefault="009C4982" w:rsidP="009C4982">
      <w:pPr>
        <w:autoSpaceDE w:val="0"/>
        <w:autoSpaceDN w:val="0"/>
        <w:adjustRightInd w:val="0"/>
        <w:spacing w:line="240" w:lineRule="auto"/>
        <w:rPr>
          <w:rFonts w:cstheme="minorHAnsi"/>
          <w:b/>
          <w:bCs/>
          <w:sz w:val="18"/>
          <w:szCs w:val="18"/>
          <w:lang w:val="en-GB"/>
        </w:rPr>
      </w:pPr>
    </w:p>
    <w:p w14:paraId="230BA60B" w14:textId="02361A73" w:rsidR="009C4982" w:rsidRPr="00AC01D9" w:rsidRDefault="00CA108E" w:rsidP="009C4982">
      <w:pPr>
        <w:autoSpaceDE w:val="0"/>
        <w:autoSpaceDN w:val="0"/>
        <w:adjustRightInd w:val="0"/>
        <w:spacing w:line="240" w:lineRule="auto"/>
        <w:rPr>
          <w:rFonts w:cstheme="minorHAnsi"/>
          <w:b/>
          <w:bCs/>
          <w:sz w:val="18"/>
          <w:szCs w:val="18"/>
          <w:lang w:val="en-GB"/>
        </w:rPr>
      </w:pPr>
      <w:r w:rsidRPr="00CA108E">
        <w:rPr>
          <w:noProof/>
        </w:rPr>
        <w:drawing>
          <wp:inline distT="0" distB="0" distL="0" distR="0" wp14:anchorId="3474C5EA" wp14:editId="0FAAFBF0">
            <wp:extent cx="6120130" cy="2005965"/>
            <wp:effectExtent l="0" t="0" r="0" b="0"/>
            <wp:docPr id="993665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2005965"/>
                    </a:xfrm>
                    <a:prstGeom prst="rect">
                      <a:avLst/>
                    </a:prstGeom>
                    <a:noFill/>
                    <a:ln>
                      <a:noFill/>
                    </a:ln>
                  </pic:spPr>
                </pic:pic>
              </a:graphicData>
            </a:graphic>
          </wp:inline>
        </w:drawing>
      </w:r>
    </w:p>
    <w:p w14:paraId="79CCBF15" w14:textId="77777777" w:rsidR="00F06F56" w:rsidRDefault="00F06F56" w:rsidP="009C4982">
      <w:pPr>
        <w:autoSpaceDE w:val="0"/>
        <w:autoSpaceDN w:val="0"/>
        <w:adjustRightInd w:val="0"/>
        <w:spacing w:after="0" w:line="240" w:lineRule="auto"/>
        <w:rPr>
          <w:rFonts w:cstheme="minorHAnsi"/>
          <w:b/>
          <w:bCs/>
          <w:sz w:val="18"/>
          <w:szCs w:val="18"/>
          <w:lang w:val="en-GB"/>
        </w:rPr>
      </w:pPr>
    </w:p>
    <w:p w14:paraId="10EDAA19" w14:textId="04FD059B" w:rsidR="009C4982" w:rsidRPr="00AC01D9" w:rsidRDefault="009C4982" w:rsidP="009C4982">
      <w:pPr>
        <w:autoSpaceDE w:val="0"/>
        <w:autoSpaceDN w:val="0"/>
        <w:adjustRightInd w:val="0"/>
        <w:spacing w:after="0" w:line="240" w:lineRule="auto"/>
        <w:rPr>
          <w:rFonts w:cstheme="minorHAnsi"/>
          <w:b/>
          <w:bCs/>
          <w:sz w:val="18"/>
          <w:szCs w:val="18"/>
          <w:lang w:val="en-GB"/>
        </w:rPr>
      </w:pPr>
      <w:r w:rsidRPr="00AC01D9">
        <w:rPr>
          <w:rFonts w:cstheme="minorHAnsi"/>
          <w:b/>
          <w:bCs/>
          <w:sz w:val="18"/>
          <w:szCs w:val="18"/>
          <w:lang w:val="en-GB"/>
        </w:rPr>
        <w:t>A</w:t>
      </w:r>
      <w:r w:rsidR="00D76215">
        <w:rPr>
          <w:rFonts w:cstheme="minorHAnsi"/>
          <w:b/>
          <w:bCs/>
          <w:sz w:val="18"/>
          <w:szCs w:val="18"/>
          <w:lang w:val="en-GB"/>
        </w:rPr>
        <w:t>V</w:t>
      </w:r>
      <w:r w:rsidRPr="00AC01D9">
        <w:rPr>
          <w:rFonts w:cstheme="minorHAnsi"/>
          <w:b/>
          <w:bCs/>
          <w:sz w:val="18"/>
          <w:szCs w:val="18"/>
          <w:lang w:val="en-GB"/>
        </w:rPr>
        <w:t>D9-PX3</w:t>
      </w:r>
    </w:p>
    <w:p w14:paraId="78F8DA0C" w14:textId="4B596F7A" w:rsidR="009C4982" w:rsidRDefault="009C4982" w:rsidP="000D73A9">
      <w:pPr>
        <w:autoSpaceDE w:val="0"/>
        <w:autoSpaceDN w:val="0"/>
        <w:adjustRightInd w:val="0"/>
        <w:spacing w:after="0" w:line="240" w:lineRule="auto"/>
        <w:rPr>
          <w:rFonts w:cstheme="minorHAnsi"/>
          <w:b/>
          <w:bCs/>
          <w:sz w:val="18"/>
          <w:szCs w:val="18"/>
          <w:lang w:val="en-GB"/>
        </w:rPr>
      </w:pPr>
      <w:r w:rsidRPr="00AC01D9">
        <w:rPr>
          <w:rFonts w:cstheme="minorHAnsi"/>
          <w:b/>
          <w:bCs/>
          <w:sz w:val="18"/>
          <w:szCs w:val="18"/>
          <w:lang w:val="en-GB"/>
        </w:rPr>
        <w:t>Crystal Type: NZ-B</w:t>
      </w:r>
    </w:p>
    <w:p w14:paraId="14298820" w14:textId="77777777" w:rsidR="000D73A9" w:rsidRDefault="000D73A9" w:rsidP="000D73A9">
      <w:pPr>
        <w:autoSpaceDE w:val="0"/>
        <w:autoSpaceDN w:val="0"/>
        <w:adjustRightInd w:val="0"/>
        <w:spacing w:after="0" w:line="240" w:lineRule="auto"/>
        <w:rPr>
          <w:rFonts w:cstheme="minorHAnsi"/>
          <w:b/>
          <w:bCs/>
          <w:sz w:val="18"/>
          <w:szCs w:val="18"/>
          <w:lang w:val="en-GB"/>
        </w:rPr>
      </w:pPr>
    </w:p>
    <w:p w14:paraId="0398E1B3" w14:textId="7E9B7654" w:rsidR="009C4982" w:rsidRPr="00AC01D9" w:rsidRDefault="000D73A9" w:rsidP="009C4982">
      <w:pPr>
        <w:autoSpaceDE w:val="0"/>
        <w:autoSpaceDN w:val="0"/>
        <w:adjustRightInd w:val="0"/>
        <w:spacing w:line="240" w:lineRule="auto"/>
        <w:rPr>
          <w:rFonts w:cstheme="minorHAnsi"/>
          <w:b/>
          <w:bCs/>
          <w:sz w:val="18"/>
          <w:szCs w:val="18"/>
          <w:lang w:val="en-GB"/>
        </w:rPr>
      </w:pPr>
      <w:r w:rsidRPr="000D73A9">
        <w:rPr>
          <w:noProof/>
        </w:rPr>
        <w:drawing>
          <wp:inline distT="0" distB="0" distL="0" distR="0" wp14:anchorId="553B9C79" wp14:editId="74751953">
            <wp:extent cx="6120130" cy="1555115"/>
            <wp:effectExtent l="0" t="0" r="0" b="6985"/>
            <wp:docPr id="7016900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1555115"/>
                    </a:xfrm>
                    <a:prstGeom prst="rect">
                      <a:avLst/>
                    </a:prstGeom>
                    <a:noFill/>
                    <a:ln>
                      <a:noFill/>
                    </a:ln>
                  </pic:spPr>
                </pic:pic>
              </a:graphicData>
            </a:graphic>
          </wp:inline>
        </w:drawing>
      </w:r>
    </w:p>
    <w:p w14:paraId="1B17424F" w14:textId="7DEF210D" w:rsidR="009C4982" w:rsidRPr="00AC01D9" w:rsidRDefault="00F06F56"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AV</w:t>
      </w:r>
      <w:r w:rsidR="009C4982" w:rsidRPr="006A7205">
        <w:rPr>
          <w:rFonts w:cstheme="minorHAnsi"/>
          <w:b/>
          <w:bCs/>
          <w:sz w:val="18"/>
          <w:szCs w:val="18"/>
          <w:lang w:val="en-GB"/>
        </w:rPr>
        <w:t>D9-PX4</w:t>
      </w:r>
    </w:p>
    <w:p w14:paraId="66577F9A" w14:textId="77777777" w:rsidR="009C4982" w:rsidRDefault="009C4982" w:rsidP="009C4982">
      <w:pPr>
        <w:autoSpaceDE w:val="0"/>
        <w:autoSpaceDN w:val="0"/>
        <w:adjustRightInd w:val="0"/>
        <w:spacing w:after="0" w:line="240" w:lineRule="auto"/>
        <w:rPr>
          <w:rFonts w:cstheme="minorHAnsi"/>
          <w:b/>
          <w:bCs/>
          <w:sz w:val="18"/>
          <w:szCs w:val="18"/>
          <w:lang w:val="en-GB"/>
        </w:rPr>
      </w:pPr>
      <w:r w:rsidRPr="00AC01D9">
        <w:rPr>
          <w:rFonts w:cstheme="minorHAnsi"/>
          <w:b/>
          <w:bCs/>
          <w:sz w:val="18"/>
          <w:szCs w:val="18"/>
          <w:lang w:val="en-GB"/>
        </w:rPr>
        <w:t>Crystal Type: RZ-A</w:t>
      </w:r>
    </w:p>
    <w:p w14:paraId="45C72BE9" w14:textId="77777777" w:rsidR="009C4982" w:rsidRDefault="009C4982" w:rsidP="009C4982">
      <w:pPr>
        <w:autoSpaceDE w:val="0"/>
        <w:autoSpaceDN w:val="0"/>
        <w:adjustRightInd w:val="0"/>
        <w:spacing w:line="240" w:lineRule="auto"/>
        <w:rPr>
          <w:rFonts w:cstheme="minorHAnsi"/>
          <w:b/>
          <w:bCs/>
          <w:sz w:val="18"/>
          <w:szCs w:val="18"/>
          <w:lang w:val="en-GB"/>
        </w:rPr>
      </w:pPr>
    </w:p>
    <w:p w14:paraId="23C200EE" w14:textId="2A34BA72" w:rsidR="009C4982" w:rsidRDefault="000D73A9" w:rsidP="009C4982">
      <w:pPr>
        <w:autoSpaceDE w:val="0"/>
        <w:autoSpaceDN w:val="0"/>
        <w:adjustRightInd w:val="0"/>
        <w:spacing w:line="240" w:lineRule="auto"/>
        <w:rPr>
          <w:rFonts w:cstheme="minorHAnsi"/>
          <w:b/>
          <w:bCs/>
          <w:sz w:val="18"/>
          <w:szCs w:val="18"/>
          <w:lang w:val="en-GB"/>
        </w:rPr>
      </w:pPr>
      <w:r w:rsidRPr="000D73A9">
        <w:rPr>
          <w:noProof/>
        </w:rPr>
        <w:drawing>
          <wp:inline distT="0" distB="0" distL="0" distR="0" wp14:anchorId="4B94F3A7" wp14:editId="65051072">
            <wp:extent cx="6120130" cy="1010285"/>
            <wp:effectExtent l="0" t="0" r="0" b="0"/>
            <wp:docPr id="7997476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1010285"/>
                    </a:xfrm>
                    <a:prstGeom prst="rect">
                      <a:avLst/>
                    </a:prstGeom>
                    <a:noFill/>
                    <a:ln>
                      <a:noFill/>
                    </a:ln>
                  </pic:spPr>
                </pic:pic>
              </a:graphicData>
            </a:graphic>
          </wp:inline>
        </w:drawing>
      </w:r>
    </w:p>
    <w:p w14:paraId="64AA6D85" w14:textId="118BDBE8" w:rsidR="009C4982" w:rsidRPr="00AC01D9" w:rsidRDefault="009C4982" w:rsidP="009C4982">
      <w:pPr>
        <w:autoSpaceDE w:val="0"/>
        <w:autoSpaceDN w:val="0"/>
        <w:adjustRightInd w:val="0"/>
        <w:spacing w:after="0" w:line="240" w:lineRule="auto"/>
        <w:rPr>
          <w:rFonts w:cstheme="minorHAnsi"/>
          <w:b/>
          <w:bCs/>
          <w:sz w:val="18"/>
          <w:szCs w:val="18"/>
          <w:lang w:val="en-GB"/>
        </w:rPr>
      </w:pPr>
      <w:r w:rsidRPr="00AC01D9">
        <w:rPr>
          <w:rFonts w:cstheme="minorHAnsi"/>
          <w:b/>
          <w:bCs/>
          <w:sz w:val="18"/>
          <w:szCs w:val="18"/>
          <w:lang w:val="en-GB"/>
        </w:rPr>
        <w:lastRenderedPageBreak/>
        <w:t>A</w:t>
      </w:r>
      <w:r w:rsidR="00D76215">
        <w:rPr>
          <w:rFonts w:cstheme="minorHAnsi"/>
          <w:b/>
          <w:bCs/>
          <w:sz w:val="18"/>
          <w:szCs w:val="18"/>
          <w:lang w:val="en-GB"/>
        </w:rPr>
        <w:t>V</w:t>
      </w:r>
      <w:r w:rsidRPr="00AC01D9">
        <w:rPr>
          <w:rFonts w:cstheme="minorHAnsi"/>
          <w:b/>
          <w:bCs/>
          <w:sz w:val="18"/>
          <w:szCs w:val="18"/>
          <w:lang w:val="en-GB"/>
        </w:rPr>
        <w:t>D9-PX6</w:t>
      </w:r>
    </w:p>
    <w:p w14:paraId="793876F5" w14:textId="77777777" w:rsidR="009C4982" w:rsidRDefault="009C4982" w:rsidP="009C4982">
      <w:pPr>
        <w:autoSpaceDE w:val="0"/>
        <w:autoSpaceDN w:val="0"/>
        <w:adjustRightInd w:val="0"/>
        <w:spacing w:after="0" w:line="240" w:lineRule="auto"/>
        <w:rPr>
          <w:rFonts w:cstheme="minorHAnsi"/>
          <w:b/>
          <w:bCs/>
          <w:sz w:val="18"/>
          <w:szCs w:val="18"/>
          <w:lang w:val="en-GB"/>
        </w:rPr>
      </w:pPr>
      <w:r w:rsidRPr="00AC01D9">
        <w:rPr>
          <w:rFonts w:cstheme="minorHAnsi"/>
          <w:b/>
          <w:bCs/>
          <w:sz w:val="18"/>
          <w:szCs w:val="18"/>
          <w:lang w:val="en-GB"/>
        </w:rPr>
        <w:t>Crystal Type: NZ-B</w:t>
      </w:r>
    </w:p>
    <w:p w14:paraId="06388793" w14:textId="77777777" w:rsidR="009C4982" w:rsidRDefault="009C4982" w:rsidP="009C4982">
      <w:pPr>
        <w:autoSpaceDE w:val="0"/>
        <w:autoSpaceDN w:val="0"/>
        <w:adjustRightInd w:val="0"/>
        <w:spacing w:line="240" w:lineRule="auto"/>
        <w:rPr>
          <w:rFonts w:cstheme="minorHAnsi"/>
          <w:b/>
          <w:bCs/>
          <w:sz w:val="18"/>
          <w:szCs w:val="18"/>
          <w:lang w:val="en-GB"/>
        </w:rPr>
      </w:pPr>
    </w:p>
    <w:p w14:paraId="64D6B509" w14:textId="392A270C" w:rsidR="009C4982" w:rsidRDefault="00CD206F" w:rsidP="009C4982">
      <w:pPr>
        <w:autoSpaceDE w:val="0"/>
        <w:autoSpaceDN w:val="0"/>
        <w:adjustRightInd w:val="0"/>
        <w:spacing w:line="240" w:lineRule="auto"/>
        <w:rPr>
          <w:rFonts w:cstheme="minorHAnsi"/>
          <w:b/>
          <w:bCs/>
          <w:sz w:val="18"/>
          <w:szCs w:val="18"/>
          <w:lang w:val="en-GB"/>
        </w:rPr>
      </w:pPr>
      <w:r w:rsidRPr="00CD206F">
        <w:rPr>
          <w:noProof/>
        </w:rPr>
        <w:drawing>
          <wp:inline distT="0" distB="0" distL="0" distR="0" wp14:anchorId="036AFB48" wp14:editId="75F94B09">
            <wp:extent cx="6120130" cy="1010285"/>
            <wp:effectExtent l="0" t="0" r="0" b="0"/>
            <wp:docPr id="5836801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1010285"/>
                    </a:xfrm>
                    <a:prstGeom prst="rect">
                      <a:avLst/>
                    </a:prstGeom>
                    <a:noFill/>
                    <a:ln>
                      <a:noFill/>
                    </a:ln>
                  </pic:spPr>
                </pic:pic>
              </a:graphicData>
            </a:graphic>
          </wp:inline>
        </w:drawing>
      </w:r>
    </w:p>
    <w:p w14:paraId="7C558A6A" w14:textId="77777777" w:rsidR="006A7205" w:rsidRDefault="006A7205" w:rsidP="009C4982">
      <w:pPr>
        <w:autoSpaceDE w:val="0"/>
        <w:autoSpaceDN w:val="0"/>
        <w:adjustRightInd w:val="0"/>
        <w:spacing w:after="0" w:line="240" w:lineRule="auto"/>
        <w:rPr>
          <w:rFonts w:cstheme="minorHAnsi"/>
          <w:b/>
          <w:bCs/>
          <w:sz w:val="18"/>
          <w:szCs w:val="18"/>
          <w:lang w:val="en-GB"/>
        </w:rPr>
      </w:pPr>
    </w:p>
    <w:p w14:paraId="3C244BA0" w14:textId="712039C7" w:rsidR="009C4982" w:rsidRPr="00242DE9" w:rsidRDefault="009C4982" w:rsidP="009C4982">
      <w:pPr>
        <w:autoSpaceDE w:val="0"/>
        <w:autoSpaceDN w:val="0"/>
        <w:adjustRightInd w:val="0"/>
        <w:spacing w:after="0" w:line="240" w:lineRule="auto"/>
        <w:rPr>
          <w:rFonts w:cstheme="minorHAnsi"/>
          <w:b/>
          <w:bCs/>
          <w:sz w:val="18"/>
          <w:szCs w:val="18"/>
          <w:lang w:val="en-GB"/>
        </w:rPr>
      </w:pPr>
      <w:r w:rsidRPr="00242DE9">
        <w:rPr>
          <w:rFonts w:cstheme="minorHAnsi"/>
          <w:b/>
          <w:bCs/>
          <w:sz w:val="18"/>
          <w:szCs w:val="18"/>
          <w:lang w:val="en-GB"/>
        </w:rPr>
        <w:t>A</w:t>
      </w:r>
      <w:r w:rsidR="00D76215">
        <w:rPr>
          <w:rFonts w:cstheme="minorHAnsi"/>
          <w:b/>
          <w:bCs/>
          <w:sz w:val="18"/>
          <w:szCs w:val="18"/>
          <w:lang w:val="en-GB"/>
        </w:rPr>
        <w:t>V</w:t>
      </w:r>
      <w:r w:rsidRPr="00242DE9">
        <w:rPr>
          <w:rFonts w:cstheme="minorHAnsi"/>
          <w:b/>
          <w:bCs/>
          <w:sz w:val="18"/>
          <w:szCs w:val="18"/>
          <w:lang w:val="en-GB"/>
        </w:rPr>
        <w:t>D9-PX7</w:t>
      </w:r>
    </w:p>
    <w:p w14:paraId="57761224" w14:textId="77777777" w:rsidR="009C4982" w:rsidRDefault="009C4982" w:rsidP="009C4982">
      <w:pPr>
        <w:autoSpaceDE w:val="0"/>
        <w:autoSpaceDN w:val="0"/>
        <w:adjustRightInd w:val="0"/>
        <w:spacing w:after="0" w:line="240" w:lineRule="auto"/>
        <w:rPr>
          <w:rFonts w:cstheme="minorHAnsi"/>
          <w:b/>
          <w:bCs/>
          <w:sz w:val="18"/>
          <w:szCs w:val="18"/>
          <w:lang w:val="en-GB"/>
        </w:rPr>
      </w:pPr>
      <w:r w:rsidRPr="00242DE9">
        <w:rPr>
          <w:rFonts w:cstheme="minorHAnsi"/>
          <w:b/>
          <w:bCs/>
          <w:sz w:val="18"/>
          <w:szCs w:val="18"/>
          <w:lang w:val="en-GB"/>
        </w:rPr>
        <w:t>Crystal Type: NZ-B</w:t>
      </w:r>
    </w:p>
    <w:p w14:paraId="67A2C0D3" w14:textId="77777777" w:rsidR="009C4982" w:rsidRDefault="009C4982" w:rsidP="009C4982">
      <w:pPr>
        <w:autoSpaceDE w:val="0"/>
        <w:autoSpaceDN w:val="0"/>
        <w:adjustRightInd w:val="0"/>
        <w:spacing w:line="240" w:lineRule="auto"/>
        <w:rPr>
          <w:rFonts w:cstheme="minorHAnsi"/>
          <w:b/>
          <w:bCs/>
          <w:sz w:val="18"/>
          <w:szCs w:val="18"/>
          <w:lang w:val="en-GB"/>
        </w:rPr>
      </w:pPr>
    </w:p>
    <w:p w14:paraId="781A1109" w14:textId="704AD178" w:rsidR="00F06F56" w:rsidRDefault="00E1369C" w:rsidP="006A7205">
      <w:pPr>
        <w:autoSpaceDE w:val="0"/>
        <w:autoSpaceDN w:val="0"/>
        <w:adjustRightInd w:val="0"/>
        <w:spacing w:line="240" w:lineRule="auto"/>
        <w:rPr>
          <w:rFonts w:cstheme="minorHAnsi"/>
          <w:b/>
          <w:bCs/>
          <w:sz w:val="18"/>
          <w:szCs w:val="18"/>
          <w:lang w:val="en-GB"/>
        </w:rPr>
      </w:pPr>
      <w:r w:rsidRPr="00E1369C">
        <w:rPr>
          <w:noProof/>
        </w:rPr>
        <w:drawing>
          <wp:inline distT="0" distB="0" distL="0" distR="0" wp14:anchorId="61A16667" wp14:editId="44662969">
            <wp:extent cx="6120130" cy="1826895"/>
            <wp:effectExtent l="0" t="0" r="0" b="1905"/>
            <wp:docPr id="7044480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1826895"/>
                    </a:xfrm>
                    <a:prstGeom prst="rect">
                      <a:avLst/>
                    </a:prstGeom>
                    <a:noFill/>
                    <a:ln>
                      <a:noFill/>
                    </a:ln>
                  </pic:spPr>
                </pic:pic>
              </a:graphicData>
            </a:graphic>
          </wp:inline>
        </w:drawing>
      </w:r>
    </w:p>
    <w:p w14:paraId="0A1607B5" w14:textId="727E734C"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A</w:t>
      </w:r>
      <w:r w:rsidR="00D76215" w:rsidRPr="006A7205">
        <w:rPr>
          <w:rFonts w:cstheme="minorHAnsi"/>
          <w:b/>
          <w:bCs/>
          <w:sz w:val="18"/>
          <w:szCs w:val="18"/>
          <w:lang w:val="en-GB"/>
        </w:rPr>
        <w:t>V</w:t>
      </w:r>
      <w:r w:rsidRPr="006A7205">
        <w:rPr>
          <w:rFonts w:cstheme="minorHAnsi"/>
          <w:b/>
          <w:bCs/>
          <w:sz w:val="18"/>
          <w:szCs w:val="18"/>
          <w:lang w:val="en-GB"/>
        </w:rPr>
        <w:t>D9-PX8</w:t>
      </w:r>
    </w:p>
    <w:p w14:paraId="0A3250AC" w14:textId="77777777"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Crystal Type: NZ-A</w:t>
      </w:r>
    </w:p>
    <w:p w14:paraId="474D8683" w14:textId="77777777" w:rsidR="009C4982" w:rsidRPr="006A7205" w:rsidRDefault="009C4982" w:rsidP="009C4982">
      <w:pPr>
        <w:autoSpaceDE w:val="0"/>
        <w:autoSpaceDN w:val="0"/>
        <w:adjustRightInd w:val="0"/>
        <w:spacing w:line="240" w:lineRule="auto"/>
        <w:rPr>
          <w:rFonts w:cstheme="minorHAnsi"/>
          <w:b/>
          <w:bCs/>
          <w:sz w:val="18"/>
          <w:szCs w:val="18"/>
          <w:lang w:val="en-GB"/>
        </w:rPr>
      </w:pPr>
    </w:p>
    <w:p w14:paraId="7484B413" w14:textId="583E5B08" w:rsidR="009C4982" w:rsidRPr="006A7205" w:rsidRDefault="006B5B07" w:rsidP="009C4982">
      <w:pPr>
        <w:autoSpaceDE w:val="0"/>
        <w:autoSpaceDN w:val="0"/>
        <w:adjustRightInd w:val="0"/>
        <w:spacing w:line="240" w:lineRule="auto"/>
        <w:rPr>
          <w:rFonts w:cstheme="minorHAnsi"/>
          <w:b/>
          <w:bCs/>
          <w:sz w:val="18"/>
          <w:szCs w:val="18"/>
          <w:lang w:val="en-GB"/>
        </w:rPr>
      </w:pPr>
      <w:r w:rsidRPr="006B5B07">
        <w:rPr>
          <w:noProof/>
        </w:rPr>
        <w:drawing>
          <wp:inline distT="0" distB="0" distL="0" distR="0" wp14:anchorId="371907A2" wp14:editId="452C2DD0">
            <wp:extent cx="6120130" cy="1555115"/>
            <wp:effectExtent l="0" t="0" r="0" b="6985"/>
            <wp:docPr id="16134938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1555115"/>
                    </a:xfrm>
                    <a:prstGeom prst="rect">
                      <a:avLst/>
                    </a:prstGeom>
                    <a:noFill/>
                    <a:ln>
                      <a:noFill/>
                    </a:ln>
                  </pic:spPr>
                </pic:pic>
              </a:graphicData>
            </a:graphic>
          </wp:inline>
        </w:drawing>
      </w:r>
    </w:p>
    <w:p w14:paraId="21FD37B6" w14:textId="709FB930" w:rsidR="009C4982" w:rsidRPr="006A7205"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A</w:t>
      </w:r>
      <w:r w:rsidR="00D76215" w:rsidRPr="006A7205">
        <w:rPr>
          <w:rFonts w:cstheme="minorHAnsi"/>
          <w:b/>
          <w:bCs/>
          <w:sz w:val="18"/>
          <w:szCs w:val="18"/>
          <w:lang w:val="en-GB"/>
        </w:rPr>
        <w:t>V</w:t>
      </w:r>
      <w:r w:rsidRPr="006A7205">
        <w:rPr>
          <w:rFonts w:cstheme="minorHAnsi"/>
          <w:b/>
          <w:bCs/>
          <w:sz w:val="18"/>
          <w:szCs w:val="18"/>
          <w:lang w:val="en-GB"/>
        </w:rPr>
        <w:t>D9-PX9</w:t>
      </w:r>
    </w:p>
    <w:p w14:paraId="0A4F0FDF" w14:textId="77777777" w:rsidR="009C4982" w:rsidRDefault="009C4982" w:rsidP="009C4982">
      <w:pPr>
        <w:autoSpaceDE w:val="0"/>
        <w:autoSpaceDN w:val="0"/>
        <w:adjustRightInd w:val="0"/>
        <w:spacing w:after="0" w:line="240" w:lineRule="auto"/>
        <w:rPr>
          <w:rFonts w:cstheme="minorHAnsi"/>
          <w:b/>
          <w:bCs/>
          <w:sz w:val="18"/>
          <w:szCs w:val="18"/>
          <w:lang w:val="en-GB"/>
        </w:rPr>
      </w:pPr>
      <w:r w:rsidRPr="006A7205">
        <w:rPr>
          <w:rFonts w:cstheme="minorHAnsi"/>
          <w:b/>
          <w:bCs/>
          <w:sz w:val="18"/>
          <w:szCs w:val="18"/>
          <w:lang w:val="en-GB"/>
        </w:rPr>
        <w:t>Crystal Type: RZ-B</w:t>
      </w:r>
    </w:p>
    <w:p w14:paraId="16208DD2" w14:textId="77777777" w:rsidR="009C4982" w:rsidRDefault="009C4982" w:rsidP="009C4982">
      <w:pPr>
        <w:autoSpaceDE w:val="0"/>
        <w:autoSpaceDN w:val="0"/>
        <w:adjustRightInd w:val="0"/>
        <w:spacing w:line="240" w:lineRule="auto"/>
        <w:rPr>
          <w:rFonts w:cstheme="minorHAnsi"/>
          <w:b/>
          <w:bCs/>
          <w:sz w:val="18"/>
          <w:szCs w:val="18"/>
          <w:lang w:val="en-GB"/>
        </w:rPr>
      </w:pPr>
    </w:p>
    <w:p w14:paraId="5AE5611B" w14:textId="7CF808F3" w:rsidR="009C4982" w:rsidRDefault="006B5B07" w:rsidP="009C4982">
      <w:pPr>
        <w:autoSpaceDE w:val="0"/>
        <w:autoSpaceDN w:val="0"/>
        <w:adjustRightInd w:val="0"/>
        <w:spacing w:line="240" w:lineRule="auto"/>
        <w:rPr>
          <w:rFonts w:cstheme="minorHAnsi"/>
          <w:b/>
          <w:bCs/>
          <w:sz w:val="18"/>
          <w:szCs w:val="18"/>
          <w:lang w:val="en-GB"/>
        </w:rPr>
      </w:pPr>
      <w:r w:rsidRPr="006B5B07">
        <w:rPr>
          <w:noProof/>
        </w:rPr>
        <w:drawing>
          <wp:inline distT="0" distB="0" distL="0" distR="0" wp14:anchorId="13A91CCD" wp14:editId="33D8D16C">
            <wp:extent cx="6120130" cy="1010285"/>
            <wp:effectExtent l="0" t="0" r="0" b="0"/>
            <wp:docPr id="15528377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1010285"/>
                    </a:xfrm>
                    <a:prstGeom prst="rect">
                      <a:avLst/>
                    </a:prstGeom>
                    <a:noFill/>
                    <a:ln>
                      <a:noFill/>
                    </a:ln>
                  </pic:spPr>
                </pic:pic>
              </a:graphicData>
            </a:graphic>
          </wp:inline>
        </w:drawing>
      </w:r>
    </w:p>
    <w:p w14:paraId="6115C0AB" w14:textId="77777777" w:rsidR="00BC6D86" w:rsidRDefault="00BC6D86" w:rsidP="00BC6D86">
      <w:pPr>
        <w:rPr>
          <w:rFonts w:cstheme="minorHAnsi"/>
          <w:b/>
          <w:bCs/>
          <w:sz w:val="20"/>
          <w:szCs w:val="20"/>
          <w:lang w:val="en-GB"/>
        </w:rPr>
      </w:pPr>
    </w:p>
    <w:p w14:paraId="379C1C8A" w14:textId="77777777" w:rsidR="00BC6D86" w:rsidRDefault="00BC6D86" w:rsidP="00BC6D86">
      <w:pPr>
        <w:rPr>
          <w:rFonts w:cstheme="minorHAnsi"/>
          <w:b/>
          <w:bCs/>
          <w:sz w:val="20"/>
          <w:szCs w:val="20"/>
          <w:lang w:val="en-GB"/>
        </w:rPr>
      </w:pPr>
    </w:p>
    <w:p w14:paraId="3D43B92A" w14:textId="77777777" w:rsidR="00BC6D86" w:rsidRDefault="00BC6D86" w:rsidP="00BC6D86">
      <w:pPr>
        <w:rPr>
          <w:rFonts w:cstheme="minorHAnsi"/>
          <w:b/>
          <w:bCs/>
          <w:sz w:val="20"/>
          <w:szCs w:val="20"/>
          <w:lang w:val="en-GB"/>
        </w:rPr>
      </w:pPr>
    </w:p>
    <w:p w14:paraId="5367DB7F" w14:textId="77777777" w:rsidR="007E66BC" w:rsidRDefault="007E66BC" w:rsidP="00BC6D86">
      <w:pPr>
        <w:rPr>
          <w:rFonts w:cstheme="minorHAnsi"/>
          <w:b/>
          <w:bCs/>
          <w:sz w:val="20"/>
          <w:szCs w:val="20"/>
          <w:lang w:val="en-GB"/>
        </w:rPr>
      </w:pPr>
    </w:p>
    <w:p w14:paraId="1FF2D662" w14:textId="4C815B8E" w:rsidR="00D76215" w:rsidRDefault="00BC6D86" w:rsidP="00BC6D86">
      <w:pPr>
        <w:rPr>
          <w:rFonts w:cstheme="minorHAnsi"/>
          <w:sz w:val="20"/>
          <w:szCs w:val="20"/>
          <w:lang w:val="en-GB"/>
        </w:rPr>
      </w:pPr>
      <w:r>
        <w:rPr>
          <w:rFonts w:cstheme="minorHAnsi"/>
          <w:b/>
          <w:bCs/>
          <w:sz w:val="20"/>
          <w:szCs w:val="20"/>
          <w:lang w:val="en-GB"/>
        </w:rPr>
        <w:lastRenderedPageBreak/>
        <w:t xml:space="preserve">Table S17. </w:t>
      </w:r>
      <w:r w:rsidRPr="00807B49">
        <w:rPr>
          <w:rFonts w:cstheme="minorHAnsi"/>
          <w:sz w:val="20"/>
          <w:szCs w:val="20"/>
          <w:lang w:val="en-GB"/>
        </w:rPr>
        <w:t>Timescale estimates from diffusion chronometry using the NIDIS model (Petrone et al., 2016).</w:t>
      </w:r>
    </w:p>
    <w:p w14:paraId="426455E4" w14:textId="77777777" w:rsidR="004A35CD" w:rsidRDefault="004A35CD" w:rsidP="00BC6D86">
      <w:pPr>
        <w:rPr>
          <w:rFonts w:cstheme="minorHAnsi"/>
          <w:sz w:val="20"/>
          <w:szCs w:val="20"/>
          <w:lang w:val="en-GB"/>
        </w:rPr>
      </w:pPr>
    </w:p>
    <w:p w14:paraId="1249BA98" w14:textId="66F306AD" w:rsidR="004A35CD" w:rsidRPr="00BC6D86" w:rsidRDefault="004A35CD" w:rsidP="00BC6D86">
      <w:pPr>
        <w:rPr>
          <w:rFonts w:cstheme="minorHAnsi"/>
          <w:sz w:val="20"/>
          <w:szCs w:val="20"/>
          <w:lang w:val="en-GB"/>
        </w:rPr>
      </w:pPr>
      <w:r w:rsidRPr="004A35CD">
        <w:rPr>
          <w:noProof/>
        </w:rPr>
        <w:drawing>
          <wp:inline distT="0" distB="0" distL="0" distR="0" wp14:anchorId="4C08DC9F" wp14:editId="02E25C1D">
            <wp:extent cx="6120130" cy="5390515"/>
            <wp:effectExtent l="0" t="0" r="0" b="635"/>
            <wp:docPr id="1447268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5390515"/>
                    </a:xfrm>
                    <a:prstGeom prst="rect">
                      <a:avLst/>
                    </a:prstGeom>
                    <a:noFill/>
                    <a:ln>
                      <a:noFill/>
                    </a:ln>
                  </pic:spPr>
                </pic:pic>
              </a:graphicData>
            </a:graphic>
          </wp:inline>
        </w:drawing>
      </w:r>
    </w:p>
    <w:p w14:paraId="5A74D1AD" w14:textId="21785851" w:rsidR="00BC6D86" w:rsidRPr="00807B49" w:rsidRDefault="00BC6D86" w:rsidP="00BC6D86">
      <w:pPr>
        <w:autoSpaceDE w:val="0"/>
        <w:autoSpaceDN w:val="0"/>
        <w:adjustRightInd w:val="0"/>
        <w:spacing w:after="0" w:line="276" w:lineRule="auto"/>
        <w:rPr>
          <w:lang w:val="en-GB"/>
        </w:rPr>
      </w:pPr>
      <w:r>
        <w:rPr>
          <w:rFonts w:cstheme="minorHAnsi"/>
          <w:sz w:val="20"/>
          <w:szCs w:val="20"/>
          <w:lang w:val="en-GB"/>
        </w:rPr>
        <w:fldChar w:fldCharType="begin"/>
      </w:r>
      <w:r>
        <w:rPr>
          <w:rFonts w:cstheme="minorHAnsi"/>
          <w:sz w:val="20"/>
          <w:szCs w:val="20"/>
          <w:lang w:val="en-GB"/>
        </w:rPr>
        <w:instrText xml:space="preserve"> LINK </w:instrText>
      </w:r>
      <w:r w:rsidR="003D0194">
        <w:rPr>
          <w:rFonts w:cstheme="minorHAnsi"/>
          <w:sz w:val="20"/>
          <w:szCs w:val="20"/>
          <w:lang w:val="en-GB"/>
        </w:rPr>
        <w:instrText xml:space="preserve">Excel.Sheet.12 "C:\\Users\\aless\\Desktop\\PhD\\AVELLINO\\Timescale\\Timescale Blocchi T1_SImpleExplan.xlsx" "Table  (4)!R3C1:R36C11" </w:instrText>
      </w:r>
      <w:r>
        <w:rPr>
          <w:rFonts w:cstheme="minorHAnsi"/>
          <w:sz w:val="20"/>
          <w:szCs w:val="20"/>
          <w:lang w:val="en-GB"/>
        </w:rPr>
        <w:instrText xml:space="preserve">\a \f 5 \h  \* MERGEFORMAT </w:instrText>
      </w:r>
      <w:r>
        <w:rPr>
          <w:rFonts w:cstheme="minorHAnsi"/>
          <w:sz w:val="20"/>
          <w:szCs w:val="20"/>
          <w:lang w:val="en-GB"/>
        </w:rPr>
        <w:fldChar w:fldCharType="separate"/>
      </w:r>
    </w:p>
    <w:p w14:paraId="2C836E9D" w14:textId="60203FC5" w:rsidR="00BC6D86" w:rsidRPr="00807B49" w:rsidRDefault="00BC6D86" w:rsidP="00BC6D86">
      <w:pPr>
        <w:autoSpaceDE w:val="0"/>
        <w:autoSpaceDN w:val="0"/>
        <w:adjustRightInd w:val="0"/>
        <w:spacing w:after="0" w:line="276" w:lineRule="auto"/>
        <w:rPr>
          <w:rFonts w:cstheme="minorHAnsi"/>
          <w:sz w:val="20"/>
          <w:szCs w:val="20"/>
          <w:lang w:val="en-GB"/>
        </w:rPr>
      </w:pPr>
      <w:r>
        <w:rPr>
          <w:rFonts w:cstheme="minorHAnsi"/>
          <w:sz w:val="20"/>
          <w:szCs w:val="20"/>
          <w:lang w:val="en-GB"/>
        </w:rPr>
        <w:fldChar w:fldCharType="end"/>
      </w:r>
      <w:r w:rsidR="00E65F3C">
        <w:rPr>
          <w:rFonts w:cstheme="minorHAnsi"/>
          <w:sz w:val="20"/>
          <w:szCs w:val="20"/>
          <w:lang w:val="en-GB"/>
        </w:rPr>
        <w:br w:type="textWrapping" w:clear="all"/>
      </w:r>
    </w:p>
    <w:p w14:paraId="0DDDFC9C" w14:textId="77777777" w:rsidR="00D76215" w:rsidRDefault="00D76215" w:rsidP="00995FDB">
      <w:pPr>
        <w:jc w:val="center"/>
        <w:rPr>
          <w:rFonts w:cstheme="minorHAnsi"/>
          <w:lang w:val="en-GB"/>
        </w:rPr>
      </w:pPr>
    </w:p>
    <w:p w14:paraId="359F7B52" w14:textId="77777777" w:rsidR="00D76215" w:rsidRDefault="00D76215" w:rsidP="00D76215">
      <w:pPr>
        <w:rPr>
          <w:rFonts w:cstheme="minorHAnsi"/>
          <w:lang w:val="en-GB"/>
        </w:rPr>
      </w:pPr>
    </w:p>
    <w:p w14:paraId="465BAF41" w14:textId="77777777" w:rsidR="00835B00" w:rsidRDefault="00835B00" w:rsidP="00D76215">
      <w:pPr>
        <w:rPr>
          <w:rFonts w:cstheme="minorHAnsi"/>
          <w:lang w:val="en-GB"/>
        </w:rPr>
      </w:pPr>
    </w:p>
    <w:p w14:paraId="4EA6F663" w14:textId="77777777" w:rsidR="00835B00" w:rsidRDefault="00835B00" w:rsidP="00D76215">
      <w:pPr>
        <w:rPr>
          <w:rFonts w:cstheme="minorHAnsi"/>
          <w:lang w:val="en-GB"/>
        </w:rPr>
      </w:pPr>
    </w:p>
    <w:p w14:paraId="1E3FD124" w14:textId="77777777" w:rsidR="00835B00" w:rsidRDefault="00835B00" w:rsidP="00D76215">
      <w:pPr>
        <w:rPr>
          <w:rFonts w:cstheme="minorHAnsi"/>
          <w:lang w:val="en-GB"/>
        </w:rPr>
      </w:pPr>
    </w:p>
    <w:p w14:paraId="6E8FD487" w14:textId="77777777" w:rsidR="00835B00" w:rsidRDefault="00835B00" w:rsidP="00D76215">
      <w:pPr>
        <w:rPr>
          <w:rFonts w:cstheme="minorHAnsi"/>
          <w:lang w:val="en-GB"/>
        </w:rPr>
      </w:pPr>
    </w:p>
    <w:p w14:paraId="0F05E984" w14:textId="77777777" w:rsidR="00835B00" w:rsidRDefault="00835B00" w:rsidP="00D76215">
      <w:pPr>
        <w:rPr>
          <w:rFonts w:cstheme="minorHAnsi"/>
          <w:lang w:val="en-GB"/>
        </w:rPr>
      </w:pPr>
    </w:p>
    <w:p w14:paraId="4A16B3A3" w14:textId="77777777" w:rsidR="00835B00" w:rsidRDefault="00835B00" w:rsidP="00D76215">
      <w:pPr>
        <w:rPr>
          <w:rFonts w:cstheme="minorHAnsi"/>
          <w:lang w:val="en-GB"/>
        </w:rPr>
      </w:pPr>
    </w:p>
    <w:p w14:paraId="7D67A65F" w14:textId="77777777" w:rsidR="00835B00" w:rsidRDefault="00835B00" w:rsidP="00D76215">
      <w:pPr>
        <w:rPr>
          <w:rFonts w:cstheme="minorHAnsi"/>
          <w:lang w:val="en-GB"/>
        </w:rPr>
      </w:pPr>
    </w:p>
    <w:p w14:paraId="36C02946" w14:textId="7DE04F53" w:rsidR="00835B00" w:rsidRPr="00835B00" w:rsidRDefault="00835B00" w:rsidP="00835B00">
      <w:pPr>
        <w:spacing w:line="276" w:lineRule="auto"/>
        <w:rPr>
          <w:lang w:val="en-GB"/>
        </w:rPr>
      </w:pPr>
      <w:r w:rsidRPr="00835B00">
        <w:rPr>
          <w:lang w:val="en-GB"/>
        </w:rPr>
        <w:lastRenderedPageBreak/>
        <w:t xml:space="preserve">References </w:t>
      </w:r>
    </w:p>
    <w:p w14:paraId="04FC3AC6" w14:textId="77777777" w:rsidR="00835B00" w:rsidRPr="00B705A0" w:rsidRDefault="00835B00" w:rsidP="00835B00">
      <w:pPr>
        <w:spacing w:line="360" w:lineRule="auto"/>
        <w:rPr>
          <w:color w:val="000000"/>
          <w:szCs w:val="24"/>
          <w:lang w:val="en-GB"/>
        </w:rPr>
      </w:pPr>
      <w:r w:rsidRPr="00835B00">
        <w:rPr>
          <w:color w:val="000000"/>
          <w:szCs w:val="24"/>
          <w:lang w:val="en-GB"/>
        </w:rPr>
        <w:t xml:space="preserve">Allan, A. S., Morgan, D. J., Wilson, C. J., &amp; Millet, M. A. (2013). From mush to eruption in centuries: assembly of the super-sized </w:t>
      </w:r>
      <w:proofErr w:type="spellStart"/>
      <w:r w:rsidRPr="00835B00">
        <w:rPr>
          <w:color w:val="000000"/>
          <w:szCs w:val="24"/>
          <w:lang w:val="en-GB"/>
        </w:rPr>
        <w:t>Oruanui</w:t>
      </w:r>
      <w:proofErr w:type="spellEnd"/>
      <w:r w:rsidRPr="00835B00">
        <w:rPr>
          <w:color w:val="000000"/>
          <w:szCs w:val="24"/>
          <w:lang w:val="en-GB"/>
        </w:rPr>
        <w:t xml:space="preserve"> magma body. </w:t>
      </w:r>
      <w:r w:rsidRPr="00B705A0">
        <w:rPr>
          <w:i/>
          <w:iCs/>
          <w:color w:val="000000"/>
          <w:szCs w:val="24"/>
          <w:lang w:val="en-GB"/>
        </w:rPr>
        <w:t>Contributions to Mineralogy and Petrology</w:t>
      </w:r>
      <w:r w:rsidRPr="00B705A0">
        <w:rPr>
          <w:color w:val="000000"/>
          <w:szCs w:val="24"/>
          <w:lang w:val="en-GB"/>
        </w:rPr>
        <w:t>, 166, 143-164.</w:t>
      </w:r>
    </w:p>
    <w:p w14:paraId="2B598A3D"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proofErr w:type="spellStart"/>
      <w:r w:rsidRPr="00835B00">
        <w:rPr>
          <w:color w:val="000000"/>
          <w:szCs w:val="24"/>
          <w:lang w:val="en-GB"/>
        </w:rPr>
        <w:t>Bardeglinu</w:t>
      </w:r>
      <w:proofErr w:type="spellEnd"/>
      <w:r w:rsidRPr="00835B00">
        <w:rPr>
          <w:color w:val="000000"/>
          <w:szCs w:val="24"/>
          <w:lang w:val="en-GB"/>
        </w:rPr>
        <w:t xml:space="preserve">, I., Cioni, R., &amp; </w:t>
      </w:r>
      <w:proofErr w:type="spellStart"/>
      <w:r w:rsidRPr="00835B00">
        <w:rPr>
          <w:color w:val="000000"/>
          <w:szCs w:val="24"/>
          <w:lang w:val="en-GB"/>
        </w:rPr>
        <w:t>Scaillet</w:t>
      </w:r>
      <w:proofErr w:type="spellEnd"/>
      <w:r w:rsidRPr="00835B00">
        <w:rPr>
          <w:color w:val="000000"/>
          <w:szCs w:val="24"/>
          <w:lang w:val="en-GB"/>
        </w:rPr>
        <w:t xml:space="preserve">, B. (2020). Experimental constraints on pre-eruption conditions of the 1631 Vesuvius eruption. </w:t>
      </w:r>
      <w:r w:rsidRPr="00835B00">
        <w:rPr>
          <w:i/>
          <w:iCs/>
          <w:color w:val="000000"/>
          <w:szCs w:val="24"/>
          <w:lang w:val="en-GB"/>
        </w:rPr>
        <w:t>Journal of Volcanology and Geothermal Research</w:t>
      </w:r>
      <w:r w:rsidRPr="00835B00">
        <w:rPr>
          <w:color w:val="000000"/>
          <w:szCs w:val="24"/>
          <w:lang w:val="en-GB"/>
        </w:rPr>
        <w:t>, 406, 107076.</w:t>
      </w:r>
    </w:p>
    <w:p w14:paraId="25190CE5" w14:textId="77777777" w:rsidR="00835B00" w:rsidRPr="00835B00" w:rsidRDefault="00835B00" w:rsidP="00835B00">
      <w:pPr>
        <w:spacing w:line="360" w:lineRule="auto"/>
        <w:rPr>
          <w:color w:val="000000"/>
          <w:szCs w:val="24"/>
          <w:lang w:val="en-GB"/>
        </w:rPr>
      </w:pPr>
      <w:r w:rsidRPr="00835B00">
        <w:rPr>
          <w:color w:val="000000"/>
          <w:szCs w:val="24"/>
          <w:lang w:val="en-GB"/>
        </w:rPr>
        <w:t>Barth, T. F. (1951). The feldspar geologic thermometers. </w:t>
      </w:r>
      <w:proofErr w:type="spellStart"/>
      <w:r w:rsidRPr="00835B00">
        <w:rPr>
          <w:i/>
          <w:iCs/>
          <w:color w:val="000000"/>
          <w:szCs w:val="24"/>
          <w:lang w:val="en-GB"/>
        </w:rPr>
        <w:t>Neues</w:t>
      </w:r>
      <w:proofErr w:type="spellEnd"/>
      <w:r w:rsidRPr="00835B00">
        <w:rPr>
          <w:i/>
          <w:iCs/>
          <w:color w:val="000000"/>
          <w:szCs w:val="24"/>
          <w:lang w:val="en-GB"/>
        </w:rPr>
        <w:t xml:space="preserve"> </w:t>
      </w:r>
      <w:proofErr w:type="spellStart"/>
      <w:r w:rsidRPr="00835B00">
        <w:rPr>
          <w:i/>
          <w:iCs/>
          <w:color w:val="000000"/>
          <w:szCs w:val="24"/>
          <w:lang w:val="en-GB"/>
        </w:rPr>
        <w:t>Jahrb</w:t>
      </w:r>
      <w:proofErr w:type="spellEnd"/>
      <w:r w:rsidRPr="00835B00">
        <w:rPr>
          <w:i/>
          <w:iCs/>
          <w:color w:val="000000"/>
          <w:szCs w:val="24"/>
          <w:lang w:val="en-GB"/>
        </w:rPr>
        <w:t xml:space="preserve"> Mineral</w:t>
      </w:r>
      <w:r w:rsidRPr="00835B00">
        <w:rPr>
          <w:color w:val="000000"/>
          <w:szCs w:val="24"/>
          <w:lang w:val="en-GB"/>
        </w:rPr>
        <w:t>, </w:t>
      </w:r>
      <w:r w:rsidRPr="00835B00">
        <w:rPr>
          <w:i/>
          <w:iCs/>
          <w:color w:val="000000"/>
          <w:szCs w:val="24"/>
          <w:lang w:val="en-GB"/>
        </w:rPr>
        <w:t>82</w:t>
      </w:r>
      <w:r w:rsidRPr="00835B00">
        <w:rPr>
          <w:color w:val="000000"/>
          <w:szCs w:val="24"/>
          <w:lang w:val="en-GB"/>
        </w:rPr>
        <w:t>, 143-154.</w:t>
      </w:r>
    </w:p>
    <w:p w14:paraId="4D1072A6"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Blundy, J., &amp; Cashman, K. (2008). Petrologic reconstruction of magmatic system variables and processes. </w:t>
      </w:r>
      <w:r w:rsidRPr="00835B00">
        <w:rPr>
          <w:i/>
          <w:iCs/>
          <w:color w:val="000000"/>
          <w:szCs w:val="24"/>
          <w:lang w:val="en-GB"/>
        </w:rPr>
        <w:t>Reviews in Mineralogy and Geochemistry</w:t>
      </w:r>
      <w:r w:rsidRPr="00835B00">
        <w:rPr>
          <w:color w:val="000000"/>
          <w:szCs w:val="24"/>
          <w:lang w:val="en-GB"/>
        </w:rPr>
        <w:t>, 69(1), 179-239.</w:t>
      </w:r>
    </w:p>
    <w:p w14:paraId="0B0B32C2"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Chamberlain, K. J., Morgan, D. J., &amp; Wilson, C. J. (2014). Timescales of mixing and mobilisation in the </w:t>
      </w:r>
      <w:proofErr w:type="gramStart"/>
      <w:r w:rsidRPr="00835B00">
        <w:rPr>
          <w:color w:val="000000"/>
          <w:szCs w:val="24"/>
          <w:lang w:val="en-GB"/>
        </w:rPr>
        <w:t>Bishop</w:t>
      </w:r>
      <w:proofErr w:type="gramEnd"/>
      <w:r w:rsidRPr="00835B00">
        <w:rPr>
          <w:color w:val="000000"/>
          <w:szCs w:val="24"/>
          <w:lang w:val="en-GB"/>
        </w:rPr>
        <w:t xml:space="preserve"> Tuff magma body: perspectives from diffusion chronometry. </w:t>
      </w:r>
      <w:r w:rsidRPr="00835B00">
        <w:rPr>
          <w:i/>
          <w:iCs/>
          <w:color w:val="000000"/>
          <w:szCs w:val="24"/>
          <w:lang w:val="en-GB"/>
        </w:rPr>
        <w:t>Contributions to Mineralogy and Petrology</w:t>
      </w:r>
      <w:r w:rsidRPr="00835B00">
        <w:rPr>
          <w:color w:val="000000"/>
          <w:szCs w:val="24"/>
          <w:lang w:val="en-GB"/>
        </w:rPr>
        <w:t>, 168(1), 1-24.</w:t>
      </w:r>
    </w:p>
    <w:p w14:paraId="47A6F7E5"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222222"/>
          <w:szCs w:val="24"/>
          <w:lang w:val="en-GB"/>
        </w:rPr>
        <w:t xml:space="preserve">Costa, F., Dohmen, R., &amp; Chakraborty, S. (2008). Time scales of magmatic processes from </w:t>
      </w:r>
      <w:proofErr w:type="spellStart"/>
      <w:r w:rsidRPr="00835B00">
        <w:rPr>
          <w:color w:val="222222"/>
          <w:szCs w:val="24"/>
          <w:lang w:val="en-GB"/>
        </w:rPr>
        <w:t>modeling</w:t>
      </w:r>
      <w:proofErr w:type="spellEnd"/>
      <w:r w:rsidRPr="00835B00">
        <w:rPr>
          <w:color w:val="222222"/>
          <w:szCs w:val="24"/>
          <w:lang w:val="en-GB"/>
        </w:rPr>
        <w:t xml:space="preserve"> the zoning patterns of crystals. </w:t>
      </w:r>
      <w:r w:rsidRPr="00835B00">
        <w:rPr>
          <w:i/>
          <w:color w:val="222222"/>
          <w:szCs w:val="24"/>
          <w:lang w:val="en-GB"/>
        </w:rPr>
        <w:t>Reviews in Mineralogy and Geochemistry</w:t>
      </w:r>
      <w:r w:rsidRPr="00835B00">
        <w:rPr>
          <w:color w:val="222222"/>
          <w:szCs w:val="24"/>
          <w:lang w:val="en-GB"/>
        </w:rPr>
        <w:t>, </w:t>
      </w:r>
      <w:r w:rsidRPr="00835B00">
        <w:rPr>
          <w:i/>
          <w:color w:val="222222"/>
          <w:szCs w:val="24"/>
          <w:lang w:val="en-GB"/>
        </w:rPr>
        <w:t>69</w:t>
      </w:r>
      <w:r w:rsidRPr="00835B00">
        <w:rPr>
          <w:color w:val="222222"/>
          <w:szCs w:val="24"/>
          <w:lang w:val="en-GB"/>
        </w:rPr>
        <w:t>(1), 545-594.</w:t>
      </w:r>
    </w:p>
    <w:p w14:paraId="6B80E79A"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proofErr w:type="spellStart"/>
      <w:r w:rsidRPr="00835B00">
        <w:rPr>
          <w:color w:val="000000"/>
          <w:szCs w:val="24"/>
          <w:lang w:val="en-GB"/>
        </w:rPr>
        <w:t>Dimanov</w:t>
      </w:r>
      <w:proofErr w:type="spellEnd"/>
      <w:r w:rsidRPr="00835B00">
        <w:rPr>
          <w:color w:val="000000"/>
          <w:szCs w:val="24"/>
          <w:lang w:val="en-GB"/>
        </w:rPr>
        <w:t xml:space="preserve">, A., &amp; Sautter, V. (2000). “Average” interdiffusion of (Fe, Mn)-Mg in natural diopside. </w:t>
      </w:r>
      <w:r w:rsidRPr="00835B00">
        <w:rPr>
          <w:i/>
          <w:iCs/>
          <w:color w:val="000000"/>
          <w:szCs w:val="24"/>
          <w:lang w:val="en-GB"/>
        </w:rPr>
        <w:t>European Journal of Mineralogy</w:t>
      </w:r>
      <w:r w:rsidRPr="00835B00">
        <w:rPr>
          <w:color w:val="000000"/>
          <w:szCs w:val="24"/>
          <w:lang w:val="en-GB"/>
        </w:rPr>
        <w:t>, 12(4), 749-760.</w:t>
      </w:r>
    </w:p>
    <w:p w14:paraId="4B41EFDD"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Elkins, L. T., &amp; Grove, T. L. (1990). Ternary feldspar experiments and thermodynamic models. </w:t>
      </w:r>
      <w:r w:rsidRPr="00835B00">
        <w:rPr>
          <w:i/>
          <w:iCs/>
          <w:color w:val="000000"/>
          <w:szCs w:val="24"/>
          <w:lang w:val="en-GB"/>
        </w:rPr>
        <w:t>American Mineralogist</w:t>
      </w:r>
      <w:r w:rsidRPr="00835B00">
        <w:rPr>
          <w:color w:val="000000"/>
          <w:szCs w:val="24"/>
          <w:lang w:val="en-GB"/>
        </w:rPr>
        <w:t>, 75(5-6), 544-559.</w:t>
      </w:r>
    </w:p>
    <w:p w14:paraId="3B9BC0EF"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Erdmann, S., Martel, C., </w:t>
      </w:r>
      <w:proofErr w:type="spellStart"/>
      <w:r w:rsidRPr="00835B00">
        <w:rPr>
          <w:color w:val="000000"/>
          <w:szCs w:val="24"/>
          <w:lang w:val="en-GB"/>
        </w:rPr>
        <w:t>Pichavant</w:t>
      </w:r>
      <w:proofErr w:type="spellEnd"/>
      <w:r w:rsidRPr="00835B00">
        <w:rPr>
          <w:color w:val="000000"/>
          <w:szCs w:val="24"/>
          <w:lang w:val="en-GB"/>
        </w:rPr>
        <w:t xml:space="preserve">, M., &amp; Kushnir, A. (2014). Amphibole as an archivist of magmatic crystallization conditions: problems, potential, and implications for inferring magma storage prior to the paroxysmal 2010 eruption of Mount Merapi, Indonesia. </w:t>
      </w:r>
      <w:r w:rsidRPr="00835B00">
        <w:rPr>
          <w:i/>
          <w:iCs/>
          <w:color w:val="000000"/>
          <w:szCs w:val="24"/>
          <w:lang w:val="en-GB"/>
        </w:rPr>
        <w:t>Contributions to Mineralogy and Petrology</w:t>
      </w:r>
      <w:r w:rsidRPr="00835B00">
        <w:rPr>
          <w:color w:val="000000"/>
          <w:szCs w:val="24"/>
          <w:lang w:val="en-GB"/>
        </w:rPr>
        <w:t>, 167, 1-23.</w:t>
      </w:r>
    </w:p>
    <w:p w14:paraId="61456DE2"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Kilgour, G. N., Saunders, K. E., Blundy, J. D., Cashman, K. V., Scott, B. J., &amp; Miller, C. A. (2014). Timescales of magmatic processes at Ruapehu volcano from diffusion chronometry and their comparison to monitoring data. </w:t>
      </w:r>
      <w:r w:rsidRPr="00835B00">
        <w:rPr>
          <w:i/>
          <w:iCs/>
          <w:color w:val="000000"/>
          <w:szCs w:val="24"/>
          <w:lang w:val="en-GB"/>
        </w:rPr>
        <w:t>Journal of Volcanology and Geothermal Research</w:t>
      </w:r>
      <w:r w:rsidRPr="00835B00">
        <w:rPr>
          <w:color w:val="000000"/>
          <w:szCs w:val="24"/>
          <w:lang w:val="en-GB"/>
        </w:rPr>
        <w:t>, </w:t>
      </w:r>
      <w:r w:rsidRPr="00835B00">
        <w:rPr>
          <w:i/>
          <w:iCs/>
          <w:color w:val="000000"/>
          <w:szCs w:val="24"/>
          <w:lang w:val="en-GB"/>
        </w:rPr>
        <w:t>288</w:t>
      </w:r>
      <w:r w:rsidRPr="00835B00">
        <w:rPr>
          <w:color w:val="000000"/>
          <w:szCs w:val="24"/>
          <w:lang w:val="en-GB"/>
        </w:rPr>
        <w:t>, 62-75.</w:t>
      </w:r>
    </w:p>
    <w:p w14:paraId="3F9567DE"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Mangler, M. F., Petrone, C. M., &amp; </w:t>
      </w:r>
      <w:proofErr w:type="spellStart"/>
      <w:r w:rsidRPr="00835B00">
        <w:rPr>
          <w:color w:val="000000"/>
          <w:szCs w:val="24"/>
          <w:lang w:val="en-GB"/>
        </w:rPr>
        <w:t>Prytulak</w:t>
      </w:r>
      <w:proofErr w:type="spellEnd"/>
      <w:r w:rsidRPr="00835B00">
        <w:rPr>
          <w:color w:val="000000"/>
          <w:szCs w:val="24"/>
          <w:lang w:val="en-GB"/>
        </w:rPr>
        <w:t xml:space="preserve">, J. (2022). Magma recharge patterns control eruption styles and magnitudes at </w:t>
      </w:r>
      <w:proofErr w:type="spellStart"/>
      <w:r w:rsidRPr="00835B00">
        <w:rPr>
          <w:color w:val="000000"/>
          <w:szCs w:val="24"/>
          <w:lang w:val="en-GB"/>
        </w:rPr>
        <w:t>Popocatépetl</w:t>
      </w:r>
      <w:proofErr w:type="spellEnd"/>
      <w:r w:rsidRPr="00835B00">
        <w:rPr>
          <w:color w:val="000000"/>
          <w:szCs w:val="24"/>
          <w:lang w:val="en-GB"/>
        </w:rPr>
        <w:t xml:space="preserve"> volcano (Mexico). </w:t>
      </w:r>
      <w:r w:rsidRPr="00835B00">
        <w:rPr>
          <w:i/>
          <w:iCs/>
          <w:color w:val="000000"/>
          <w:szCs w:val="24"/>
          <w:lang w:val="en-GB"/>
        </w:rPr>
        <w:t>Geology</w:t>
      </w:r>
      <w:r w:rsidRPr="00835B00">
        <w:rPr>
          <w:color w:val="000000"/>
          <w:szCs w:val="24"/>
          <w:lang w:val="en-GB"/>
        </w:rPr>
        <w:t>, 50(3), 366-370.</w:t>
      </w:r>
    </w:p>
    <w:p w14:paraId="61BE97A6" w14:textId="77777777" w:rsidR="00835B00" w:rsidRDefault="00835B00" w:rsidP="00835B00">
      <w:pPr>
        <w:pBdr>
          <w:top w:val="nil"/>
          <w:left w:val="nil"/>
          <w:bottom w:val="nil"/>
          <w:right w:val="nil"/>
          <w:between w:val="nil"/>
        </w:pBdr>
        <w:spacing w:line="360" w:lineRule="auto"/>
        <w:jc w:val="both"/>
        <w:rPr>
          <w:color w:val="000000"/>
          <w:szCs w:val="24"/>
        </w:rPr>
      </w:pPr>
      <w:r w:rsidRPr="00835B00">
        <w:rPr>
          <w:color w:val="000000"/>
          <w:szCs w:val="24"/>
          <w:lang w:val="en-GB"/>
        </w:rPr>
        <w:t xml:space="preserve">Masotta, M., &amp; Mollo, S. (2019). A new plagioclase-liquid hygrometer specific to trachytic systems. </w:t>
      </w:r>
      <w:proofErr w:type="spellStart"/>
      <w:r w:rsidRPr="00DE66DB">
        <w:rPr>
          <w:i/>
          <w:iCs/>
          <w:color w:val="000000"/>
          <w:szCs w:val="24"/>
        </w:rPr>
        <w:t>Minerals</w:t>
      </w:r>
      <w:proofErr w:type="spellEnd"/>
      <w:r w:rsidRPr="00D67C91">
        <w:rPr>
          <w:color w:val="000000"/>
          <w:szCs w:val="24"/>
        </w:rPr>
        <w:t>, 9(6), 375.</w:t>
      </w:r>
    </w:p>
    <w:p w14:paraId="67CC99A3"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D67C91">
        <w:rPr>
          <w:color w:val="000000"/>
          <w:szCs w:val="24"/>
        </w:rPr>
        <w:lastRenderedPageBreak/>
        <w:t xml:space="preserve">Masotta, M., Mollo, S., Freda, C., Gaeta, M., &amp; Moore, G. (2013). </w:t>
      </w:r>
      <w:r w:rsidRPr="00835B00">
        <w:rPr>
          <w:color w:val="000000"/>
          <w:szCs w:val="24"/>
          <w:lang w:val="en-GB"/>
        </w:rPr>
        <w:t xml:space="preserve">Clinopyroxene–liquid thermometers and barometers specific to alkaline differentiated magmas. </w:t>
      </w:r>
      <w:r w:rsidRPr="00835B00">
        <w:rPr>
          <w:i/>
          <w:iCs/>
          <w:color w:val="000000"/>
          <w:szCs w:val="24"/>
          <w:lang w:val="en-GB"/>
        </w:rPr>
        <w:t>Contributions to Mineralogy and Petrology</w:t>
      </w:r>
      <w:r w:rsidRPr="00835B00">
        <w:rPr>
          <w:color w:val="000000"/>
          <w:szCs w:val="24"/>
          <w:lang w:val="en-GB"/>
        </w:rPr>
        <w:t>, 166(6), 1545-1561.</w:t>
      </w:r>
    </w:p>
    <w:p w14:paraId="37ADC95D"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Morgan, D. J., Blake, S., Rogers, N. W., DeVivo, B., Rolandi, G., Macdonald, R., &amp; Hawkesworth, C. J. (2004). Time scales of crystal residence and magma chamber volume from modelling of diffusion profiles in phenocrysts: Vesuvius 1944. </w:t>
      </w:r>
      <w:r w:rsidRPr="00835B00">
        <w:rPr>
          <w:i/>
          <w:iCs/>
          <w:color w:val="000000"/>
          <w:szCs w:val="24"/>
          <w:lang w:val="en-GB"/>
        </w:rPr>
        <w:t>Earth and Planetary Science Letters</w:t>
      </w:r>
      <w:r w:rsidRPr="00835B00">
        <w:rPr>
          <w:color w:val="000000"/>
          <w:szCs w:val="24"/>
          <w:lang w:val="en-GB"/>
        </w:rPr>
        <w:t>, 222(3-4), 933-946.</w:t>
      </w:r>
    </w:p>
    <w:p w14:paraId="2112D97E"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Molina, J. F., </w:t>
      </w:r>
      <w:proofErr w:type="spellStart"/>
      <w:r w:rsidRPr="00835B00">
        <w:rPr>
          <w:color w:val="000000"/>
          <w:szCs w:val="24"/>
          <w:lang w:val="en-GB"/>
        </w:rPr>
        <w:t>Cambeses</w:t>
      </w:r>
      <w:proofErr w:type="spellEnd"/>
      <w:r w:rsidRPr="00835B00">
        <w:rPr>
          <w:color w:val="000000"/>
          <w:szCs w:val="24"/>
          <w:lang w:val="en-GB"/>
        </w:rPr>
        <w:t xml:space="preserve">, A., Moreno, J. A., Morales, I., Montero, P., &amp; Bea, F. (2021). A reassessment of the amphibole-plagioclase </w:t>
      </w:r>
      <w:proofErr w:type="spellStart"/>
      <w:r w:rsidRPr="00835B00">
        <w:rPr>
          <w:color w:val="000000"/>
          <w:szCs w:val="24"/>
          <w:lang w:val="en-GB"/>
        </w:rPr>
        <w:t>NaSi</w:t>
      </w:r>
      <w:proofErr w:type="spellEnd"/>
      <w:r w:rsidRPr="00835B00">
        <w:rPr>
          <w:color w:val="000000"/>
          <w:szCs w:val="24"/>
          <w:lang w:val="en-GB"/>
        </w:rPr>
        <w:t xml:space="preserve">-CaAl exchange thermometer with applications to igneous and high-grade metamorphic rocks. American Mineralogist: </w:t>
      </w:r>
      <w:r w:rsidRPr="00835B00">
        <w:rPr>
          <w:i/>
          <w:iCs/>
          <w:color w:val="000000"/>
          <w:szCs w:val="24"/>
          <w:lang w:val="en-GB"/>
        </w:rPr>
        <w:t>Journal of Earth and Planetary Materials</w:t>
      </w:r>
      <w:r w:rsidRPr="00835B00">
        <w:rPr>
          <w:color w:val="000000"/>
          <w:szCs w:val="24"/>
          <w:lang w:val="en-GB"/>
        </w:rPr>
        <w:t>, 106(5), 782-800.</w:t>
      </w:r>
    </w:p>
    <w:p w14:paraId="6B2E6F0B" w14:textId="77777777" w:rsidR="00835B00" w:rsidRDefault="00835B00" w:rsidP="00835B00">
      <w:pPr>
        <w:pBdr>
          <w:top w:val="nil"/>
          <w:left w:val="nil"/>
          <w:bottom w:val="nil"/>
          <w:right w:val="nil"/>
          <w:between w:val="nil"/>
        </w:pBdr>
        <w:spacing w:line="360" w:lineRule="auto"/>
        <w:jc w:val="both"/>
        <w:rPr>
          <w:color w:val="000000"/>
          <w:szCs w:val="24"/>
        </w:rPr>
      </w:pPr>
      <w:r w:rsidRPr="00835B00">
        <w:rPr>
          <w:color w:val="000000"/>
          <w:szCs w:val="24"/>
          <w:lang w:val="en-GB"/>
        </w:rPr>
        <w:t xml:space="preserve">Molina, J. F., Moreno, J. A., Castro, A., Rodríguez, C., &amp; </w:t>
      </w:r>
      <w:proofErr w:type="spellStart"/>
      <w:r w:rsidRPr="00835B00">
        <w:rPr>
          <w:color w:val="000000"/>
          <w:szCs w:val="24"/>
          <w:lang w:val="en-GB"/>
        </w:rPr>
        <w:t>Fershtater</w:t>
      </w:r>
      <w:proofErr w:type="spellEnd"/>
      <w:r w:rsidRPr="00835B00">
        <w:rPr>
          <w:color w:val="000000"/>
          <w:szCs w:val="24"/>
          <w:lang w:val="en-GB"/>
        </w:rPr>
        <w:t xml:space="preserve">, G. B. (2015). Calcic amphibole </w:t>
      </w:r>
      <w:proofErr w:type="spellStart"/>
      <w:r w:rsidRPr="00835B00">
        <w:rPr>
          <w:color w:val="000000"/>
          <w:szCs w:val="24"/>
          <w:lang w:val="en-GB"/>
        </w:rPr>
        <w:t>thermobarometry</w:t>
      </w:r>
      <w:proofErr w:type="spellEnd"/>
      <w:r w:rsidRPr="00835B00">
        <w:rPr>
          <w:color w:val="000000"/>
          <w:szCs w:val="24"/>
          <w:lang w:val="en-GB"/>
        </w:rPr>
        <w:t xml:space="preserve"> in metamorphic and igneous rocks: New calibrations based on plagioclase/amphibole Al-Si partitioning and amphibole/liquid Mg partitioning. </w:t>
      </w:r>
      <w:proofErr w:type="spellStart"/>
      <w:r w:rsidRPr="00AA0CF8">
        <w:rPr>
          <w:i/>
          <w:iCs/>
          <w:color w:val="000000"/>
          <w:szCs w:val="24"/>
        </w:rPr>
        <w:t>Lithos</w:t>
      </w:r>
      <w:proofErr w:type="spellEnd"/>
      <w:r w:rsidRPr="00AA0CF8">
        <w:rPr>
          <w:color w:val="000000"/>
          <w:szCs w:val="24"/>
        </w:rPr>
        <w:t>, 232, 286-305.</w:t>
      </w:r>
    </w:p>
    <w:p w14:paraId="6F66E2A4"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D67C91">
        <w:rPr>
          <w:color w:val="000000"/>
          <w:szCs w:val="24"/>
        </w:rPr>
        <w:t xml:space="preserve">Mollo, S., Masotta, M., Forni, F., Bachmann, O., De Astis, G., Moore, G., &amp; Scarlato, P. (2015). </w:t>
      </w:r>
      <w:r w:rsidRPr="00835B00">
        <w:rPr>
          <w:color w:val="000000"/>
          <w:szCs w:val="24"/>
          <w:lang w:val="en-GB"/>
        </w:rPr>
        <w:t xml:space="preserve">A K-feldspar–liquid hygrometer specific to alkaline differentiated magmas. </w:t>
      </w:r>
      <w:r w:rsidRPr="00835B00">
        <w:rPr>
          <w:i/>
          <w:iCs/>
          <w:color w:val="000000"/>
          <w:szCs w:val="24"/>
          <w:lang w:val="en-GB"/>
        </w:rPr>
        <w:t>Chemical Geology</w:t>
      </w:r>
      <w:r w:rsidRPr="00835B00">
        <w:rPr>
          <w:color w:val="000000"/>
          <w:szCs w:val="24"/>
          <w:lang w:val="en-GB"/>
        </w:rPr>
        <w:t>, 392, 1-8.</w:t>
      </w:r>
    </w:p>
    <w:p w14:paraId="5911B246"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Neave, D. A., Passmore, E., </w:t>
      </w:r>
      <w:proofErr w:type="spellStart"/>
      <w:r w:rsidRPr="00835B00">
        <w:rPr>
          <w:color w:val="000000"/>
          <w:szCs w:val="24"/>
          <w:lang w:val="en-GB"/>
        </w:rPr>
        <w:t>Maclennan</w:t>
      </w:r>
      <w:proofErr w:type="spellEnd"/>
      <w:r w:rsidRPr="00835B00">
        <w:rPr>
          <w:color w:val="000000"/>
          <w:szCs w:val="24"/>
          <w:lang w:val="en-GB"/>
        </w:rPr>
        <w:t xml:space="preserve">, J., Fitton, G., &amp; Thordarson, T. (2013). Crystal–melt relationships and the record of deep mixing and crystallization in the ad 1783 Laki Eruption, Iceland. </w:t>
      </w:r>
      <w:r w:rsidRPr="00835B00">
        <w:rPr>
          <w:i/>
          <w:iCs/>
          <w:color w:val="000000"/>
          <w:szCs w:val="24"/>
          <w:lang w:val="en-GB"/>
        </w:rPr>
        <w:t>Journal of Petrology</w:t>
      </w:r>
      <w:r w:rsidRPr="00835B00">
        <w:rPr>
          <w:color w:val="000000"/>
          <w:szCs w:val="24"/>
          <w:lang w:val="en-GB"/>
        </w:rPr>
        <w:t>, 54(8), 1661-1690.</w:t>
      </w:r>
    </w:p>
    <w:p w14:paraId="16F11BA5" w14:textId="77777777" w:rsidR="00835B00" w:rsidRPr="00DD337D" w:rsidRDefault="00835B00" w:rsidP="00835B00">
      <w:pPr>
        <w:pBdr>
          <w:top w:val="nil"/>
          <w:left w:val="nil"/>
          <w:bottom w:val="nil"/>
          <w:right w:val="nil"/>
          <w:between w:val="nil"/>
        </w:pBdr>
        <w:spacing w:line="360" w:lineRule="auto"/>
        <w:jc w:val="both"/>
        <w:rPr>
          <w:color w:val="000000"/>
          <w:szCs w:val="24"/>
        </w:rPr>
      </w:pPr>
      <w:r w:rsidRPr="00835B00">
        <w:rPr>
          <w:color w:val="000000"/>
          <w:szCs w:val="24"/>
          <w:lang w:val="en-GB"/>
        </w:rPr>
        <w:t xml:space="preserve">Neave, D. A., &amp; </w:t>
      </w:r>
      <w:proofErr w:type="spellStart"/>
      <w:r w:rsidRPr="00835B00">
        <w:rPr>
          <w:color w:val="000000"/>
          <w:szCs w:val="24"/>
          <w:lang w:val="en-GB"/>
        </w:rPr>
        <w:t>Putirka</w:t>
      </w:r>
      <w:proofErr w:type="spellEnd"/>
      <w:r w:rsidRPr="00835B00">
        <w:rPr>
          <w:color w:val="000000"/>
          <w:szCs w:val="24"/>
          <w:lang w:val="en-GB"/>
        </w:rPr>
        <w:t xml:space="preserve">, K. D. (2017). A new clinopyroxene-liquid barometer, and implications for magma storage pressures under Icelandic rift zones. </w:t>
      </w:r>
      <w:r w:rsidRPr="00DD337D">
        <w:rPr>
          <w:i/>
          <w:iCs/>
          <w:color w:val="000000"/>
          <w:szCs w:val="24"/>
        </w:rPr>
        <w:t xml:space="preserve">American </w:t>
      </w:r>
      <w:proofErr w:type="spellStart"/>
      <w:r w:rsidRPr="00DD337D">
        <w:rPr>
          <w:i/>
          <w:iCs/>
          <w:color w:val="000000"/>
          <w:szCs w:val="24"/>
        </w:rPr>
        <w:t>Mineralogist</w:t>
      </w:r>
      <w:proofErr w:type="spellEnd"/>
      <w:r w:rsidRPr="00DD337D">
        <w:rPr>
          <w:color w:val="000000"/>
          <w:szCs w:val="24"/>
        </w:rPr>
        <w:t>, 102(4), 777-794.</w:t>
      </w:r>
    </w:p>
    <w:p w14:paraId="3ABE5837"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D67C91">
        <w:rPr>
          <w:color w:val="000000"/>
          <w:szCs w:val="24"/>
        </w:rPr>
        <w:t xml:space="preserve">Petrone, C. M., Braschi, E., </w:t>
      </w:r>
      <w:proofErr w:type="spellStart"/>
      <w:r w:rsidRPr="00D67C91">
        <w:rPr>
          <w:color w:val="000000"/>
          <w:szCs w:val="24"/>
        </w:rPr>
        <w:t>Francalanci</w:t>
      </w:r>
      <w:proofErr w:type="spellEnd"/>
      <w:r w:rsidRPr="00D67C91">
        <w:rPr>
          <w:color w:val="000000"/>
          <w:szCs w:val="24"/>
        </w:rPr>
        <w:t xml:space="preserve">, L., Casalini, M., &amp; Tommasini, S. (2018). </w:t>
      </w:r>
      <w:r w:rsidRPr="00835B00">
        <w:rPr>
          <w:color w:val="000000"/>
          <w:szCs w:val="24"/>
          <w:lang w:val="en-GB"/>
        </w:rPr>
        <w:t xml:space="preserve">Rapid mixing and short storage timescale in the magma dynamics of a steady-state volcano. </w:t>
      </w:r>
      <w:r w:rsidRPr="00835B00">
        <w:rPr>
          <w:i/>
          <w:iCs/>
          <w:color w:val="000000"/>
          <w:szCs w:val="24"/>
          <w:lang w:val="en-GB"/>
        </w:rPr>
        <w:t>Earth and Planetary Science Letters</w:t>
      </w:r>
      <w:r w:rsidRPr="00835B00">
        <w:rPr>
          <w:color w:val="000000"/>
          <w:szCs w:val="24"/>
          <w:lang w:val="en-GB"/>
        </w:rPr>
        <w:t xml:space="preserve">, 492, 206-221. </w:t>
      </w:r>
    </w:p>
    <w:p w14:paraId="334B1690" w14:textId="77777777" w:rsidR="00835B00" w:rsidRPr="003D0194"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Petrone, C. M., Bugatti, G., Braschi, E., &amp; Tommasini, S. (2016). Pre-eruptive magmatic processes re-timed using a non-isothermal approach to magma chamber dynamics. </w:t>
      </w:r>
      <w:r w:rsidRPr="003D0194">
        <w:rPr>
          <w:i/>
          <w:iCs/>
          <w:color w:val="000000"/>
          <w:szCs w:val="24"/>
          <w:lang w:val="en-GB"/>
        </w:rPr>
        <w:t>Nature communications</w:t>
      </w:r>
      <w:r w:rsidRPr="003D0194">
        <w:rPr>
          <w:color w:val="000000"/>
          <w:szCs w:val="24"/>
          <w:lang w:val="en-GB"/>
        </w:rPr>
        <w:t>, 7(1), 1-11.</w:t>
      </w:r>
    </w:p>
    <w:p w14:paraId="62AD7152"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B705A0">
        <w:rPr>
          <w:color w:val="000000"/>
          <w:szCs w:val="24"/>
        </w:rPr>
        <w:t xml:space="preserve">Petrone, C. M., &amp; </w:t>
      </w:r>
      <w:proofErr w:type="spellStart"/>
      <w:r w:rsidRPr="00B705A0">
        <w:rPr>
          <w:color w:val="000000"/>
          <w:szCs w:val="24"/>
        </w:rPr>
        <w:t>Mangler</w:t>
      </w:r>
      <w:proofErr w:type="spellEnd"/>
      <w:r w:rsidRPr="00B705A0">
        <w:rPr>
          <w:color w:val="000000"/>
          <w:szCs w:val="24"/>
        </w:rPr>
        <w:t xml:space="preserve">, M. F. (2021). </w:t>
      </w:r>
      <w:r w:rsidRPr="00835B00">
        <w:rPr>
          <w:color w:val="000000"/>
          <w:szCs w:val="24"/>
          <w:lang w:val="en-GB"/>
        </w:rPr>
        <w:t xml:space="preserve">Elemental Diffusion </w:t>
      </w:r>
      <w:proofErr w:type="spellStart"/>
      <w:r w:rsidRPr="00835B00">
        <w:rPr>
          <w:color w:val="000000"/>
          <w:szCs w:val="24"/>
          <w:lang w:val="en-GB"/>
        </w:rPr>
        <w:t>Chronostratigraphy</w:t>
      </w:r>
      <w:proofErr w:type="spellEnd"/>
      <w:r w:rsidRPr="00835B00">
        <w:rPr>
          <w:color w:val="000000"/>
          <w:szCs w:val="24"/>
          <w:lang w:val="en-GB"/>
        </w:rPr>
        <w:t>: Time</w:t>
      </w:r>
      <w:r w:rsidRPr="00835B00">
        <w:rPr>
          <w:rFonts w:ascii="Cambria Math" w:eastAsia="Cambria Math" w:hAnsi="Cambria Math" w:cs="Cambria Math"/>
          <w:color w:val="000000"/>
          <w:szCs w:val="24"/>
          <w:lang w:val="en-GB"/>
        </w:rPr>
        <w:t>‐</w:t>
      </w:r>
      <w:r w:rsidRPr="00835B00">
        <w:rPr>
          <w:color w:val="000000"/>
          <w:szCs w:val="24"/>
          <w:lang w:val="en-GB"/>
        </w:rPr>
        <w:t xml:space="preserve">Integrated Insights </w:t>
      </w:r>
      <w:proofErr w:type="gramStart"/>
      <w:r w:rsidRPr="00835B00">
        <w:rPr>
          <w:color w:val="000000"/>
          <w:szCs w:val="24"/>
          <w:lang w:val="en-GB"/>
        </w:rPr>
        <w:t>Into</w:t>
      </w:r>
      <w:proofErr w:type="gramEnd"/>
      <w:r w:rsidRPr="00835B00">
        <w:rPr>
          <w:color w:val="000000"/>
          <w:szCs w:val="24"/>
          <w:lang w:val="en-GB"/>
        </w:rPr>
        <w:t xml:space="preserve"> the Dynamics of Plumbing Systems. </w:t>
      </w:r>
      <w:r w:rsidRPr="00835B00">
        <w:rPr>
          <w:i/>
          <w:iCs/>
          <w:color w:val="000000"/>
          <w:szCs w:val="24"/>
          <w:lang w:val="en-GB"/>
        </w:rPr>
        <w:t xml:space="preserve">Crustal Magmatic System Evolution: Anatomy, Architecture, and </w:t>
      </w:r>
      <w:proofErr w:type="spellStart"/>
      <w:r w:rsidRPr="00835B00">
        <w:rPr>
          <w:i/>
          <w:iCs/>
          <w:color w:val="000000"/>
          <w:szCs w:val="24"/>
          <w:lang w:val="en-GB"/>
        </w:rPr>
        <w:t>Physico</w:t>
      </w:r>
      <w:proofErr w:type="spellEnd"/>
      <w:r w:rsidRPr="00835B00">
        <w:rPr>
          <w:rFonts w:ascii="Cambria Math" w:eastAsia="Cambria Math" w:hAnsi="Cambria Math" w:cs="Cambria Math"/>
          <w:i/>
          <w:iCs/>
          <w:color w:val="000000"/>
          <w:szCs w:val="24"/>
          <w:lang w:val="en-GB"/>
        </w:rPr>
        <w:t>‐</w:t>
      </w:r>
      <w:r w:rsidRPr="00835B00">
        <w:rPr>
          <w:i/>
          <w:iCs/>
          <w:color w:val="000000"/>
          <w:szCs w:val="24"/>
          <w:lang w:val="en-GB"/>
        </w:rPr>
        <w:t>Chemical Processes</w:t>
      </w:r>
      <w:r w:rsidRPr="00835B00">
        <w:rPr>
          <w:color w:val="000000"/>
          <w:szCs w:val="24"/>
          <w:lang w:val="en-GB"/>
        </w:rPr>
        <w:t>, 177-193.</w:t>
      </w:r>
    </w:p>
    <w:p w14:paraId="32E13CEB"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021960">
        <w:rPr>
          <w:color w:val="000000"/>
          <w:szCs w:val="24"/>
        </w:rPr>
        <w:t xml:space="preserve">Petrone, C. M., Mollo, S., </w:t>
      </w:r>
      <w:proofErr w:type="spellStart"/>
      <w:r w:rsidRPr="00021960">
        <w:rPr>
          <w:color w:val="000000"/>
          <w:szCs w:val="24"/>
        </w:rPr>
        <w:t>Gertisser</w:t>
      </w:r>
      <w:proofErr w:type="spellEnd"/>
      <w:r w:rsidRPr="00021960">
        <w:rPr>
          <w:color w:val="000000"/>
          <w:szCs w:val="24"/>
        </w:rPr>
        <w:t xml:space="preserve">, R., </w:t>
      </w:r>
      <w:proofErr w:type="spellStart"/>
      <w:r w:rsidRPr="00021960">
        <w:rPr>
          <w:color w:val="000000"/>
          <w:szCs w:val="24"/>
        </w:rPr>
        <w:t>Buret</w:t>
      </w:r>
      <w:proofErr w:type="spellEnd"/>
      <w:r w:rsidRPr="00021960">
        <w:rPr>
          <w:color w:val="000000"/>
          <w:szCs w:val="24"/>
        </w:rPr>
        <w:t xml:space="preserve">, Y., Scarlato, P., Del Bello, E., ... </w:t>
      </w:r>
      <w:r w:rsidRPr="00835B00">
        <w:rPr>
          <w:color w:val="000000"/>
          <w:szCs w:val="24"/>
          <w:lang w:val="en-GB"/>
        </w:rPr>
        <w:t>&amp; Reagan, M. (2022). Magma recharge and mush rejuvenation drive paroxysmal activity at Stromboli volcano. </w:t>
      </w:r>
      <w:r w:rsidRPr="00835B00">
        <w:rPr>
          <w:i/>
          <w:iCs/>
          <w:color w:val="000000"/>
          <w:szCs w:val="24"/>
          <w:lang w:val="en-GB"/>
        </w:rPr>
        <w:t>Nature Communications</w:t>
      </w:r>
      <w:r w:rsidRPr="00835B00">
        <w:rPr>
          <w:color w:val="000000"/>
          <w:szCs w:val="24"/>
          <w:lang w:val="en-GB"/>
        </w:rPr>
        <w:t>, </w:t>
      </w:r>
      <w:r w:rsidRPr="00835B00">
        <w:rPr>
          <w:i/>
          <w:iCs/>
          <w:color w:val="000000"/>
          <w:szCs w:val="24"/>
          <w:lang w:val="en-GB"/>
        </w:rPr>
        <w:t>13</w:t>
      </w:r>
      <w:r w:rsidRPr="00835B00">
        <w:rPr>
          <w:color w:val="000000"/>
          <w:szCs w:val="24"/>
          <w:lang w:val="en-GB"/>
        </w:rPr>
        <w:t>(1), 7717.</w:t>
      </w:r>
    </w:p>
    <w:p w14:paraId="05EACCF4"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proofErr w:type="spellStart"/>
      <w:r w:rsidRPr="00835B00">
        <w:rPr>
          <w:color w:val="000000"/>
          <w:szCs w:val="24"/>
          <w:lang w:val="en-GB"/>
        </w:rPr>
        <w:lastRenderedPageBreak/>
        <w:t>Putirka</w:t>
      </w:r>
      <w:proofErr w:type="spellEnd"/>
      <w:r w:rsidRPr="00835B00">
        <w:rPr>
          <w:color w:val="000000"/>
          <w:szCs w:val="24"/>
          <w:lang w:val="en-GB"/>
        </w:rPr>
        <w:t xml:space="preserve">, K. D. (2008). Thermometers and barometers for volcanic systems. </w:t>
      </w:r>
      <w:r w:rsidRPr="00835B00">
        <w:rPr>
          <w:i/>
          <w:iCs/>
          <w:color w:val="000000"/>
          <w:szCs w:val="24"/>
          <w:lang w:val="en-GB"/>
        </w:rPr>
        <w:t>Reviews in mineralogy and geochemistry</w:t>
      </w:r>
      <w:r w:rsidRPr="00835B00">
        <w:rPr>
          <w:color w:val="000000"/>
          <w:szCs w:val="24"/>
          <w:lang w:val="en-GB"/>
        </w:rPr>
        <w:t>, 69(1), 61-120.</w:t>
      </w:r>
    </w:p>
    <w:p w14:paraId="1BC56E5B"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proofErr w:type="spellStart"/>
      <w:r w:rsidRPr="00835B00">
        <w:rPr>
          <w:color w:val="000000"/>
          <w:szCs w:val="24"/>
          <w:lang w:val="en-GB"/>
        </w:rPr>
        <w:t>Putirka</w:t>
      </w:r>
      <w:proofErr w:type="spellEnd"/>
      <w:r w:rsidRPr="00835B00">
        <w:rPr>
          <w:color w:val="000000"/>
          <w:szCs w:val="24"/>
          <w:lang w:val="en-GB"/>
        </w:rPr>
        <w:t xml:space="preserve">, K., Johnson, M., Kinzler, R., Longhi, J., &amp; Walker, D. (1996). </w:t>
      </w:r>
      <w:proofErr w:type="spellStart"/>
      <w:r w:rsidRPr="00835B00">
        <w:rPr>
          <w:color w:val="000000"/>
          <w:szCs w:val="24"/>
          <w:lang w:val="en-GB"/>
        </w:rPr>
        <w:t>Thermobarometry</w:t>
      </w:r>
      <w:proofErr w:type="spellEnd"/>
      <w:r w:rsidRPr="00835B00">
        <w:rPr>
          <w:color w:val="000000"/>
          <w:szCs w:val="24"/>
          <w:lang w:val="en-GB"/>
        </w:rPr>
        <w:t xml:space="preserve"> of mafic igneous rocks based on clinopyroxene-liquid equilibria, 0–30 kbar. </w:t>
      </w:r>
      <w:r w:rsidRPr="00835B00">
        <w:rPr>
          <w:i/>
          <w:iCs/>
          <w:color w:val="000000"/>
          <w:szCs w:val="24"/>
          <w:lang w:val="en-GB"/>
        </w:rPr>
        <w:t>Contributions to Mineralogy and Petrology</w:t>
      </w:r>
      <w:r w:rsidRPr="00835B00">
        <w:rPr>
          <w:color w:val="000000"/>
          <w:szCs w:val="24"/>
          <w:lang w:val="en-GB"/>
        </w:rPr>
        <w:t>, 123, 92-108.</w:t>
      </w:r>
    </w:p>
    <w:p w14:paraId="00275801" w14:textId="1F9D6CA6"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Robinson, P., Spear, F. S., Schumacher, J. C., Laird, J., Klein, C., Evans, B. W., &amp; Doolan, B. L. (</w:t>
      </w:r>
      <w:r w:rsidR="00DA3B44">
        <w:rPr>
          <w:color w:val="000000"/>
          <w:szCs w:val="24"/>
          <w:lang w:val="en-GB"/>
        </w:rPr>
        <w:t>1982</w:t>
      </w:r>
      <w:r w:rsidRPr="00835B00">
        <w:rPr>
          <w:color w:val="000000"/>
          <w:szCs w:val="24"/>
          <w:lang w:val="en-GB"/>
        </w:rPr>
        <w:t>). Phase relations of metamorphic amphiboles: natural occurrence and theory. </w:t>
      </w:r>
      <w:r w:rsidRPr="00835B00">
        <w:rPr>
          <w:i/>
          <w:iCs/>
          <w:color w:val="000000"/>
          <w:szCs w:val="24"/>
          <w:lang w:val="en-GB"/>
        </w:rPr>
        <w:t>Reviews in mineralogy</w:t>
      </w:r>
      <w:r w:rsidRPr="00835B00">
        <w:rPr>
          <w:color w:val="000000"/>
          <w:szCs w:val="24"/>
          <w:lang w:val="en-GB"/>
        </w:rPr>
        <w:t>, </w:t>
      </w:r>
      <w:r w:rsidRPr="00835B00">
        <w:rPr>
          <w:i/>
          <w:iCs/>
          <w:color w:val="000000"/>
          <w:szCs w:val="24"/>
          <w:lang w:val="en-GB"/>
        </w:rPr>
        <w:t>9</w:t>
      </w:r>
      <w:r w:rsidRPr="00835B00">
        <w:rPr>
          <w:color w:val="000000"/>
          <w:szCs w:val="24"/>
          <w:lang w:val="en-GB"/>
        </w:rPr>
        <w:t>, 1-227.</w:t>
      </w:r>
    </w:p>
    <w:p w14:paraId="0067C1A9" w14:textId="77777777" w:rsidR="00835B00" w:rsidRPr="00835B00" w:rsidRDefault="00835B00" w:rsidP="00835B00">
      <w:pPr>
        <w:pBdr>
          <w:top w:val="nil"/>
          <w:left w:val="nil"/>
          <w:bottom w:val="nil"/>
          <w:right w:val="nil"/>
          <w:between w:val="nil"/>
        </w:pBdr>
        <w:spacing w:line="360" w:lineRule="auto"/>
        <w:jc w:val="both"/>
        <w:rPr>
          <w:color w:val="000000"/>
          <w:szCs w:val="24"/>
          <w:lang w:val="en-GB"/>
        </w:rPr>
      </w:pPr>
      <w:r w:rsidRPr="00835B00">
        <w:rPr>
          <w:color w:val="000000"/>
          <w:szCs w:val="24"/>
          <w:lang w:val="en-GB"/>
        </w:rPr>
        <w:t xml:space="preserve">Stormer Jr, J. C. (1975). A practical two-feldspar geothermometer. </w:t>
      </w:r>
      <w:r w:rsidRPr="00835B00">
        <w:rPr>
          <w:i/>
          <w:iCs/>
          <w:color w:val="000000"/>
          <w:szCs w:val="24"/>
          <w:lang w:val="en-GB"/>
        </w:rPr>
        <w:t>American Mineralogist: Journal of Earth and Planetary Materials</w:t>
      </w:r>
      <w:r w:rsidRPr="00835B00">
        <w:rPr>
          <w:color w:val="000000"/>
          <w:szCs w:val="24"/>
          <w:lang w:val="en-GB"/>
        </w:rPr>
        <w:t>, 60(7-8), 667-674</w:t>
      </w:r>
    </w:p>
    <w:p w14:paraId="277D12B7" w14:textId="77777777" w:rsidR="00835B00" w:rsidRPr="00D61560" w:rsidRDefault="00835B00" w:rsidP="00835B00">
      <w:pPr>
        <w:pBdr>
          <w:top w:val="nil"/>
          <w:left w:val="nil"/>
          <w:bottom w:val="nil"/>
          <w:right w:val="nil"/>
          <w:between w:val="nil"/>
        </w:pBdr>
        <w:spacing w:line="360" w:lineRule="auto"/>
        <w:jc w:val="both"/>
        <w:rPr>
          <w:color w:val="000000"/>
          <w:szCs w:val="24"/>
        </w:rPr>
      </w:pPr>
      <w:r w:rsidRPr="00D61560">
        <w:rPr>
          <w:lang w:val="en-GB"/>
        </w:rPr>
        <w:t xml:space="preserve">Tommasini, S., Bindi, L., Savia, L., Mangler, M. F., Orlando, A., &amp; Petrone, C. M. (2022). </w:t>
      </w:r>
      <w:r w:rsidRPr="00835B00">
        <w:rPr>
          <w:lang w:val="en-GB"/>
        </w:rPr>
        <w:t xml:space="preserve">Critical assessment of pressure estimates in volcanic plumbing systems: The case study of </w:t>
      </w:r>
      <w:proofErr w:type="spellStart"/>
      <w:r w:rsidRPr="00835B00">
        <w:rPr>
          <w:lang w:val="en-GB"/>
        </w:rPr>
        <w:t>Popocatépetl</w:t>
      </w:r>
      <w:proofErr w:type="spellEnd"/>
      <w:r w:rsidRPr="00835B00">
        <w:rPr>
          <w:lang w:val="en-GB"/>
        </w:rPr>
        <w:t xml:space="preserve"> volcano, Mexico. </w:t>
      </w:r>
      <w:proofErr w:type="spellStart"/>
      <w:r w:rsidRPr="00DD337D">
        <w:rPr>
          <w:i/>
          <w:iCs/>
        </w:rPr>
        <w:t>Lithos</w:t>
      </w:r>
      <w:proofErr w:type="spellEnd"/>
      <w:r w:rsidRPr="00DD337D">
        <w:t>, 408, 106540.</w:t>
      </w:r>
    </w:p>
    <w:p w14:paraId="55519B50" w14:textId="77777777" w:rsidR="00835B00" w:rsidRPr="00D76215" w:rsidRDefault="00835B00" w:rsidP="00D76215">
      <w:pPr>
        <w:rPr>
          <w:rFonts w:cstheme="minorHAnsi"/>
          <w:lang w:val="en-GB"/>
        </w:rPr>
      </w:pPr>
    </w:p>
    <w:sectPr w:rsidR="00835B00" w:rsidRPr="00D762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30F16" w14:textId="77777777" w:rsidR="0034491F" w:rsidRDefault="0034491F" w:rsidP="000213E1">
      <w:pPr>
        <w:spacing w:after="0" w:line="240" w:lineRule="auto"/>
      </w:pPr>
      <w:r>
        <w:separator/>
      </w:r>
    </w:p>
  </w:endnote>
  <w:endnote w:type="continuationSeparator" w:id="0">
    <w:p w14:paraId="77E4AF8F" w14:textId="77777777" w:rsidR="0034491F" w:rsidRDefault="0034491F" w:rsidP="00021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713D7" w14:textId="77777777" w:rsidR="0034491F" w:rsidRDefault="0034491F" w:rsidP="000213E1">
      <w:pPr>
        <w:spacing w:after="0" w:line="240" w:lineRule="auto"/>
      </w:pPr>
      <w:r>
        <w:separator/>
      </w:r>
    </w:p>
  </w:footnote>
  <w:footnote w:type="continuationSeparator" w:id="0">
    <w:p w14:paraId="783FB26D" w14:textId="77777777" w:rsidR="0034491F" w:rsidRDefault="0034491F" w:rsidP="000213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0382F"/>
    <w:multiLevelType w:val="hybridMultilevel"/>
    <w:tmpl w:val="BC520730"/>
    <w:lvl w:ilvl="0" w:tplc="4C5233B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6C6FEB"/>
    <w:multiLevelType w:val="multilevel"/>
    <w:tmpl w:val="B0706D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455665"/>
    <w:multiLevelType w:val="hybridMultilevel"/>
    <w:tmpl w:val="A2F288EE"/>
    <w:lvl w:ilvl="0" w:tplc="830010C2">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844996"/>
    <w:multiLevelType w:val="hybridMultilevel"/>
    <w:tmpl w:val="FBBCEA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BA031A"/>
    <w:multiLevelType w:val="hybridMultilevel"/>
    <w:tmpl w:val="371A55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946619"/>
    <w:multiLevelType w:val="hybridMultilevel"/>
    <w:tmpl w:val="19AE9E72"/>
    <w:lvl w:ilvl="0" w:tplc="FFFFFFF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F57EBF"/>
    <w:multiLevelType w:val="hybridMultilevel"/>
    <w:tmpl w:val="44AE4C42"/>
    <w:lvl w:ilvl="0" w:tplc="BAFE3180">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2AA0B3B"/>
    <w:multiLevelType w:val="hybridMultilevel"/>
    <w:tmpl w:val="4358D3F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5B7E19"/>
    <w:multiLevelType w:val="hybridMultilevel"/>
    <w:tmpl w:val="4B3233E6"/>
    <w:lvl w:ilvl="0" w:tplc="BC6632B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42041A"/>
    <w:multiLevelType w:val="hybridMultilevel"/>
    <w:tmpl w:val="33967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24F63"/>
    <w:multiLevelType w:val="hybridMultilevel"/>
    <w:tmpl w:val="9E0246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0484239"/>
    <w:multiLevelType w:val="hybridMultilevel"/>
    <w:tmpl w:val="4080E4CC"/>
    <w:lvl w:ilvl="0" w:tplc="C94E339C">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D160E72"/>
    <w:multiLevelType w:val="hybridMultilevel"/>
    <w:tmpl w:val="942A81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87A5F4C"/>
    <w:multiLevelType w:val="multilevel"/>
    <w:tmpl w:val="A2F288EE"/>
    <w:styleLink w:val="Elencocorrente1"/>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C2C0719"/>
    <w:multiLevelType w:val="hybridMultilevel"/>
    <w:tmpl w:val="284082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104208">
    <w:abstractNumId w:val="7"/>
  </w:num>
  <w:num w:numId="2" w16cid:durableId="173306966">
    <w:abstractNumId w:val="10"/>
  </w:num>
  <w:num w:numId="3" w16cid:durableId="801315723">
    <w:abstractNumId w:val="12"/>
  </w:num>
  <w:num w:numId="4" w16cid:durableId="825976915">
    <w:abstractNumId w:val="2"/>
  </w:num>
  <w:num w:numId="5" w16cid:durableId="1408260018">
    <w:abstractNumId w:val="3"/>
  </w:num>
  <w:num w:numId="6" w16cid:durableId="679771214">
    <w:abstractNumId w:val="5"/>
  </w:num>
  <w:num w:numId="7" w16cid:durableId="1690253089">
    <w:abstractNumId w:val="4"/>
  </w:num>
  <w:num w:numId="8" w16cid:durableId="1720931088">
    <w:abstractNumId w:val="8"/>
  </w:num>
  <w:num w:numId="9" w16cid:durableId="566040165">
    <w:abstractNumId w:val="13"/>
  </w:num>
  <w:num w:numId="10" w16cid:durableId="365373429">
    <w:abstractNumId w:val="1"/>
  </w:num>
  <w:num w:numId="11" w16cid:durableId="166404255">
    <w:abstractNumId w:val="9"/>
  </w:num>
  <w:num w:numId="12" w16cid:durableId="1697927383">
    <w:abstractNumId w:val="14"/>
  </w:num>
  <w:num w:numId="13" w16cid:durableId="1895192422">
    <w:abstractNumId w:val="0"/>
  </w:num>
  <w:num w:numId="14" w16cid:durableId="1359234968">
    <w:abstractNumId w:val="11"/>
  </w:num>
  <w:num w:numId="15" w16cid:durableId="4229941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637"/>
    <w:rsid w:val="00003455"/>
    <w:rsid w:val="000213E1"/>
    <w:rsid w:val="00024E14"/>
    <w:rsid w:val="00025518"/>
    <w:rsid w:val="0004647B"/>
    <w:rsid w:val="00046991"/>
    <w:rsid w:val="00057CDB"/>
    <w:rsid w:val="00062A42"/>
    <w:rsid w:val="00085E53"/>
    <w:rsid w:val="000873AD"/>
    <w:rsid w:val="000C464E"/>
    <w:rsid w:val="000D0B61"/>
    <w:rsid w:val="000D73A9"/>
    <w:rsid w:val="000E22E2"/>
    <w:rsid w:val="00101D30"/>
    <w:rsid w:val="00102A12"/>
    <w:rsid w:val="00102E89"/>
    <w:rsid w:val="00105579"/>
    <w:rsid w:val="00107BE1"/>
    <w:rsid w:val="001229B7"/>
    <w:rsid w:val="00123AD7"/>
    <w:rsid w:val="00130C2B"/>
    <w:rsid w:val="001536C6"/>
    <w:rsid w:val="00161FBF"/>
    <w:rsid w:val="001721FD"/>
    <w:rsid w:val="001817F2"/>
    <w:rsid w:val="00185D6E"/>
    <w:rsid w:val="001A1874"/>
    <w:rsid w:val="001A285A"/>
    <w:rsid w:val="001C3D49"/>
    <w:rsid w:val="001D38E8"/>
    <w:rsid w:val="001D5696"/>
    <w:rsid w:val="001E31F0"/>
    <w:rsid w:val="001E5928"/>
    <w:rsid w:val="001E61F9"/>
    <w:rsid w:val="001F573A"/>
    <w:rsid w:val="00204647"/>
    <w:rsid w:val="0022184B"/>
    <w:rsid w:val="00222D5F"/>
    <w:rsid w:val="00234705"/>
    <w:rsid w:val="00245F38"/>
    <w:rsid w:val="00246CAC"/>
    <w:rsid w:val="0025134E"/>
    <w:rsid w:val="002610CD"/>
    <w:rsid w:val="002B2D1A"/>
    <w:rsid w:val="002F5D7B"/>
    <w:rsid w:val="00300107"/>
    <w:rsid w:val="00300D53"/>
    <w:rsid w:val="00303718"/>
    <w:rsid w:val="0031617F"/>
    <w:rsid w:val="0034491F"/>
    <w:rsid w:val="00374E94"/>
    <w:rsid w:val="00375FBE"/>
    <w:rsid w:val="00383A91"/>
    <w:rsid w:val="00384637"/>
    <w:rsid w:val="00397298"/>
    <w:rsid w:val="003A26C0"/>
    <w:rsid w:val="003B3603"/>
    <w:rsid w:val="003B7FEB"/>
    <w:rsid w:val="003C2D23"/>
    <w:rsid w:val="003C51A5"/>
    <w:rsid w:val="003C56B4"/>
    <w:rsid w:val="003D0194"/>
    <w:rsid w:val="003E59EB"/>
    <w:rsid w:val="003F4EF5"/>
    <w:rsid w:val="004013FB"/>
    <w:rsid w:val="00404534"/>
    <w:rsid w:val="00416858"/>
    <w:rsid w:val="00424D3D"/>
    <w:rsid w:val="00432EBD"/>
    <w:rsid w:val="00447B22"/>
    <w:rsid w:val="004507F2"/>
    <w:rsid w:val="004655A7"/>
    <w:rsid w:val="00481C66"/>
    <w:rsid w:val="004823EA"/>
    <w:rsid w:val="004849EB"/>
    <w:rsid w:val="00487506"/>
    <w:rsid w:val="00492DB0"/>
    <w:rsid w:val="004978EB"/>
    <w:rsid w:val="004A0E67"/>
    <w:rsid w:val="004A35CD"/>
    <w:rsid w:val="004A4433"/>
    <w:rsid w:val="004B3FCB"/>
    <w:rsid w:val="004B5E13"/>
    <w:rsid w:val="004D608C"/>
    <w:rsid w:val="004E4ABF"/>
    <w:rsid w:val="00522710"/>
    <w:rsid w:val="00537924"/>
    <w:rsid w:val="005427AF"/>
    <w:rsid w:val="00556448"/>
    <w:rsid w:val="00564A18"/>
    <w:rsid w:val="0057055D"/>
    <w:rsid w:val="00573F66"/>
    <w:rsid w:val="005A05CD"/>
    <w:rsid w:val="005A20EA"/>
    <w:rsid w:val="005B361E"/>
    <w:rsid w:val="005D1562"/>
    <w:rsid w:val="005D6D38"/>
    <w:rsid w:val="005D70D2"/>
    <w:rsid w:val="005E05DF"/>
    <w:rsid w:val="005E63A0"/>
    <w:rsid w:val="005F5035"/>
    <w:rsid w:val="00601920"/>
    <w:rsid w:val="00604434"/>
    <w:rsid w:val="00622B81"/>
    <w:rsid w:val="00627C94"/>
    <w:rsid w:val="00645646"/>
    <w:rsid w:val="00653CA7"/>
    <w:rsid w:val="006555C8"/>
    <w:rsid w:val="00656D40"/>
    <w:rsid w:val="00665070"/>
    <w:rsid w:val="006811B0"/>
    <w:rsid w:val="00686C97"/>
    <w:rsid w:val="006904C5"/>
    <w:rsid w:val="006A27DF"/>
    <w:rsid w:val="006A7205"/>
    <w:rsid w:val="006B1A72"/>
    <w:rsid w:val="006B5B07"/>
    <w:rsid w:val="006B6157"/>
    <w:rsid w:val="006C4BE1"/>
    <w:rsid w:val="006C7B6F"/>
    <w:rsid w:val="006D0B97"/>
    <w:rsid w:val="006D24AF"/>
    <w:rsid w:val="006E683A"/>
    <w:rsid w:val="006F3213"/>
    <w:rsid w:val="00701265"/>
    <w:rsid w:val="00713ACE"/>
    <w:rsid w:val="00724422"/>
    <w:rsid w:val="00734E80"/>
    <w:rsid w:val="007354B8"/>
    <w:rsid w:val="007366B8"/>
    <w:rsid w:val="00742A77"/>
    <w:rsid w:val="007448CD"/>
    <w:rsid w:val="00752170"/>
    <w:rsid w:val="00757B5C"/>
    <w:rsid w:val="00773C41"/>
    <w:rsid w:val="00785198"/>
    <w:rsid w:val="007B1549"/>
    <w:rsid w:val="007B4CAF"/>
    <w:rsid w:val="007C1E07"/>
    <w:rsid w:val="007D4080"/>
    <w:rsid w:val="007E26BA"/>
    <w:rsid w:val="007E2B00"/>
    <w:rsid w:val="007E66BC"/>
    <w:rsid w:val="007F52B0"/>
    <w:rsid w:val="007F78FA"/>
    <w:rsid w:val="00807B49"/>
    <w:rsid w:val="008105A7"/>
    <w:rsid w:val="00810DBC"/>
    <w:rsid w:val="00820FA9"/>
    <w:rsid w:val="00835B00"/>
    <w:rsid w:val="008424EF"/>
    <w:rsid w:val="00855742"/>
    <w:rsid w:val="0086150E"/>
    <w:rsid w:val="00864684"/>
    <w:rsid w:val="00871F48"/>
    <w:rsid w:val="00880268"/>
    <w:rsid w:val="00894747"/>
    <w:rsid w:val="00896529"/>
    <w:rsid w:val="008A032E"/>
    <w:rsid w:val="008A0344"/>
    <w:rsid w:val="008A2335"/>
    <w:rsid w:val="008A4F96"/>
    <w:rsid w:val="008A732B"/>
    <w:rsid w:val="008C10E6"/>
    <w:rsid w:val="008F1DE2"/>
    <w:rsid w:val="008F6A54"/>
    <w:rsid w:val="008F6C42"/>
    <w:rsid w:val="00904CD0"/>
    <w:rsid w:val="00910FB6"/>
    <w:rsid w:val="009204D6"/>
    <w:rsid w:val="009320BE"/>
    <w:rsid w:val="009350C4"/>
    <w:rsid w:val="00942C39"/>
    <w:rsid w:val="009471E3"/>
    <w:rsid w:val="009542AF"/>
    <w:rsid w:val="0096336F"/>
    <w:rsid w:val="0097645E"/>
    <w:rsid w:val="00977E72"/>
    <w:rsid w:val="009806A5"/>
    <w:rsid w:val="00990237"/>
    <w:rsid w:val="00992CE6"/>
    <w:rsid w:val="00995FDB"/>
    <w:rsid w:val="00996A81"/>
    <w:rsid w:val="009A3391"/>
    <w:rsid w:val="009B70C6"/>
    <w:rsid w:val="009C4982"/>
    <w:rsid w:val="009D6A09"/>
    <w:rsid w:val="009D715B"/>
    <w:rsid w:val="009F0906"/>
    <w:rsid w:val="00A06DD3"/>
    <w:rsid w:val="00A07C77"/>
    <w:rsid w:val="00A16345"/>
    <w:rsid w:val="00A206BA"/>
    <w:rsid w:val="00A234C2"/>
    <w:rsid w:val="00A25EA6"/>
    <w:rsid w:val="00A30384"/>
    <w:rsid w:val="00A33EC5"/>
    <w:rsid w:val="00A545E0"/>
    <w:rsid w:val="00A64BDE"/>
    <w:rsid w:val="00A662B7"/>
    <w:rsid w:val="00A712AF"/>
    <w:rsid w:val="00A734A4"/>
    <w:rsid w:val="00A83288"/>
    <w:rsid w:val="00A85664"/>
    <w:rsid w:val="00A87338"/>
    <w:rsid w:val="00A9055E"/>
    <w:rsid w:val="00A943D4"/>
    <w:rsid w:val="00AB1A42"/>
    <w:rsid w:val="00AB6B98"/>
    <w:rsid w:val="00AC3491"/>
    <w:rsid w:val="00AD2054"/>
    <w:rsid w:val="00AF42B7"/>
    <w:rsid w:val="00AF7893"/>
    <w:rsid w:val="00B15237"/>
    <w:rsid w:val="00B23C54"/>
    <w:rsid w:val="00B23D4D"/>
    <w:rsid w:val="00B25242"/>
    <w:rsid w:val="00B33730"/>
    <w:rsid w:val="00B46277"/>
    <w:rsid w:val="00B46843"/>
    <w:rsid w:val="00B50624"/>
    <w:rsid w:val="00B50703"/>
    <w:rsid w:val="00B54738"/>
    <w:rsid w:val="00B61AEB"/>
    <w:rsid w:val="00B66601"/>
    <w:rsid w:val="00B705A0"/>
    <w:rsid w:val="00B738DD"/>
    <w:rsid w:val="00B85EC6"/>
    <w:rsid w:val="00B946B2"/>
    <w:rsid w:val="00B95A97"/>
    <w:rsid w:val="00B970FE"/>
    <w:rsid w:val="00B976EA"/>
    <w:rsid w:val="00BB0FEE"/>
    <w:rsid w:val="00BB1883"/>
    <w:rsid w:val="00BC6D86"/>
    <w:rsid w:val="00BD1111"/>
    <w:rsid w:val="00BE1EFA"/>
    <w:rsid w:val="00BE5752"/>
    <w:rsid w:val="00BE6777"/>
    <w:rsid w:val="00BF061F"/>
    <w:rsid w:val="00BF5F5A"/>
    <w:rsid w:val="00BF7AA8"/>
    <w:rsid w:val="00C02BB3"/>
    <w:rsid w:val="00C04FA1"/>
    <w:rsid w:val="00C14A1B"/>
    <w:rsid w:val="00C404E7"/>
    <w:rsid w:val="00C4571C"/>
    <w:rsid w:val="00C66FFF"/>
    <w:rsid w:val="00C73799"/>
    <w:rsid w:val="00C83F24"/>
    <w:rsid w:val="00C909AC"/>
    <w:rsid w:val="00CA108E"/>
    <w:rsid w:val="00CA41A5"/>
    <w:rsid w:val="00CB295F"/>
    <w:rsid w:val="00CB4132"/>
    <w:rsid w:val="00CB559C"/>
    <w:rsid w:val="00CB5DEF"/>
    <w:rsid w:val="00CB6CB8"/>
    <w:rsid w:val="00CD206F"/>
    <w:rsid w:val="00CE3E9A"/>
    <w:rsid w:val="00CE63F4"/>
    <w:rsid w:val="00CF17DB"/>
    <w:rsid w:val="00CF567F"/>
    <w:rsid w:val="00CF6EED"/>
    <w:rsid w:val="00D1011B"/>
    <w:rsid w:val="00D14EA9"/>
    <w:rsid w:val="00D15956"/>
    <w:rsid w:val="00D44556"/>
    <w:rsid w:val="00D54039"/>
    <w:rsid w:val="00D55E90"/>
    <w:rsid w:val="00D57E33"/>
    <w:rsid w:val="00D6533A"/>
    <w:rsid w:val="00D76215"/>
    <w:rsid w:val="00D809B2"/>
    <w:rsid w:val="00D81692"/>
    <w:rsid w:val="00D8764E"/>
    <w:rsid w:val="00DA3B44"/>
    <w:rsid w:val="00DA4271"/>
    <w:rsid w:val="00DE0CAD"/>
    <w:rsid w:val="00DF2452"/>
    <w:rsid w:val="00E1369C"/>
    <w:rsid w:val="00E430D9"/>
    <w:rsid w:val="00E4722E"/>
    <w:rsid w:val="00E56BBA"/>
    <w:rsid w:val="00E62DC3"/>
    <w:rsid w:val="00E65F3C"/>
    <w:rsid w:val="00E71379"/>
    <w:rsid w:val="00E80862"/>
    <w:rsid w:val="00E956CC"/>
    <w:rsid w:val="00EA0E01"/>
    <w:rsid w:val="00EA57EB"/>
    <w:rsid w:val="00EC4AF6"/>
    <w:rsid w:val="00ED5EF4"/>
    <w:rsid w:val="00EF0ED2"/>
    <w:rsid w:val="00F06F56"/>
    <w:rsid w:val="00F35CF3"/>
    <w:rsid w:val="00F3774F"/>
    <w:rsid w:val="00F4230A"/>
    <w:rsid w:val="00F424E6"/>
    <w:rsid w:val="00F4542F"/>
    <w:rsid w:val="00F576B8"/>
    <w:rsid w:val="00F60244"/>
    <w:rsid w:val="00F61441"/>
    <w:rsid w:val="00F828B8"/>
    <w:rsid w:val="00FA362D"/>
    <w:rsid w:val="00FC69C8"/>
    <w:rsid w:val="00FD1B30"/>
    <w:rsid w:val="00FE02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79CCF4"/>
  <w14:defaultImageDpi w14:val="32767"/>
  <w15:chartTrackingRefBased/>
  <w15:docId w15:val="{4CCF62E3-4730-4927-9328-A13D8D15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5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646"/>
    <w:pPr>
      <w:ind w:left="720"/>
      <w:contextualSpacing/>
    </w:pPr>
  </w:style>
  <w:style w:type="character" w:styleId="PlaceholderText">
    <w:name w:val="Placeholder Text"/>
    <w:basedOn w:val="DefaultParagraphFont"/>
    <w:uiPriority w:val="99"/>
    <w:semiHidden/>
    <w:rsid w:val="00B61AEB"/>
    <w:rPr>
      <w:color w:val="808080"/>
    </w:rPr>
  </w:style>
  <w:style w:type="character" w:styleId="CommentReference">
    <w:name w:val="annotation reference"/>
    <w:basedOn w:val="DefaultParagraphFont"/>
    <w:uiPriority w:val="99"/>
    <w:semiHidden/>
    <w:unhideWhenUsed/>
    <w:rsid w:val="00024E14"/>
    <w:rPr>
      <w:sz w:val="16"/>
      <w:szCs w:val="16"/>
    </w:rPr>
  </w:style>
  <w:style w:type="paragraph" w:styleId="CommentText">
    <w:name w:val="annotation text"/>
    <w:basedOn w:val="Normal"/>
    <w:link w:val="CommentTextChar"/>
    <w:uiPriority w:val="99"/>
    <w:unhideWhenUsed/>
    <w:rsid w:val="00024E14"/>
    <w:pPr>
      <w:spacing w:line="240" w:lineRule="auto"/>
    </w:pPr>
    <w:rPr>
      <w:sz w:val="20"/>
      <w:szCs w:val="20"/>
    </w:rPr>
  </w:style>
  <w:style w:type="character" w:customStyle="1" w:styleId="CommentTextChar">
    <w:name w:val="Comment Text Char"/>
    <w:basedOn w:val="DefaultParagraphFont"/>
    <w:link w:val="CommentText"/>
    <w:uiPriority w:val="99"/>
    <w:rsid w:val="00024E14"/>
    <w:rPr>
      <w:sz w:val="20"/>
      <w:szCs w:val="20"/>
    </w:rPr>
  </w:style>
  <w:style w:type="paragraph" w:styleId="CommentSubject">
    <w:name w:val="annotation subject"/>
    <w:basedOn w:val="CommentText"/>
    <w:next w:val="CommentText"/>
    <w:link w:val="CommentSubjectChar"/>
    <w:uiPriority w:val="99"/>
    <w:semiHidden/>
    <w:unhideWhenUsed/>
    <w:rsid w:val="00024E14"/>
    <w:rPr>
      <w:b/>
      <w:bCs/>
    </w:rPr>
  </w:style>
  <w:style w:type="character" w:customStyle="1" w:styleId="CommentSubjectChar">
    <w:name w:val="Comment Subject Char"/>
    <w:basedOn w:val="CommentTextChar"/>
    <w:link w:val="CommentSubject"/>
    <w:uiPriority w:val="99"/>
    <w:semiHidden/>
    <w:rsid w:val="00024E14"/>
    <w:rPr>
      <w:b/>
      <w:bCs/>
      <w:sz w:val="20"/>
      <w:szCs w:val="20"/>
    </w:rPr>
  </w:style>
  <w:style w:type="paragraph" w:styleId="Caption">
    <w:name w:val="caption"/>
    <w:basedOn w:val="Normal"/>
    <w:next w:val="Normal"/>
    <w:uiPriority w:val="35"/>
    <w:unhideWhenUsed/>
    <w:qFormat/>
    <w:rsid w:val="00910FB6"/>
    <w:pPr>
      <w:spacing w:after="200" w:line="240" w:lineRule="auto"/>
    </w:pPr>
    <w:rPr>
      <w:i/>
      <w:iCs/>
      <w:color w:val="44546A" w:themeColor="text2"/>
      <w:sz w:val="18"/>
      <w:szCs w:val="18"/>
    </w:rPr>
  </w:style>
  <w:style w:type="numbering" w:customStyle="1" w:styleId="Elencocorrente1">
    <w:name w:val="Elenco corrente1"/>
    <w:uiPriority w:val="99"/>
    <w:rsid w:val="001D38E8"/>
    <w:pPr>
      <w:numPr>
        <w:numId w:val="9"/>
      </w:numPr>
    </w:pPr>
  </w:style>
  <w:style w:type="table" w:styleId="TableGrid">
    <w:name w:val="Table Grid"/>
    <w:basedOn w:val="TableNormal"/>
    <w:uiPriority w:val="39"/>
    <w:rsid w:val="00807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47B22"/>
    <w:rPr>
      <w:color w:val="0563C1"/>
      <w:u w:val="single"/>
    </w:rPr>
  </w:style>
  <w:style w:type="character" w:styleId="FollowedHyperlink">
    <w:name w:val="FollowedHyperlink"/>
    <w:basedOn w:val="DefaultParagraphFont"/>
    <w:uiPriority w:val="99"/>
    <w:semiHidden/>
    <w:unhideWhenUsed/>
    <w:rsid w:val="00447B22"/>
    <w:rPr>
      <w:color w:val="954F72"/>
      <w:u w:val="single"/>
    </w:rPr>
  </w:style>
  <w:style w:type="paragraph" w:customStyle="1" w:styleId="msonormal0">
    <w:name w:val="msonormal"/>
    <w:basedOn w:val="Normal"/>
    <w:rsid w:val="00447B2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ont5">
    <w:name w:val="font5"/>
    <w:basedOn w:val="Normal"/>
    <w:rsid w:val="00447B22"/>
    <w:pPr>
      <w:spacing w:before="100" w:beforeAutospacing="1" w:after="100" w:afterAutospacing="1" w:line="240" w:lineRule="auto"/>
    </w:pPr>
    <w:rPr>
      <w:rFonts w:ascii="Calibri Light" w:eastAsia="Times New Roman" w:hAnsi="Calibri Light" w:cs="Calibri Light"/>
      <w:b/>
      <w:bCs/>
      <w:sz w:val="20"/>
      <w:szCs w:val="20"/>
      <w:lang w:val="en-GB" w:eastAsia="en-GB"/>
    </w:rPr>
  </w:style>
  <w:style w:type="paragraph" w:customStyle="1" w:styleId="font6">
    <w:name w:val="font6"/>
    <w:basedOn w:val="Normal"/>
    <w:rsid w:val="00447B22"/>
    <w:pPr>
      <w:spacing w:before="100" w:beforeAutospacing="1" w:after="100" w:afterAutospacing="1" w:line="240" w:lineRule="auto"/>
    </w:pPr>
    <w:rPr>
      <w:rFonts w:ascii="Calibri Light" w:eastAsia="Times New Roman" w:hAnsi="Calibri Light" w:cs="Calibri Light"/>
      <w:b/>
      <w:bCs/>
      <w:sz w:val="20"/>
      <w:szCs w:val="20"/>
      <w:lang w:val="en-GB" w:eastAsia="en-GB"/>
    </w:rPr>
  </w:style>
  <w:style w:type="paragraph" w:customStyle="1" w:styleId="font7">
    <w:name w:val="font7"/>
    <w:basedOn w:val="Normal"/>
    <w:rsid w:val="00447B22"/>
    <w:pPr>
      <w:spacing w:before="100" w:beforeAutospacing="1" w:after="100" w:afterAutospacing="1" w:line="240" w:lineRule="auto"/>
    </w:pPr>
    <w:rPr>
      <w:rFonts w:ascii="Calibri Light" w:eastAsia="Times New Roman" w:hAnsi="Calibri Light" w:cs="Calibri Light"/>
      <w:sz w:val="20"/>
      <w:szCs w:val="20"/>
      <w:lang w:val="en-GB" w:eastAsia="en-GB"/>
    </w:rPr>
  </w:style>
  <w:style w:type="paragraph" w:customStyle="1" w:styleId="xl68">
    <w:name w:val="xl68"/>
    <w:basedOn w:val="Normal"/>
    <w:rsid w:val="00447B22"/>
    <w:pPr>
      <w:shd w:val="clear" w:color="000000" w:fill="FFFFFF"/>
      <w:spacing w:before="100" w:beforeAutospacing="1" w:after="100" w:afterAutospacing="1" w:line="240" w:lineRule="auto"/>
    </w:pPr>
    <w:rPr>
      <w:rFonts w:ascii="Calibri Light" w:eastAsia="Times New Roman" w:hAnsi="Calibri Light" w:cs="Calibri Light"/>
      <w:sz w:val="24"/>
      <w:szCs w:val="24"/>
      <w:lang w:val="en-GB" w:eastAsia="en-GB"/>
    </w:rPr>
  </w:style>
  <w:style w:type="paragraph" w:customStyle="1" w:styleId="xl69">
    <w:name w:val="xl69"/>
    <w:basedOn w:val="Normal"/>
    <w:rsid w:val="00447B22"/>
    <w:pPr>
      <w:shd w:val="clear" w:color="000000" w:fill="FFFFFF"/>
      <w:spacing w:before="100" w:beforeAutospacing="1" w:after="100" w:afterAutospacing="1" w:line="240" w:lineRule="auto"/>
    </w:pPr>
    <w:rPr>
      <w:rFonts w:ascii="Calibri Light" w:eastAsia="Times New Roman" w:hAnsi="Calibri Light" w:cs="Calibri Light"/>
      <w:sz w:val="24"/>
      <w:szCs w:val="24"/>
      <w:lang w:val="en-GB" w:eastAsia="en-GB"/>
    </w:rPr>
  </w:style>
  <w:style w:type="paragraph" w:customStyle="1" w:styleId="xl70">
    <w:name w:val="xl70"/>
    <w:basedOn w:val="Normal"/>
    <w:rsid w:val="00447B22"/>
    <w:pPr>
      <w:spacing w:before="100" w:beforeAutospacing="1" w:after="100" w:afterAutospacing="1" w:line="240" w:lineRule="auto"/>
    </w:pPr>
    <w:rPr>
      <w:rFonts w:ascii="Calibri Light" w:eastAsia="Times New Roman" w:hAnsi="Calibri Light" w:cs="Calibri Light"/>
      <w:sz w:val="24"/>
      <w:szCs w:val="24"/>
      <w:lang w:val="en-GB" w:eastAsia="en-GB"/>
    </w:rPr>
  </w:style>
  <w:style w:type="paragraph" w:customStyle="1" w:styleId="xl71">
    <w:name w:val="xl71"/>
    <w:basedOn w:val="Normal"/>
    <w:rsid w:val="00447B22"/>
    <w:pPr>
      <w:pBdr>
        <w:bottom w:val="single" w:sz="4" w:space="0" w:color="auto"/>
      </w:pBdr>
      <w:shd w:val="clear" w:color="000000" w:fill="FFFFFF"/>
      <w:spacing w:before="100" w:beforeAutospacing="1" w:after="100" w:afterAutospacing="1" w:line="240" w:lineRule="auto"/>
    </w:pPr>
    <w:rPr>
      <w:rFonts w:ascii="Calibri Light" w:eastAsia="Times New Roman" w:hAnsi="Calibri Light" w:cs="Calibri Light"/>
      <w:sz w:val="24"/>
      <w:szCs w:val="24"/>
      <w:lang w:val="en-GB" w:eastAsia="en-GB"/>
    </w:rPr>
  </w:style>
  <w:style w:type="paragraph" w:customStyle="1" w:styleId="xl72">
    <w:name w:val="xl72"/>
    <w:basedOn w:val="Normal"/>
    <w:rsid w:val="00447B22"/>
    <w:pPr>
      <w:shd w:val="clear" w:color="000000" w:fill="FFFFFF"/>
      <w:spacing w:before="100" w:beforeAutospacing="1" w:after="100" w:afterAutospacing="1" w:line="240" w:lineRule="auto"/>
    </w:pPr>
    <w:rPr>
      <w:rFonts w:ascii="Calibri Light" w:eastAsia="Times New Roman" w:hAnsi="Calibri Light" w:cs="Calibri Light"/>
      <w:sz w:val="24"/>
      <w:szCs w:val="24"/>
      <w:lang w:val="en-GB" w:eastAsia="en-GB"/>
    </w:rPr>
  </w:style>
  <w:style w:type="paragraph" w:customStyle="1" w:styleId="xl73">
    <w:name w:val="xl73"/>
    <w:basedOn w:val="Normal"/>
    <w:rsid w:val="00447B22"/>
    <w:pPr>
      <w:pBdr>
        <w:bottom w:val="single" w:sz="4" w:space="0" w:color="auto"/>
      </w:pBdr>
      <w:shd w:val="clear" w:color="000000" w:fill="FFFFFF"/>
      <w:spacing w:before="100" w:beforeAutospacing="1" w:after="100" w:afterAutospacing="1" w:line="240" w:lineRule="auto"/>
    </w:pPr>
    <w:rPr>
      <w:rFonts w:ascii="Calibri Light" w:eastAsia="Times New Roman" w:hAnsi="Calibri Light" w:cs="Calibri Light"/>
      <w:sz w:val="24"/>
      <w:szCs w:val="24"/>
      <w:lang w:val="en-GB" w:eastAsia="en-GB"/>
    </w:rPr>
  </w:style>
  <w:style w:type="paragraph" w:customStyle="1" w:styleId="xl74">
    <w:name w:val="xl74"/>
    <w:basedOn w:val="Normal"/>
    <w:rsid w:val="00447B22"/>
    <w:pPr>
      <w:spacing w:before="100" w:beforeAutospacing="1" w:after="100" w:afterAutospacing="1" w:line="240" w:lineRule="auto"/>
      <w:jc w:val="right"/>
    </w:pPr>
    <w:rPr>
      <w:rFonts w:ascii="Times New Roman" w:eastAsia="Times New Roman" w:hAnsi="Times New Roman" w:cs="Times New Roman"/>
      <w:sz w:val="24"/>
      <w:szCs w:val="24"/>
      <w:lang w:val="en-GB" w:eastAsia="en-GB"/>
    </w:rPr>
  </w:style>
  <w:style w:type="paragraph" w:customStyle="1" w:styleId="xl75">
    <w:name w:val="xl75"/>
    <w:basedOn w:val="Normal"/>
    <w:rsid w:val="00447B22"/>
    <w:pPr>
      <w:spacing w:before="100" w:beforeAutospacing="1" w:after="100" w:afterAutospacing="1" w:line="240" w:lineRule="auto"/>
    </w:pPr>
    <w:rPr>
      <w:rFonts w:ascii="Calibri Light" w:eastAsia="Times New Roman" w:hAnsi="Calibri Light" w:cs="Calibri Light"/>
      <w:lang w:val="en-GB" w:eastAsia="en-GB"/>
    </w:rPr>
  </w:style>
  <w:style w:type="paragraph" w:customStyle="1" w:styleId="xl76">
    <w:name w:val="xl76"/>
    <w:basedOn w:val="Normal"/>
    <w:rsid w:val="00447B22"/>
    <w:pPr>
      <w:pBdr>
        <w:bottom w:val="single" w:sz="4" w:space="0" w:color="auto"/>
      </w:pBdr>
      <w:shd w:val="clear" w:color="000000" w:fill="FFFFFF"/>
      <w:spacing w:before="100" w:beforeAutospacing="1" w:after="100" w:afterAutospacing="1" w:line="240" w:lineRule="auto"/>
      <w:jc w:val="right"/>
    </w:pPr>
    <w:rPr>
      <w:rFonts w:ascii="Calibri Light" w:eastAsia="Times New Roman" w:hAnsi="Calibri Light" w:cs="Calibri Light"/>
      <w:b/>
      <w:bCs/>
      <w:sz w:val="24"/>
      <w:szCs w:val="24"/>
      <w:lang w:val="en-GB" w:eastAsia="en-GB"/>
    </w:rPr>
  </w:style>
  <w:style w:type="paragraph" w:customStyle="1" w:styleId="xl77">
    <w:name w:val="xl77"/>
    <w:basedOn w:val="Normal"/>
    <w:rsid w:val="00447B22"/>
    <w:pPr>
      <w:shd w:val="clear" w:color="000000" w:fill="FFFFFF"/>
      <w:spacing w:before="100" w:beforeAutospacing="1" w:after="100" w:afterAutospacing="1" w:line="240" w:lineRule="auto"/>
      <w:jc w:val="right"/>
    </w:pPr>
    <w:rPr>
      <w:rFonts w:ascii="Calibri Light" w:eastAsia="Times New Roman" w:hAnsi="Calibri Light" w:cs="Calibri Light"/>
      <w:sz w:val="24"/>
      <w:szCs w:val="24"/>
      <w:lang w:val="en-GB" w:eastAsia="en-GB"/>
    </w:rPr>
  </w:style>
  <w:style w:type="paragraph" w:customStyle="1" w:styleId="xl78">
    <w:name w:val="xl78"/>
    <w:basedOn w:val="Normal"/>
    <w:rsid w:val="00447B22"/>
    <w:pPr>
      <w:shd w:val="clear" w:color="000000" w:fill="FFFFFF"/>
      <w:spacing w:before="100" w:beforeAutospacing="1" w:after="100" w:afterAutospacing="1" w:line="240" w:lineRule="auto"/>
      <w:jc w:val="right"/>
    </w:pPr>
    <w:rPr>
      <w:rFonts w:ascii="Calibri Light" w:eastAsia="Times New Roman" w:hAnsi="Calibri Light" w:cs="Calibri Light"/>
      <w:sz w:val="24"/>
      <w:szCs w:val="24"/>
      <w:lang w:val="en-GB" w:eastAsia="en-GB"/>
    </w:rPr>
  </w:style>
  <w:style w:type="paragraph" w:customStyle="1" w:styleId="xl79">
    <w:name w:val="xl79"/>
    <w:basedOn w:val="Normal"/>
    <w:rsid w:val="00447B22"/>
    <w:pPr>
      <w:shd w:val="clear" w:color="000000" w:fill="FFFFFF"/>
      <w:spacing w:before="100" w:beforeAutospacing="1" w:after="100" w:afterAutospacing="1" w:line="240" w:lineRule="auto"/>
      <w:jc w:val="right"/>
    </w:pPr>
    <w:rPr>
      <w:rFonts w:ascii="Calibri Light" w:eastAsia="Times New Roman" w:hAnsi="Calibri Light" w:cs="Calibri Light"/>
      <w:sz w:val="24"/>
      <w:szCs w:val="24"/>
      <w:lang w:val="en-GB" w:eastAsia="en-GB"/>
    </w:rPr>
  </w:style>
  <w:style w:type="paragraph" w:customStyle="1" w:styleId="xl80">
    <w:name w:val="xl80"/>
    <w:basedOn w:val="Normal"/>
    <w:rsid w:val="00447B22"/>
    <w:pPr>
      <w:shd w:val="clear" w:color="000000" w:fill="FFFFFF"/>
      <w:spacing w:before="100" w:beforeAutospacing="1" w:after="100" w:afterAutospacing="1" w:line="240" w:lineRule="auto"/>
      <w:jc w:val="right"/>
    </w:pPr>
    <w:rPr>
      <w:rFonts w:ascii="Calibri Light" w:eastAsia="Times New Roman" w:hAnsi="Calibri Light" w:cs="Calibri Light"/>
      <w:sz w:val="24"/>
      <w:szCs w:val="24"/>
      <w:lang w:val="en-GB" w:eastAsia="en-GB"/>
    </w:rPr>
  </w:style>
  <w:style w:type="paragraph" w:customStyle="1" w:styleId="xl81">
    <w:name w:val="xl81"/>
    <w:basedOn w:val="Normal"/>
    <w:rsid w:val="00447B22"/>
    <w:pPr>
      <w:shd w:val="clear" w:color="000000" w:fill="FFFFFF"/>
      <w:spacing w:before="100" w:beforeAutospacing="1" w:after="100" w:afterAutospacing="1" w:line="240" w:lineRule="auto"/>
      <w:jc w:val="right"/>
    </w:pPr>
    <w:rPr>
      <w:rFonts w:ascii="Calibri Light" w:eastAsia="Times New Roman" w:hAnsi="Calibri Light" w:cs="Calibri Light"/>
      <w:color w:val="000000"/>
      <w:sz w:val="24"/>
      <w:szCs w:val="24"/>
      <w:lang w:val="en-GB" w:eastAsia="en-GB"/>
    </w:rPr>
  </w:style>
  <w:style w:type="paragraph" w:customStyle="1" w:styleId="xl82">
    <w:name w:val="xl82"/>
    <w:basedOn w:val="Normal"/>
    <w:rsid w:val="00447B22"/>
    <w:pPr>
      <w:shd w:val="clear" w:color="000000" w:fill="FFFFFF"/>
      <w:spacing w:before="100" w:beforeAutospacing="1" w:after="100" w:afterAutospacing="1" w:line="240" w:lineRule="auto"/>
      <w:jc w:val="right"/>
    </w:pPr>
    <w:rPr>
      <w:rFonts w:ascii="Calibri Light" w:eastAsia="Times New Roman" w:hAnsi="Calibri Light" w:cs="Calibri Light"/>
      <w:b/>
      <w:bCs/>
      <w:color w:val="000000"/>
      <w:sz w:val="32"/>
      <w:szCs w:val="32"/>
      <w:lang w:val="en-GB" w:eastAsia="en-GB"/>
    </w:rPr>
  </w:style>
  <w:style w:type="paragraph" w:customStyle="1" w:styleId="xl83">
    <w:name w:val="xl83"/>
    <w:basedOn w:val="Normal"/>
    <w:rsid w:val="00447B22"/>
    <w:pPr>
      <w:pBdr>
        <w:bottom w:val="single" w:sz="4" w:space="0" w:color="auto"/>
      </w:pBdr>
      <w:shd w:val="clear" w:color="000000" w:fill="FFFFFF"/>
      <w:spacing w:before="100" w:beforeAutospacing="1" w:after="100" w:afterAutospacing="1" w:line="240" w:lineRule="auto"/>
    </w:pPr>
    <w:rPr>
      <w:rFonts w:ascii="Calibri Light" w:eastAsia="Times New Roman" w:hAnsi="Calibri Light" w:cs="Calibri Light"/>
      <w:sz w:val="24"/>
      <w:szCs w:val="24"/>
      <w:lang w:val="en-GB" w:eastAsia="en-GB"/>
    </w:rPr>
  </w:style>
  <w:style w:type="paragraph" w:customStyle="1" w:styleId="xl84">
    <w:name w:val="xl84"/>
    <w:basedOn w:val="Normal"/>
    <w:rsid w:val="00447B22"/>
    <w:pPr>
      <w:pBdr>
        <w:bottom w:val="single" w:sz="4" w:space="0" w:color="auto"/>
      </w:pBdr>
      <w:shd w:val="clear" w:color="000000" w:fill="FFFFFF"/>
      <w:spacing w:before="100" w:beforeAutospacing="1" w:after="100" w:afterAutospacing="1" w:line="240" w:lineRule="auto"/>
      <w:jc w:val="right"/>
    </w:pPr>
    <w:rPr>
      <w:rFonts w:ascii="Calibri Light" w:eastAsia="Times New Roman" w:hAnsi="Calibri Light" w:cs="Calibri Light"/>
      <w:sz w:val="24"/>
      <w:szCs w:val="24"/>
      <w:lang w:val="en-GB" w:eastAsia="en-GB"/>
    </w:rPr>
  </w:style>
  <w:style w:type="paragraph" w:customStyle="1" w:styleId="xl85">
    <w:name w:val="xl85"/>
    <w:basedOn w:val="Normal"/>
    <w:rsid w:val="00447B22"/>
    <w:pPr>
      <w:pBdr>
        <w:bottom w:val="single" w:sz="4" w:space="0" w:color="auto"/>
      </w:pBdr>
      <w:shd w:val="clear" w:color="000000" w:fill="FFFFFF"/>
      <w:spacing w:before="100" w:beforeAutospacing="1" w:after="100" w:afterAutospacing="1" w:line="240" w:lineRule="auto"/>
      <w:jc w:val="right"/>
    </w:pPr>
    <w:rPr>
      <w:rFonts w:ascii="Calibri Light" w:eastAsia="Times New Roman" w:hAnsi="Calibri Light" w:cs="Calibri Light"/>
      <w:color w:val="000000"/>
      <w:sz w:val="24"/>
      <w:szCs w:val="24"/>
      <w:lang w:val="en-GB" w:eastAsia="en-GB"/>
    </w:rPr>
  </w:style>
  <w:style w:type="paragraph" w:customStyle="1" w:styleId="xl86">
    <w:name w:val="xl86"/>
    <w:basedOn w:val="Normal"/>
    <w:rsid w:val="00447B22"/>
    <w:pPr>
      <w:pBdr>
        <w:bottom w:val="single" w:sz="4" w:space="0" w:color="auto"/>
      </w:pBdr>
      <w:shd w:val="clear" w:color="000000" w:fill="FFFFFF"/>
      <w:spacing w:before="100" w:beforeAutospacing="1" w:after="100" w:afterAutospacing="1" w:line="240" w:lineRule="auto"/>
      <w:jc w:val="right"/>
    </w:pPr>
    <w:rPr>
      <w:rFonts w:ascii="Calibri Light" w:eastAsia="Times New Roman" w:hAnsi="Calibri Light" w:cs="Calibri Light"/>
      <w:sz w:val="24"/>
      <w:szCs w:val="24"/>
      <w:lang w:val="en-GB" w:eastAsia="en-GB"/>
    </w:rPr>
  </w:style>
  <w:style w:type="paragraph" w:styleId="Header">
    <w:name w:val="header"/>
    <w:basedOn w:val="Normal"/>
    <w:link w:val="HeaderChar"/>
    <w:uiPriority w:val="99"/>
    <w:unhideWhenUsed/>
    <w:rsid w:val="000213E1"/>
    <w:pPr>
      <w:tabs>
        <w:tab w:val="center" w:pos="4819"/>
        <w:tab w:val="right" w:pos="9638"/>
      </w:tabs>
      <w:spacing w:after="0" w:line="240" w:lineRule="auto"/>
    </w:pPr>
  </w:style>
  <w:style w:type="character" w:customStyle="1" w:styleId="HeaderChar">
    <w:name w:val="Header Char"/>
    <w:basedOn w:val="DefaultParagraphFont"/>
    <w:link w:val="Header"/>
    <w:uiPriority w:val="99"/>
    <w:rsid w:val="000213E1"/>
  </w:style>
  <w:style w:type="paragraph" w:styleId="Footer">
    <w:name w:val="footer"/>
    <w:basedOn w:val="Normal"/>
    <w:link w:val="FooterChar"/>
    <w:uiPriority w:val="99"/>
    <w:unhideWhenUsed/>
    <w:rsid w:val="000213E1"/>
    <w:pPr>
      <w:tabs>
        <w:tab w:val="center" w:pos="4819"/>
        <w:tab w:val="right" w:pos="9638"/>
      </w:tabs>
      <w:spacing w:after="0" w:line="240" w:lineRule="auto"/>
    </w:pPr>
  </w:style>
  <w:style w:type="character" w:customStyle="1" w:styleId="FooterChar">
    <w:name w:val="Footer Char"/>
    <w:basedOn w:val="DefaultParagraphFont"/>
    <w:link w:val="Footer"/>
    <w:uiPriority w:val="99"/>
    <w:rsid w:val="000213E1"/>
  </w:style>
  <w:style w:type="paragraph" w:styleId="Revision">
    <w:name w:val="Revision"/>
    <w:hidden/>
    <w:uiPriority w:val="99"/>
    <w:semiHidden/>
    <w:rsid w:val="00E808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76655">
      <w:bodyDiv w:val="1"/>
      <w:marLeft w:val="0"/>
      <w:marRight w:val="0"/>
      <w:marTop w:val="0"/>
      <w:marBottom w:val="0"/>
      <w:divBdr>
        <w:top w:val="none" w:sz="0" w:space="0" w:color="auto"/>
        <w:left w:val="none" w:sz="0" w:space="0" w:color="auto"/>
        <w:bottom w:val="none" w:sz="0" w:space="0" w:color="auto"/>
        <w:right w:val="none" w:sz="0" w:space="0" w:color="auto"/>
      </w:divBdr>
    </w:div>
    <w:div w:id="177893170">
      <w:bodyDiv w:val="1"/>
      <w:marLeft w:val="0"/>
      <w:marRight w:val="0"/>
      <w:marTop w:val="0"/>
      <w:marBottom w:val="0"/>
      <w:divBdr>
        <w:top w:val="none" w:sz="0" w:space="0" w:color="auto"/>
        <w:left w:val="none" w:sz="0" w:space="0" w:color="auto"/>
        <w:bottom w:val="none" w:sz="0" w:space="0" w:color="auto"/>
        <w:right w:val="none" w:sz="0" w:space="0" w:color="auto"/>
      </w:divBdr>
    </w:div>
    <w:div w:id="184291400">
      <w:bodyDiv w:val="1"/>
      <w:marLeft w:val="0"/>
      <w:marRight w:val="0"/>
      <w:marTop w:val="0"/>
      <w:marBottom w:val="0"/>
      <w:divBdr>
        <w:top w:val="none" w:sz="0" w:space="0" w:color="auto"/>
        <w:left w:val="none" w:sz="0" w:space="0" w:color="auto"/>
        <w:bottom w:val="none" w:sz="0" w:space="0" w:color="auto"/>
        <w:right w:val="none" w:sz="0" w:space="0" w:color="auto"/>
      </w:divBdr>
    </w:div>
    <w:div w:id="212616355">
      <w:bodyDiv w:val="1"/>
      <w:marLeft w:val="0"/>
      <w:marRight w:val="0"/>
      <w:marTop w:val="0"/>
      <w:marBottom w:val="0"/>
      <w:divBdr>
        <w:top w:val="none" w:sz="0" w:space="0" w:color="auto"/>
        <w:left w:val="none" w:sz="0" w:space="0" w:color="auto"/>
        <w:bottom w:val="none" w:sz="0" w:space="0" w:color="auto"/>
        <w:right w:val="none" w:sz="0" w:space="0" w:color="auto"/>
      </w:divBdr>
    </w:div>
    <w:div w:id="235017414">
      <w:bodyDiv w:val="1"/>
      <w:marLeft w:val="0"/>
      <w:marRight w:val="0"/>
      <w:marTop w:val="0"/>
      <w:marBottom w:val="0"/>
      <w:divBdr>
        <w:top w:val="none" w:sz="0" w:space="0" w:color="auto"/>
        <w:left w:val="none" w:sz="0" w:space="0" w:color="auto"/>
        <w:bottom w:val="none" w:sz="0" w:space="0" w:color="auto"/>
        <w:right w:val="none" w:sz="0" w:space="0" w:color="auto"/>
      </w:divBdr>
    </w:div>
    <w:div w:id="259606620">
      <w:bodyDiv w:val="1"/>
      <w:marLeft w:val="0"/>
      <w:marRight w:val="0"/>
      <w:marTop w:val="0"/>
      <w:marBottom w:val="0"/>
      <w:divBdr>
        <w:top w:val="none" w:sz="0" w:space="0" w:color="auto"/>
        <w:left w:val="none" w:sz="0" w:space="0" w:color="auto"/>
        <w:bottom w:val="none" w:sz="0" w:space="0" w:color="auto"/>
        <w:right w:val="none" w:sz="0" w:space="0" w:color="auto"/>
      </w:divBdr>
    </w:div>
    <w:div w:id="285501126">
      <w:bodyDiv w:val="1"/>
      <w:marLeft w:val="0"/>
      <w:marRight w:val="0"/>
      <w:marTop w:val="0"/>
      <w:marBottom w:val="0"/>
      <w:divBdr>
        <w:top w:val="none" w:sz="0" w:space="0" w:color="auto"/>
        <w:left w:val="none" w:sz="0" w:space="0" w:color="auto"/>
        <w:bottom w:val="none" w:sz="0" w:space="0" w:color="auto"/>
        <w:right w:val="none" w:sz="0" w:space="0" w:color="auto"/>
      </w:divBdr>
    </w:div>
    <w:div w:id="377557955">
      <w:bodyDiv w:val="1"/>
      <w:marLeft w:val="0"/>
      <w:marRight w:val="0"/>
      <w:marTop w:val="0"/>
      <w:marBottom w:val="0"/>
      <w:divBdr>
        <w:top w:val="none" w:sz="0" w:space="0" w:color="auto"/>
        <w:left w:val="none" w:sz="0" w:space="0" w:color="auto"/>
        <w:bottom w:val="none" w:sz="0" w:space="0" w:color="auto"/>
        <w:right w:val="none" w:sz="0" w:space="0" w:color="auto"/>
      </w:divBdr>
    </w:div>
    <w:div w:id="406657444">
      <w:bodyDiv w:val="1"/>
      <w:marLeft w:val="0"/>
      <w:marRight w:val="0"/>
      <w:marTop w:val="0"/>
      <w:marBottom w:val="0"/>
      <w:divBdr>
        <w:top w:val="none" w:sz="0" w:space="0" w:color="auto"/>
        <w:left w:val="none" w:sz="0" w:space="0" w:color="auto"/>
        <w:bottom w:val="none" w:sz="0" w:space="0" w:color="auto"/>
        <w:right w:val="none" w:sz="0" w:space="0" w:color="auto"/>
      </w:divBdr>
    </w:div>
    <w:div w:id="421293858">
      <w:bodyDiv w:val="1"/>
      <w:marLeft w:val="0"/>
      <w:marRight w:val="0"/>
      <w:marTop w:val="0"/>
      <w:marBottom w:val="0"/>
      <w:divBdr>
        <w:top w:val="none" w:sz="0" w:space="0" w:color="auto"/>
        <w:left w:val="none" w:sz="0" w:space="0" w:color="auto"/>
        <w:bottom w:val="none" w:sz="0" w:space="0" w:color="auto"/>
        <w:right w:val="none" w:sz="0" w:space="0" w:color="auto"/>
      </w:divBdr>
    </w:div>
    <w:div w:id="436483823">
      <w:bodyDiv w:val="1"/>
      <w:marLeft w:val="0"/>
      <w:marRight w:val="0"/>
      <w:marTop w:val="0"/>
      <w:marBottom w:val="0"/>
      <w:divBdr>
        <w:top w:val="none" w:sz="0" w:space="0" w:color="auto"/>
        <w:left w:val="none" w:sz="0" w:space="0" w:color="auto"/>
        <w:bottom w:val="none" w:sz="0" w:space="0" w:color="auto"/>
        <w:right w:val="none" w:sz="0" w:space="0" w:color="auto"/>
      </w:divBdr>
    </w:div>
    <w:div w:id="483278437">
      <w:bodyDiv w:val="1"/>
      <w:marLeft w:val="0"/>
      <w:marRight w:val="0"/>
      <w:marTop w:val="0"/>
      <w:marBottom w:val="0"/>
      <w:divBdr>
        <w:top w:val="none" w:sz="0" w:space="0" w:color="auto"/>
        <w:left w:val="none" w:sz="0" w:space="0" w:color="auto"/>
        <w:bottom w:val="none" w:sz="0" w:space="0" w:color="auto"/>
        <w:right w:val="none" w:sz="0" w:space="0" w:color="auto"/>
      </w:divBdr>
    </w:div>
    <w:div w:id="503665050">
      <w:bodyDiv w:val="1"/>
      <w:marLeft w:val="0"/>
      <w:marRight w:val="0"/>
      <w:marTop w:val="0"/>
      <w:marBottom w:val="0"/>
      <w:divBdr>
        <w:top w:val="none" w:sz="0" w:space="0" w:color="auto"/>
        <w:left w:val="none" w:sz="0" w:space="0" w:color="auto"/>
        <w:bottom w:val="none" w:sz="0" w:space="0" w:color="auto"/>
        <w:right w:val="none" w:sz="0" w:space="0" w:color="auto"/>
      </w:divBdr>
    </w:div>
    <w:div w:id="605192189">
      <w:bodyDiv w:val="1"/>
      <w:marLeft w:val="0"/>
      <w:marRight w:val="0"/>
      <w:marTop w:val="0"/>
      <w:marBottom w:val="0"/>
      <w:divBdr>
        <w:top w:val="none" w:sz="0" w:space="0" w:color="auto"/>
        <w:left w:val="none" w:sz="0" w:space="0" w:color="auto"/>
        <w:bottom w:val="none" w:sz="0" w:space="0" w:color="auto"/>
        <w:right w:val="none" w:sz="0" w:space="0" w:color="auto"/>
      </w:divBdr>
    </w:div>
    <w:div w:id="609094949">
      <w:bodyDiv w:val="1"/>
      <w:marLeft w:val="0"/>
      <w:marRight w:val="0"/>
      <w:marTop w:val="0"/>
      <w:marBottom w:val="0"/>
      <w:divBdr>
        <w:top w:val="none" w:sz="0" w:space="0" w:color="auto"/>
        <w:left w:val="none" w:sz="0" w:space="0" w:color="auto"/>
        <w:bottom w:val="none" w:sz="0" w:space="0" w:color="auto"/>
        <w:right w:val="none" w:sz="0" w:space="0" w:color="auto"/>
      </w:divBdr>
    </w:div>
    <w:div w:id="646976725">
      <w:bodyDiv w:val="1"/>
      <w:marLeft w:val="0"/>
      <w:marRight w:val="0"/>
      <w:marTop w:val="0"/>
      <w:marBottom w:val="0"/>
      <w:divBdr>
        <w:top w:val="none" w:sz="0" w:space="0" w:color="auto"/>
        <w:left w:val="none" w:sz="0" w:space="0" w:color="auto"/>
        <w:bottom w:val="none" w:sz="0" w:space="0" w:color="auto"/>
        <w:right w:val="none" w:sz="0" w:space="0" w:color="auto"/>
      </w:divBdr>
    </w:div>
    <w:div w:id="654917905">
      <w:bodyDiv w:val="1"/>
      <w:marLeft w:val="0"/>
      <w:marRight w:val="0"/>
      <w:marTop w:val="0"/>
      <w:marBottom w:val="0"/>
      <w:divBdr>
        <w:top w:val="none" w:sz="0" w:space="0" w:color="auto"/>
        <w:left w:val="none" w:sz="0" w:space="0" w:color="auto"/>
        <w:bottom w:val="none" w:sz="0" w:space="0" w:color="auto"/>
        <w:right w:val="none" w:sz="0" w:space="0" w:color="auto"/>
      </w:divBdr>
    </w:div>
    <w:div w:id="777214115">
      <w:bodyDiv w:val="1"/>
      <w:marLeft w:val="0"/>
      <w:marRight w:val="0"/>
      <w:marTop w:val="0"/>
      <w:marBottom w:val="0"/>
      <w:divBdr>
        <w:top w:val="none" w:sz="0" w:space="0" w:color="auto"/>
        <w:left w:val="none" w:sz="0" w:space="0" w:color="auto"/>
        <w:bottom w:val="none" w:sz="0" w:space="0" w:color="auto"/>
        <w:right w:val="none" w:sz="0" w:space="0" w:color="auto"/>
      </w:divBdr>
    </w:div>
    <w:div w:id="789785799">
      <w:bodyDiv w:val="1"/>
      <w:marLeft w:val="0"/>
      <w:marRight w:val="0"/>
      <w:marTop w:val="0"/>
      <w:marBottom w:val="0"/>
      <w:divBdr>
        <w:top w:val="none" w:sz="0" w:space="0" w:color="auto"/>
        <w:left w:val="none" w:sz="0" w:space="0" w:color="auto"/>
        <w:bottom w:val="none" w:sz="0" w:space="0" w:color="auto"/>
        <w:right w:val="none" w:sz="0" w:space="0" w:color="auto"/>
      </w:divBdr>
    </w:div>
    <w:div w:id="807287534">
      <w:bodyDiv w:val="1"/>
      <w:marLeft w:val="0"/>
      <w:marRight w:val="0"/>
      <w:marTop w:val="0"/>
      <w:marBottom w:val="0"/>
      <w:divBdr>
        <w:top w:val="none" w:sz="0" w:space="0" w:color="auto"/>
        <w:left w:val="none" w:sz="0" w:space="0" w:color="auto"/>
        <w:bottom w:val="none" w:sz="0" w:space="0" w:color="auto"/>
        <w:right w:val="none" w:sz="0" w:space="0" w:color="auto"/>
      </w:divBdr>
    </w:div>
    <w:div w:id="871958388">
      <w:bodyDiv w:val="1"/>
      <w:marLeft w:val="0"/>
      <w:marRight w:val="0"/>
      <w:marTop w:val="0"/>
      <w:marBottom w:val="0"/>
      <w:divBdr>
        <w:top w:val="none" w:sz="0" w:space="0" w:color="auto"/>
        <w:left w:val="none" w:sz="0" w:space="0" w:color="auto"/>
        <w:bottom w:val="none" w:sz="0" w:space="0" w:color="auto"/>
        <w:right w:val="none" w:sz="0" w:space="0" w:color="auto"/>
      </w:divBdr>
    </w:div>
    <w:div w:id="900866830">
      <w:bodyDiv w:val="1"/>
      <w:marLeft w:val="0"/>
      <w:marRight w:val="0"/>
      <w:marTop w:val="0"/>
      <w:marBottom w:val="0"/>
      <w:divBdr>
        <w:top w:val="none" w:sz="0" w:space="0" w:color="auto"/>
        <w:left w:val="none" w:sz="0" w:space="0" w:color="auto"/>
        <w:bottom w:val="none" w:sz="0" w:space="0" w:color="auto"/>
        <w:right w:val="none" w:sz="0" w:space="0" w:color="auto"/>
      </w:divBdr>
    </w:div>
    <w:div w:id="1068110638">
      <w:bodyDiv w:val="1"/>
      <w:marLeft w:val="0"/>
      <w:marRight w:val="0"/>
      <w:marTop w:val="0"/>
      <w:marBottom w:val="0"/>
      <w:divBdr>
        <w:top w:val="none" w:sz="0" w:space="0" w:color="auto"/>
        <w:left w:val="none" w:sz="0" w:space="0" w:color="auto"/>
        <w:bottom w:val="none" w:sz="0" w:space="0" w:color="auto"/>
        <w:right w:val="none" w:sz="0" w:space="0" w:color="auto"/>
      </w:divBdr>
    </w:div>
    <w:div w:id="1133139910">
      <w:bodyDiv w:val="1"/>
      <w:marLeft w:val="0"/>
      <w:marRight w:val="0"/>
      <w:marTop w:val="0"/>
      <w:marBottom w:val="0"/>
      <w:divBdr>
        <w:top w:val="none" w:sz="0" w:space="0" w:color="auto"/>
        <w:left w:val="none" w:sz="0" w:space="0" w:color="auto"/>
        <w:bottom w:val="none" w:sz="0" w:space="0" w:color="auto"/>
        <w:right w:val="none" w:sz="0" w:space="0" w:color="auto"/>
      </w:divBdr>
    </w:div>
    <w:div w:id="1223368030">
      <w:bodyDiv w:val="1"/>
      <w:marLeft w:val="0"/>
      <w:marRight w:val="0"/>
      <w:marTop w:val="0"/>
      <w:marBottom w:val="0"/>
      <w:divBdr>
        <w:top w:val="none" w:sz="0" w:space="0" w:color="auto"/>
        <w:left w:val="none" w:sz="0" w:space="0" w:color="auto"/>
        <w:bottom w:val="none" w:sz="0" w:space="0" w:color="auto"/>
        <w:right w:val="none" w:sz="0" w:space="0" w:color="auto"/>
      </w:divBdr>
    </w:div>
    <w:div w:id="1257397756">
      <w:bodyDiv w:val="1"/>
      <w:marLeft w:val="0"/>
      <w:marRight w:val="0"/>
      <w:marTop w:val="0"/>
      <w:marBottom w:val="0"/>
      <w:divBdr>
        <w:top w:val="none" w:sz="0" w:space="0" w:color="auto"/>
        <w:left w:val="none" w:sz="0" w:space="0" w:color="auto"/>
        <w:bottom w:val="none" w:sz="0" w:space="0" w:color="auto"/>
        <w:right w:val="none" w:sz="0" w:space="0" w:color="auto"/>
      </w:divBdr>
    </w:div>
    <w:div w:id="1259681588">
      <w:bodyDiv w:val="1"/>
      <w:marLeft w:val="0"/>
      <w:marRight w:val="0"/>
      <w:marTop w:val="0"/>
      <w:marBottom w:val="0"/>
      <w:divBdr>
        <w:top w:val="none" w:sz="0" w:space="0" w:color="auto"/>
        <w:left w:val="none" w:sz="0" w:space="0" w:color="auto"/>
        <w:bottom w:val="none" w:sz="0" w:space="0" w:color="auto"/>
        <w:right w:val="none" w:sz="0" w:space="0" w:color="auto"/>
      </w:divBdr>
    </w:div>
    <w:div w:id="1296638510">
      <w:bodyDiv w:val="1"/>
      <w:marLeft w:val="0"/>
      <w:marRight w:val="0"/>
      <w:marTop w:val="0"/>
      <w:marBottom w:val="0"/>
      <w:divBdr>
        <w:top w:val="none" w:sz="0" w:space="0" w:color="auto"/>
        <w:left w:val="none" w:sz="0" w:space="0" w:color="auto"/>
        <w:bottom w:val="none" w:sz="0" w:space="0" w:color="auto"/>
        <w:right w:val="none" w:sz="0" w:space="0" w:color="auto"/>
      </w:divBdr>
    </w:div>
    <w:div w:id="1367754842">
      <w:bodyDiv w:val="1"/>
      <w:marLeft w:val="0"/>
      <w:marRight w:val="0"/>
      <w:marTop w:val="0"/>
      <w:marBottom w:val="0"/>
      <w:divBdr>
        <w:top w:val="none" w:sz="0" w:space="0" w:color="auto"/>
        <w:left w:val="none" w:sz="0" w:space="0" w:color="auto"/>
        <w:bottom w:val="none" w:sz="0" w:space="0" w:color="auto"/>
        <w:right w:val="none" w:sz="0" w:space="0" w:color="auto"/>
      </w:divBdr>
    </w:div>
    <w:div w:id="1420180200">
      <w:bodyDiv w:val="1"/>
      <w:marLeft w:val="0"/>
      <w:marRight w:val="0"/>
      <w:marTop w:val="0"/>
      <w:marBottom w:val="0"/>
      <w:divBdr>
        <w:top w:val="none" w:sz="0" w:space="0" w:color="auto"/>
        <w:left w:val="none" w:sz="0" w:space="0" w:color="auto"/>
        <w:bottom w:val="none" w:sz="0" w:space="0" w:color="auto"/>
        <w:right w:val="none" w:sz="0" w:space="0" w:color="auto"/>
      </w:divBdr>
    </w:div>
    <w:div w:id="1461654070">
      <w:bodyDiv w:val="1"/>
      <w:marLeft w:val="0"/>
      <w:marRight w:val="0"/>
      <w:marTop w:val="0"/>
      <w:marBottom w:val="0"/>
      <w:divBdr>
        <w:top w:val="none" w:sz="0" w:space="0" w:color="auto"/>
        <w:left w:val="none" w:sz="0" w:space="0" w:color="auto"/>
        <w:bottom w:val="none" w:sz="0" w:space="0" w:color="auto"/>
        <w:right w:val="none" w:sz="0" w:space="0" w:color="auto"/>
      </w:divBdr>
    </w:div>
    <w:div w:id="1644505091">
      <w:bodyDiv w:val="1"/>
      <w:marLeft w:val="0"/>
      <w:marRight w:val="0"/>
      <w:marTop w:val="0"/>
      <w:marBottom w:val="0"/>
      <w:divBdr>
        <w:top w:val="none" w:sz="0" w:space="0" w:color="auto"/>
        <w:left w:val="none" w:sz="0" w:space="0" w:color="auto"/>
        <w:bottom w:val="none" w:sz="0" w:space="0" w:color="auto"/>
        <w:right w:val="none" w:sz="0" w:space="0" w:color="auto"/>
      </w:divBdr>
    </w:div>
    <w:div w:id="1709601025">
      <w:bodyDiv w:val="1"/>
      <w:marLeft w:val="0"/>
      <w:marRight w:val="0"/>
      <w:marTop w:val="0"/>
      <w:marBottom w:val="0"/>
      <w:divBdr>
        <w:top w:val="none" w:sz="0" w:space="0" w:color="auto"/>
        <w:left w:val="none" w:sz="0" w:space="0" w:color="auto"/>
        <w:bottom w:val="none" w:sz="0" w:space="0" w:color="auto"/>
        <w:right w:val="none" w:sz="0" w:space="0" w:color="auto"/>
      </w:divBdr>
    </w:div>
    <w:div w:id="1719862456">
      <w:bodyDiv w:val="1"/>
      <w:marLeft w:val="0"/>
      <w:marRight w:val="0"/>
      <w:marTop w:val="0"/>
      <w:marBottom w:val="0"/>
      <w:divBdr>
        <w:top w:val="none" w:sz="0" w:space="0" w:color="auto"/>
        <w:left w:val="none" w:sz="0" w:space="0" w:color="auto"/>
        <w:bottom w:val="none" w:sz="0" w:space="0" w:color="auto"/>
        <w:right w:val="none" w:sz="0" w:space="0" w:color="auto"/>
      </w:divBdr>
    </w:div>
    <w:div w:id="1721131646">
      <w:bodyDiv w:val="1"/>
      <w:marLeft w:val="0"/>
      <w:marRight w:val="0"/>
      <w:marTop w:val="0"/>
      <w:marBottom w:val="0"/>
      <w:divBdr>
        <w:top w:val="none" w:sz="0" w:space="0" w:color="auto"/>
        <w:left w:val="none" w:sz="0" w:space="0" w:color="auto"/>
        <w:bottom w:val="none" w:sz="0" w:space="0" w:color="auto"/>
        <w:right w:val="none" w:sz="0" w:space="0" w:color="auto"/>
      </w:divBdr>
    </w:div>
    <w:div w:id="1724134208">
      <w:bodyDiv w:val="1"/>
      <w:marLeft w:val="0"/>
      <w:marRight w:val="0"/>
      <w:marTop w:val="0"/>
      <w:marBottom w:val="0"/>
      <w:divBdr>
        <w:top w:val="none" w:sz="0" w:space="0" w:color="auto"/>
        <w:left w:val="none" w:sz="0" w:space="0" w:color="auto"/>
        <w:bottom w:val="none" w:sz="0" w:space="0" w:color="auto"/>
        <w:right w:val="none" w:sz="0" w:space="0" w:color="auto"/>
      </w:divBdr>
    </w:div>
    <w:div w:id="1751151170">
      <w:bodyDiv w:val="1"/>
      <w:marLeft w:val="0"/>
      <w:marRight w:val="0"/>
      <w:marTop w:val="0"/>
      <w:marBottom w:val="0"/>
      <w:divBdr>
        <w:top w:val="none" w:sz="0" w:space="0" w:color="auto"/>
        <w:left w:val="none" w:sz="0" w:space="0" w:color="auto"/>
        <w:bottom w:val="none" w:sz="0" w:space="0" w:color="auto"/>
        <w:right w:val="none" w:sz="0" w:space="0" w:color="auto"/>
      </w:divBdr>
    </w:div>
    <w:div w:id="1789200048">
      <w:bodyDiv w:val="1"/>
      <w:marLeft w:val="0"/>
      <w:marRight w:val="0"/>
      <w:marTop w:val="0"/>
      <w:marBottom w:val="0"/>
      <w:divBdr>
        <w:top w:val="none" w:sz="0" w:space="0" w:color="auto"/>
        <w:left w:val="none" w:sz="0" w:space="0" w:color="auto"/>
        <w:bottom w:val="none" w:sz="0" w:space="0" w:color="auto"/>
        <w:right w:val="none" w:sz="0" w:space="0" w:color="auto"/>
      </w:divBdr>
    </w:div>
    <w:div w:id="1999916780">
      <w:bodyDiv w:val="1"/>
      <w:marLeft w:val="0"/>
      <w:marRight w:val="0"/>
      <w:marTop w:val="0"/>
      <w:marBottom w:val="0"/>
      <w:divBdr>
        <w:top w:val="none" w:sz="0" w:space="0" w:color="auto"/>
        <w:left w:val="none" w:sz="0" w:space="0" w:color="auto"/>
        <w:bottom w:val="none" w:sz="0" w:space="0" w:color="auto"/>
        <w:right w:val="none" w:sz="0" w:space="0" w:color="auto"/>
      </w:divBdr>
    </w:div>
    <w:div w:id="2005470255">
      <w:bodyDiv w:val="1"/>
      <w:marLeft w:val="0"/>
      <w:marRight w:val="0"/>
      <w:marTop w:val="0"/>
      <w:marBottom w:val="0"/>
      <w:divBdr>
        <w:top w:val="none" w:sz="0" w:space="0" w:color="auto"/>
        <w:left w:val="none" w:sz="0" w:space="0" w:color="auto"/>
        <w:bottom w:val="none" w:sz="0" w:space="0" w:color="auto"/>
        <w:right w:val="none" w:sz="0" w:space="0" w:color="auto"/>
      </w:divBdr>
    </w:div>
    <w:div w:id="2054190618">
      <w:bodyDiv w:val="1"/>
      <w:marLeft w:val="0"/>
      <w:marRight w:val="0"/>
      <w:marTop w:val="0"/>
      <w:marBottom w:val="0"/>
      <w:divBdr>
        <w:top w:val="none" w:sz="0" w:space="0" w:color="auto"/>
        <w:left w:val="none" w:sz="0" w:space="0" w:color="auto"/>
        <w:bottom w:val="none" w:sz="0" w:space="0" w:color="auto"/>
        <w:right w:val="none" w:sz="0" w:space="0" w:color="auto"/>
      </w:divBdr>
    </w:div>
    <w:div w:id="2059164946">
      <w:bodyDiv w:val="1"/>
      <w:marLeft w:val="0"/>
      <w:marRight w:val="0"/>
      <w:marTop w:val="0"/>
      <w:marBottom w:val="0"/>
      <w:divBdr>
        <w:top w:val="none" w:sz="0" w:space="0" w:color="auto"/>
        <w:left w:val="none" w:sz="0" w:space="0" w:color="auto"/>
        <w:bottom w:val="none" w:sz="0" w:space="0" w:color="auto"/>
        <w:right w:val="none" w:sz="0" w:space="0" w:color="auto"/>
      </w:divBdr>
    </w:div>
    <w:div w:id="213328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theme" Target="theme/theme1.xml"/><Relationship Id="rId20" Type="http://schemas.openxmlformats.org/officeDocument/2006/relationships/image" Target="media/image10.emf"/><Relationship Id="rId41" Type="http://schemas.openxmlformats.org/officeDocument/2006/relationships/image" Target="media/image3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f5a570a-c302-4e68-9be3-bfab5cd6939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07CD2F871E444A83622A4AAA9DADD4" ma:contentTypeVersion="5" ma:contentTypeDescription="Create a new document." ma:contentTypeScope="" ma:versionID="add5e3d96256d1e91f6ff84d497d06b5">
  <xsd:schema xmlns:xsd="http://www.w3.org/2001/XMLSchema" xmlns:xs="http://www.w3.org/2001/XMLSchema" xmlns:p="http://schemas.microsoft.com/office/2006/metadata/properties" xmlns:ns3="ef5a570a-c302-4e68-9be3-bfab5cd69396" targetNamespace="http://schemas.microsoft.com/office/2006/metadata/properties" ma:root="true" ma:fieldsID="be07633f948f42765e5ffb18bdb6ffac" ns3:_="">
    <xsd:import namespace="ef5a570a-c302-4e68-9be3-bfab5cd6939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a570a-c302-4e68-9be3-bfab5cd69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94557-F383-45F4-97D3-100E494EBA03}">
  <ds:schemaRefs>
    <ds:schemaRef ds:uri="http://schemas.microsoft.com/sharepoint/v3/contenttype/forms"/>
  </ds:schemaRefs>
</ds:datastoreItem>
</file>

<file path=customXml/itemProps2.xml><?xml version="1.0" encoding="utf-8"?>
<ds:datastoreItem xmlns:ds="http://schemas.openxmlformats.org/officeDocument/2006/customXml" ds:itemID="{C64491FB-27DF-4B7B-B586-92E9DD75D163}">
  <ds:schemaRefs>
    <ds:schemaRef ds:uri="http://schemas.microsoft.com/office/2006/metadata/properties"/>
    <ds:schemaRef ds:uri="http://schemas.microsoft.com/office/infopath/2007/PartnerControls"/>
    <ds:schemaRef ds:uri="ef5a570a-c302-4e68-9be3-bfab5cd69396"/>
  </ds:schemaRefs>
</ds:datastoreItem>
</file>

<file path=customXml/itemProps3.xml><?xml version="1.0" encoding="utf-8"?>
<ds:datastoreItem xmlns:ds="http://schemas.openxmlformats.org/officeDocument/2006/customXml" ds:itemID="{482FF0EE-BDAE-4294-A2F9-CB0F363E8940}">
  <ds:schemaRefs>
    <ds:schemaRef ds:uri="http://schemas.openxmlformats.org/officeDocument/2006/bibliography"/>
  </ds:schemaRefs>
</ds:datastoreItem>
</file>

<file path=customXml/itemProps4.xml><?xml version="1.0" encoding="utf-8"?>
<ds:datastoreItem xmlns:ds="http://schemas.openxmlformats.org/officeDocument/2006/customXml" ds:itemID="{34B23B87-15D3-43E0-A881-A3321500C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a570a-c302-4e68-9be3-bfab5cd69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22</Pages>
  <Words>4105</Words>
  <Characters>23400</Characters>
  <Application>Microsoft Office Word</Application>
  <DocSecurity>0</DocSecurity>
  <Lines>195</Lines>
  <Paragraphs>54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Falasconi</dc:creator>
  <cp:keywords/>
  <dc:description/>
  <cp:lastModifiedBy>Alessia Falasconi</cp:lastModifiedBy>
  <cp:revision>14</cp:revision>
  <dcterms:created xsi:type="dcterms:W3CDTF">2024-05-09T15:36:00Z</dcterms:created>
  <dcterms:modified xsi:type="dcterms:W3CDTF">2024-05-14T09:59:00Z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0x0101003707CD2F871E444A83622A4AAA9DADD4</vt:lpwstr>
  </property>
</Properties>
</file>