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555"/>
        <w:gridCol w:w="1831"/>
        <w:gridCol w:w="2925"/>
        <w:gridCol w:w="1457"/>
        <w:gridCol w:w="1583"/>
      </w:tblGrid>
      <w:tr w:rsidR="00482CC8" w:rsidRPr="00482CC8" w:rsidTr="004778F2">
        <w:trPr>
          <w:trHeight w:val="1070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  <w:b/>
                <w:bCs/>
              </w:rPr>
              <w:t>Domain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  <w:b/>
                <w:bCs/>
              </w:rPr>
              <w:t>Tool/Questionnaire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  <w:b/>
                <w:bCs/>
              </w:rPr>
              <w:t>Description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  <w:b/>
                <w:bCs/>
              </w:rPr>
              <w:t>Score Range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  <w:b/>
                <w:bCs/>
              </w:rPr>
              <w:t>Abnormal Value</w:t>
            </w:r>
          </w:p>
        </w:tc>
      </w:tr>
      <w:tr w:rsidR="00482CC8" w:rsidRPr="00482CC8" w:rsidTr="004778F2">
        <w:trPr>
          <w:trHeight w:val="177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Function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Katz Index of Independence in ADL</w:t>
            </w:r>
            <w:r w:rsidRPr="004778F2">
              <w:rPr>
                <w:rFonts w:ascii="Aptos" w:hAnsi="Aptos"/>
                <w:vertAlign w:val="superscript"/>
              </w:rPr>
              <w:t>12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Assessment of difficulties in bathing, dressing, toileting, transferring, continence, and feeding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0-6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&lt;6</w:t>
            </w:r>
          </w:p>
        </w:tc>
      </w:tr>
      <w:tr w:rsidR="00482CC8" w:rsidRPr="00482CC8" w:rsidTr="004778F2">
        <w:trPr>
          <w:trHeight w:val="249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Lawton IAD</w:t>
            </w:r>
            <w:r w:rsidRPr="004778F2">
              <w:rPr>
                <w:rFonts w:ascii="Aptos" w:hAnsi="Aptos"/>
              </w:rPr>
              <w:t>L</w:t>
            </w:r>
            <w:r w:rsidRPr="004778F2">
              <w:rPr>
                <w:rFonts w:ascii="Aptos" w:hAnsi="Aptos"/>
                <w:vertAlign w:val="superscript"/>
              </w:rPr>
              <w:t>11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Assessment of ability to use the telephone, shop, prepare food, do housekeeping, laundry, transportation, and handle medications and finances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0-8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&lt;5 in men &lt;8 in women</w:t>
            </w:r>
          </w:p>
        </w:tc>
      </w:tr>
      <w:tr w:rsidR="00482CC8" w:rsidRPr="00482CC8" w:rsidTr="004778F2">
        <w:trPr>
          <w:trHeight w:val="357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Timed-Up-and-G</w:t>
            </w:r>
            <w:r w:rsidRPr="004778F2">
              <w:rPr>
                <w:rFonts w:ascii="Aptos" w:hAnsi="Aptos"/>
              </w:rPr>
              <w:t>o</w:t>
            </w:r>
            <w:r w:rsidRPr="004778F2">
              <w:rPr>
                <w:rFonts w:ascii="Aptos" w:hAnsi="Aptos"/>
                <w:vertAlign w:val="superscript"/>
              </w:rPr>
              <w:t>21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Question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The patient was asked to sit on a chair, the timer was started, and the patient was asked to get up, walk a distance of 3 m, turn around, walk back, and sit down on the chair again, at which point the timer was stopped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N/A (patient dependent)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&gt;12 s</w:t>
            </w:r>
          </w:p>
        </w:tc>
      </w:tr>
      <w:tr w:rsidR="00482CC8" w:rsidRPr="00482CC8" w:rsidTr="004778F2">
        <w:trPr>
          <w:trHeight w:val="141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Falls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Question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The patient was asked if he/she had any falls in the past 1 year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N/A (yes/no question)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Yes</w:t>
            </w:r>
          </w:p>
        </w:tc>
      </w:tr>
      <w:tr w:rsidR="00482CC8" w:rsidRPr="00482CC8" w:rsidTr="004778F2">
        <w:trPr>
          <w:trHeight w:val="609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lastRenderedPageBreak/>
              <w:t>Comorbidities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C</w:t>
            </w:r>
            <w:r w:rsidRPr="004778F2">
              <w:rPr>
                <w:rFonts w:ascii="Aptos" w:hAnsi="Aptos"/>
              </w:rPr>
              <w:t>CI</w:t>
            </w:r>
            <w:r w:rsidRPr="004778F2">
              <w:rPr>
                <w:rFonts w:ascii="Aptos" w:hAnsi="Aptos"/>
                <w:vertAlign w:val="superscript"/>
              </w:rPr>
              <w:t>18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 weighted questionnaire to evaluate 21 comorbidities, including myocardial infarction, congestive heart failure, peripheral vascular disease, cerebrovascular disease, peptic ulcer, diabetes +/- end-organ damage, renal or hepatic disease, HIV, cancer +/- metastases, dementia, rheumatic, ILD, hypertension, ulcers, depression, or warfarin therapy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0-33 (for patients with a new diagnosis of malignancy, this was not counted in the CCI score)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&gt;1</w:t>
            </w:r>
          </w:p>
        </w:tc>
      </w:tr>
      <w:tr w:rsidR="00482CC8" w:rsidRPr="00482CC8" w:rsidTr="004778F2">
        <w:trPr>
          <w:trHeight w:val="465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CIRS-G</w:t>
            </w:r>
            <w:r w:rsidRPr="004778F2">
              <w:rPr>
                <w:rFonts w:ascii="Aptos" w:hAnsi="Aptos"/>
                <w:vertAlign w:val="superscript"/>
              </w:rPr>
              <w:t>19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 xml:space="preserve">A quantitative measure of the burden of 14 illnesses, including cardiac, vascular, hematologic, respiratory, ear/nose/throat, gastrointestinal, </w:t>
            </w:r>
            <w:proofErr w:type="spellStart"/>
            <w:r w:rsidRPr="00482CC8">
              <w:rPr>
                <w:rFonts w:ascii="Aptos" w:hAnsi="Aptos"/>
              </w:rPr>
              <w:t>hepatopancreatobiliary</w:t>
            </w:r>
            <w:proofErr w:type="spellEnd"/>
            <w:r w:rsidRPr="00482CC8">
              <w:rPr>
                <w:rFonts w:ascii="Aptos" w:hAnsi="Aptos"/>
              </w:rPr>
              <w:t>, renal, genitourinary, musculoskeletal/cutaneous, neurologic, psychiatric, and endocrinologic/breast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0-56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Total score: &gt;4 Severity index (total score/number of categories in which answer is &gt;0) ≥2 Each score comorbidity (scores 3-4) ≥1</w:t>
            </w:r>
          </w:p>
        </w:tc>
      </w:tr>
      <w:tr w:rsidR="00482CC8" w:rsidRPr="00482CC8" w:rsidTr="004778F2">
        <w:trPr>
          <w:trHeight w:val="321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lastRenderedPageBreak/>
              <w:t>Psychological status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GDS-Short Form</w:t>
            </w:r>
            <w:r w:rsidRPr="004778F2">
              <w:rPr>
                <w:rFonts w:ascii="Aptos" w:hAnsi="Aptos"/>
                <w:vertAlign w:val="superscript"/>
              </w:rPr>
              <w:t>13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 15-item questionnaire to evaluate the presence of depressive symptoms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 to 15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0-4: Normal 5-8: Mild depression 9-11: Moderate depression 12-15: Severe depression</w:t>
            </w:r>
          </w:p>
        </w:tc>
      </w:tr>
      <w:tr w:rsidR="00482CC8" w:rsidRPr="00482CC8" w:rsidTr="004778F2">
        <w:trPr>
          <w:trHeight w:val="249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GAD-7 scal</w:t>
            </w:r>
            <w:r w:rsidRPr="004778F2">
              <w:rPr>
                <w:rFonts w:ascii="Aptos" w:hAnsi="Aptos"/>
              </w:rPr>
              <w:t>e</w:t>
            </w:r>
            <w:r w:rsidRPr="004778F2">
              <w:rPr>
                <w:rFonts w:ascii="Aptos" w:hAnsi="Aptos"/>
                <w:vertAlign w:val="superscript"/>
              </w:rPr>
              <w:t>14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 7-item questionnaire including questions about anxiety symptoms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0-15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0-5: Mild anxiety 6-10: Moderate anxiety ≥11: Severe anxiety</w:t>
            </w:r>
          </w:p>
        </w:tc>
      </w:tr>
      <w:tr w:rsidR="00482CC8" w:rsidRPr="00482CC8" w:rsidTr="004778F2">
        <w:trPr>
          <w:trHeight w:val="141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Nutrition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BMI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Weight in kilograms divided by the square of the height in meters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N/A (patient dependent)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&lt;21 kg/m²</w:t>
            </w:r>
          </w:p>
        </w:tc>
      </w:tr>
      <w:tr w:rsidR="00482CC8" w:rsidRPr="00482CC8" w:rsidTr="004778F2">
        <w:trPr>
          <w:trHeight w:val="141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Unintentional weight loss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Current weight in relation to the patient’s maximum weight in the past 6 months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&gt;10% from baseline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-</w:t>
            </w:r>
          </w:p>
        </w:tc>
      </w:tr>
      <w:tr w:rsidR="00482CC8" w:rsidRPr="00482CC8" w:rsidTr="004778F2">
        <w:trPr>
          <w:trHeight w:val="285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MN</w:t>
            </w:r>
            <w:r w:rsidRPr="004778F2">
              <w:rPr>
                <w:rFonts w:ascii="Aptos" w:hAnsi="Aptos"/>
              </w:rPr>
              <w:t>A</w:t>
            </w:r>
            <w:r w:rsidRPr="004778F2">
              <w:rPr>
                <w:rFonts w:ascii="Aptos" w:hAnsi="Aptos"/>
                <w:vertAlign w:val="superscript"/>
              </w:rPr>
              <w:t>16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 screening score with 12 items that result in a questionnaire score and thus give an assessment score. The combined score results in the Malnutrition Indicator Score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0-30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&lt;17: Malnourished 17-23.5: At risk of malnutrition ≥24: Normal nutrition</w:t>
            </w:r>
          </w:p>
        </w:tc>
      </w:tr>
      <w:tr w:rsidR="00482CC8" w:rsidRPr="00482CC8" w:rsidTr="004778F2">
        <w:trPr>
          <w:trHeight w:val="393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lastRenderedPageBreak/>
              <w:t>Cognition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  <w:vertAlign w:val="superscript"/>
              </w:rPr>
            </w:pPr>
            <w:r w:rsidRPr="00482CC8">
              <w:rPr>
                <w:rFonts w:ascii="Aptos" w:hAnsi="Aptos"/>
              </w:rPr>
              <w:t>MMSE</w:t>
            </w:r>
            <w:r w:rsidRPr="004778F2">
              <w:rPr>
                <w:rFonts w:ascii="Aptos" w:hAnsi="Aptos"/>
                <w:vertAlign w:val="superscript"/>
              </w:rPr>
              <w:t>20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 30-item questionnaire to measure cognitive impairment. Items assessed include orientation, registration, attention and calculation, recall, language, and praxis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0-30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0-17: Severe cognitive impairment 18-23: Mild cognitive impairment 24-30: Normal cognitive impairment</w:t>
            </w:r>
          </w:p>
        </w:tc>
      </w:tr>
      <w:tr w:rsidR="00482CC8" w:rsidRPr="00482CC8" w:rsidTr="004778F2">
        <w:trPr>
          <w:trHeight w:val="2135"/>
        </w:trPr>
        <w:tc>
          <w:tcPr>
            <w:tcW w:w="155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Fatigue</w:t>
            </w:r>
          </w:p>
        </w:tc>
        <w:tc>
          <w:tcPr>
            <w:tcW w:w="1831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Fatigue question</w:t>
            </w:r>
          </w:p>
        </w:tc>
        <w:tc>
          <w:tcPr>
            <w:tcW w:w="2925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An 11-point scale ranging from 0 (no tiredness at all) to 10 (as tired as I could be) or lack of energy to [worst possible tiredness]</w:t>
            </w:r>
          </w:p>
        </w:tc>
        <w:tc>
          <w:tcPr>
            <w:tcW w:w="1457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0-10</w:t>
            </w:r>
          </w:p>
        </w:tc>
        <w:tc>
          <w:tcPr>
            <w:tcW w:w="1583" w:type="dxa"/>
            <w:hideMark/>
          </w:tcPr>
          <w:p w:rsidR="00482CC8" w:rsidRPr="00482CC8" w:rsidRDefault="00482CC8" w:rsidP="00482CC8">
            <w:pPr>
              <w:rPr>
                <w:rFonts w:ascii="Aptos" w:hAnsi="Aptos"/>
              </w:rPr>
            </w:pPr>
            <w:r w:rsidRPr="00482CC8">
              <w:rPr>
                <w:rFonts w:ascii="Aptos" w:hAnsi="Aptos"/>
              </w:rPr>
              <w:t>Yes (with score ≥4)</w:t>
            </w:r>
          </w:p>
        </w:tc>
      </w:tr>
    </w:tbl>
    <w:p w:rsidR="00482CC8" w:rsidRPr="00482CC8" w:rsidRDefault="00482CC8" w:rsidP="00482CC8">
      <w:pPr>
        <w:rPr>
          <w:rFonts w:ascii="Aptos" w:hAnsi="Aptos"/>
        </w:rPr>
      </w:pPr>
    </w:p>
    <w:p w:rsidR="00000000" w:rsidRPr="004778F2" w:rsidRDefault="00000000">
      <w:pPr>
        <w:rPr>
          <w:rFonts w:ascii="Aptos" w:hAnsi="Aptos"/>
        </w:rPr>
      </w:pPr>
    </w:p>
    <w:sectPr w:rsidR="007941BD" w:rsidRPr="00477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A440B"/>
    <w:multiLevelType w:val="hybridMultilevel"/>
    <w:tmpl w:val="78ACF28E"/>
    <w:lvl w:ilvl="0" w:tplc="9364E8E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9754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CC8"/>
    <w:rsid w:val="00203217"/>
    <w:rsid w:val="004778F2"/>
    <w:rsid w:val="00482CC8"/>
    <w:rsid w:val="0051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52A901"/>
  <w15:chartTrackingRefBased/>
  <w15:docId w15:val="{1D182B6C-C2EE-9945-8375-20653E58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2C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2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0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474</Words>
  <Characters>2513</Characters>
  <Application>Microsoft Office Word</Application>
  <DocSecurity>0</DocSecurity>
  <Lines>35</Lines>
  <Paragraphs>7</Paragraphs>
  <ScaleCrop>false</ScaleCrop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laboni sarkar</dc:creator>
  <cp:keywords/>
  <dc:description/>
  <cp:lastModifiedBy>laboni sarkar</cp:lastModifiedBy>
  <cp:revision>2</cp:revision>
  <dcterms:created xsi:type="dcterms:W3CDTF">2024-04-07T04:55:00Z</dcterms:created>
  <dcterms:modified xsi:type="dcterms:W3CDTF">2024-04-07T06:54:00Z</dcterms:modified>
</cp:coreProperties>
</file>