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pStyle w:val="2"/>
        <w:keepNext/>
        <w:rPr>
          <w:rFonts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>upplemental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 t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 xml:space="preserve">able 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1 </w:t>
      </w:r>
      <w:bookmarkStart w:id="2" w:name="_GoBack"/>
      <w:bookmarkEnd w:id="2"/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>MRI parameters of the two centers</w:t>
      </w:r>
    </w:p>
    <w:tbl>
      <w:tblPr>
        <w:tblStyle w:val="4"/>
        <w:tblW w:w="11908" w:type="dxa"/>
        <w:tblInd w:w="-17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1417"/>
        <w:gridCol w:w="992"/>
        <w:gridCol w:w="993"/>
        <w:gridCol w:w="992"/>
        <w:gridCol w:w="1134"/>
        <w:gridCol w:w="992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836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Hospital</w:t>
            </w:r>
          </w:p>
        </w:tc>
        <w:tc>
          <w:tcPr>
            <w:tcW w:w="1417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Scanner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Patients No.</w:t>
            </w:r>
          </w:p>
        </w:tc>
        <w:tc>
          <w:tcPr>
            <w:tcW w:w="993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Sequence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TR/TE</w:t>
            </w:r>
          </w:p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(ms)</w:t>
            </w:r>
          </w:p>
        </w:tc>
        <w:tc>
          <w:tcPr>
            <w:tcW w:w="1134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Slice Thickness (mm)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Slice Gap (mm)</w:t>
            </w:r>
          </w:p>
        </w:tc>
        <w:tc>
          <w:tcPr>
            <w:tcW w:w="1276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Matrix size</w:t>
            </w:r>
          </w:p>
        </w:tc>
        <w:tc>
          <w:tcPr>
            <w:tcW w:w="1276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FOV</w:t>
            </w:r>
          </w:p>
          <w:p>
            <w:pPr>
              <w:outlineLvl w:val="2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836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The Fifth Affiliated Hospital of Wenzhou Medical University </w:t>
            </w:r>
          </w:p>
        </w:tc>
        <w:tc>
          <w:tcPr>
            <w:tcW w:w="1417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SIEMENS 1.5T</w:t>
            </w:r>
          </w:p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(MAGENTOM Area)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</w:pP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  <w:t>13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993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Sagittal T2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1200/90</w:t>
            </w:r>
          </w:p>
        </w:tc>
        <w:tc>
          <w:tcPr>
            <w:tcW w:w="1134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76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256×288</w:t>
            </w:r>
          </w:p>
        </w:tc>
        <w:tc>
          <w:tcPr>
            <w:tcW w:w="1276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380×344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6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Radiology Department of the Second Affiliated Hospital and Yuying Children’s Hospital, Wenzhou Medical University</w:t>
            </w:r>
          </w:p>
        </w:tc>
        <w:tc>
          <w:tcPr>
            <w:tcW w:w="1417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SIEMENS 1.5T</w:t>
            </w:r>
          </w:p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MAGENTOM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</w:rPr>
              <w:t xml:space="preserve"> Avanto</w:t>
            </w: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41</w:t>
            </w:r>
          </w:p>
        </w:tc>
        <w:tc>
          <w:tcPr>
            <w:tcW w:w="993" w:type="dxa"/>
          </w:tcPr>
          <w:p>
            <w:pPr>
              <w:outlineLvl w:val="2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Sagittal T2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1350/90</w:t>
            </w:r>
          </w:p>
        </w:tc>
        <w:tc>
          <w:tcPr>
            <w:tcW w:w="1134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92" w:type="dxa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76" w:type="dxa"/>
          </w:tcPr>
          <w:p>
            <w:pPr>
              <w:outlineLvl w:val="2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256×205</w:t>
            </w:r>
          </w:p>
        </w:tc>
        <w:tc>
          <w:tcPr>
            <w:tcW w:w="1276" w:type="dxa"/>
          </w:tcPr>
          <w:p>
            <w:pPr>
              <w:outlineLvl w:val="2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380×380</w:t>
            </w:r>
          </w:p>
        </w:tc>
      </w:tr>
    </w:tbl>
    <w:p>
      <w:pPr>
        <w:jc w:val="left"/>
        <w:outlineLvl w:val="2"/>
        <w:rPr>
          <w:rFonts w:hint="default" w:ascii="Times New Roman" w:hAnsi="Times New Roman" w:cs="Times New Roman"/>
          <w:b/>
          <w:bCs/>
          <w:sz w:val="15"/>
          <w:szCs w:val="15"/>
          <w:lang w:val="en-US"/>
        </w:rPr>
      </w:pPr>
      <w:r>
        <w:rPr>
          <w:rFonts w:ascii="Times New Roman" w:hAnsi="Times New Roman" w:cs="Times New Roman"/>
          <w:b/>
          <w:bCs/>
          <w:sz w:val="15"/>
          <w:szCs w:val="15"/>
          <w:lang w:val="en-US" w:eastAsia="zh-CN"/>
        </w:rPr>
        <w:t xml:space="preserve">TR repetition time, </w:t>
      </w:r>
      <w:r>
        <w:rPr>
          <w:rFonts w:hint="default" w:ascii="Times New Roman" w:hAnsi="Times New Roman" w:cs="Times New Roman"/>
          <w:b/>
          <w:bCs/>
          <w:sz w:val="15"/>
          <w:szCs w:val="15"/>
          <w:lang w:val="en-US" w:eastAsia="zh-CN"/>
        </w:rPr>
        <w:t>TE echo time</w:t>
      </w:r>
      <w:r>
        <w:rPr>
          <w:rFonts w:hint="eastAsia" w:ascii="Times New Roman" w:hAnsi="Times New Roman" w:cs="Times New Roman"/>
          <w:b/>
          <w:bCs/>
          <w:sz w:val="15"/>
          <w:szCs w:val="15"/>
          <w:lang w:val="en-US" w:eastAsia="zh-CN"/>
        </w:rPr>
        <w:t>,FOV field of view</w:t>
      </w:r>
    </w:p>
    <w:p>
      <w:pPr>
        <w:outlineLvl w:val="2"/>
        <w:rPr>
          <w:rFonts w:ascii="Times New Roman" w:hAnsi="Times New Roman" w:cs="Times New Roman"/>
          <w:b/>
          <w:bCs/>
          <w:sz w:val="15"/>
          <w:szCs w:val="15"/>
        </w:rPr>
      </w:pPr>
    </w:p>
    <w:p>
      <w:pPr>
        <w:spacing w:line="276" w:lineRule="auto"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</w:rPr>
        <w:t>upplemental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 t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 </w:t>
      </w:r>
      <w:r>
        <w:rPr>
          <w:rFonts w:ascii="Times New Roman" w:hAnsi="Times New Roman" w:cs="Times New Roman"/>
          <w:b/>
          <w:bCs/>
          <w:sz w:val="24"/>
          <w:szCs w:val="24"/>
        </w:rPr>
        <w:t>The 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82374739"/>
      <w:r>
        <w:rPr>
          <w:rFonts w:ascii="Times New Roman" w:hAnsi="Times New Roman" w:cs="Times New Roman"/>
          <w:b/>
          <w:bCs/>
          <w:sz w:val="24"/>
          <w:szCs w:val="24"/>
        </w:rPr>
        <w:t>remaining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radiomics features</w:t>
      </w:r>
    </w:p>
    <w:tbl>
      <w:tblPr>
        <w:tblStyle w:val="4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479"/>
        <w:gridCol w:w="4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bookmarkStart w:id="1" w:name="OLE_LINK13"/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No.</w:t>
            </w:r>
          </w:p>
        </w:tc>
        <w:tc>
          <w:tcPr>
            <w:tcW w:w="34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Coefficient</w:t>
            </w:r>
          </w:p>
        </w:tc>
        <w:tc>
          <w:tcPr>
            <w:tcW w:w="44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Feature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</w:t>
            </w:r>
          </w:p>
        </w:tc>
        <w:tc>
          <w:tcPr>
            <w:tcW w:w="34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0.264956095375462</w:t>
            </w:r>
          </w:p>
        </w:tc>
        <w:tc>
          <w:tcPr>
            <w:tcW w:w="44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original_shape_Flatness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R2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0.306782430379598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original_firstorder_Energy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R3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0.142734329768857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log-sigma-5-0-mm-3D_glcm_Correlation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R4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0.177966429325735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wavelet-LLH_glcm_Imc1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R5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-0.00269919598660373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wavelet-LHL_firstorder_Median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R6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0.00539597130732092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wavelet-LHL_firstorder_Skewness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R7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0.00867785612847179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wavelet-LHL_glcm_MCC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R8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0.195088484960637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wavelet-LHL_glszm_ZoneEntropy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R9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-0.161477499265382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wavelet-LHH_glcm_Idmn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R10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0.245150880326412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wavelet-LHH_glszm_LargeAreaHighGrayLevelEmphasis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R11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-0.0667574535706453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wavelet-HLL_firstorder_Kurtosis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R12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-0.0176772416637437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wavelet-HLL_firstorder_RootMeanSquared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R13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-0.0234788560641197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wavelet-HLL_firstorder_Skewness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R14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-0.048046548828353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wavelet-HLL_glcm_ClusterShade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R15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0.25857777598067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wavelet-HLH_firstorder_Mean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R16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-0.0979261122474002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wavelet-HLH_glcm_Correlation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R17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0.0573792227252365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wavelet-HHL_glcm_Correlation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R18</w:t>
            </w:r>
          </w:p>
        </w:tc>
        <w:tc>
          <w:tcPr>
            <w:tcW w:w="347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-0.0360207338932748</w:t>
            </w:r>
          </w:p>
        </w:tc>
        <w:tc>
          <w:tcPr>
            <w:tcW w:w="440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outlineLvl w:val="2"/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5"/>
                <w:szCs w:val="15"/>
                <w:lang w:val="en-US" w:eastAsia="zh-CN"/>
              </w:rPr>
              <w:t>wavelet-HHH_glcm_MCC</w:t>
            </w:r>
          </w:p>
        </w:tc>
      </w:tr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jYzc0ZGEyYjllNjEyYTNjYmIwODY0ZjFjZjIwNTEifQ=="/>
  </w:docVars>
  <w:rsids>
    <w:rsidRoot w:val="4CB81624"/>
    <w:rsid w:val="30006650"/>
    <w:rsid w:val="4CB8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黑体" w:hAnsi="黑体" w:eastAsia="黑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2024-05-06T14:32:00Z</dcterms:created>
  <dc:creator>fgm</dc:creator>
  <cp:lastModifiedBy>fgm</cp:lastModifiedBy>
  <dcterms:modified xsi:type="dcterms:W3CDTF">2024-05-06T14:36:50Z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F2D861CAC84647018248C2A0A5A8765F_11</vt:lpwstr>
  </property>
</Properties>
</file>