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FB6" w:rsidRPr="00273FB6" w:rsidRDefault="00273FB6" w:rsidP="00273FB6">
      <w:pPr>
        <w:spacing w:after="120"/>
        <w:rPr>
          <w:rFonts w:asciiTheme="majorBidi" w:hAnsiTheme="majorBidi" w:cstheme="majorBidi"/>
          <w:b/>
          <w:bCs/>
          <w:lang w:val="en-GB"/>
        </w:rPr>
      </w:pPr>
      <w:r>
        <w:rPr>
          <w:rFonts w:asciiTheme="majorBidi" w:hAnsiTheme="majorBidi" w:cstheme="majorBidi"/>
          <w:lang w:val="en-GB"/>
        </w:rPr>
        <w:t xml:space="preserve">   </w:t>
      </w:r>
      <w:r w:rsidRPr="00273FB6">
        <w:rPr>
          <w:rFonts w:asciiTheme="majorBidi" w:hAnsiTheme="majorBidi" w:cstheme="majorBidi"/>
          <w:b/>
          <w:bCs/>
          <w:lang w:val="en-GB"/>
        </w:rPr>
        <w:t>Highlights:</w:t>
      </w:r>
    </w:p>
    <w:p w:rsidR="00191F42" w:rsidRPr="00191F42" w:rsidRDefault="00191F42" w:rsidP="00191F42">
      <w:pPr>
        <w:pStyle w:val="ListParagraph"/>
        <w:numPr>
          <w:ilvl w:val="0"/>
          <w:numId w:val="1"/>
        </w:numPr>
        <w:rPr>
          <w:rFonts w:asciiTheme="majorBidi" w:eastAsiaTheme="minorHAnsi" w:hAnsiTheme="majorBidi" w:cstheme="majorBidi"/>
          <w:lang w:val="en-US" w:bidi="ar-EG"/>
        </w:rPr>
      </w:pPr>
      <w:r w:rsidRPr="00191F42">
        <w:rPr>
          <w:rFonts w:asciiTheme="majorBidi" w:hAnsiTheme="majorBidi" w:cstheme="majorBidi"/>
          <w:lang w:val="en-US" w:bidi="ar-EG"/>
        </w:rPr>
        <w:t>The coronary calcium score is a distinct feature of coronary atherosclerosis</w:t>
      </w:r>
    </w:p>
    <w:p w:rsidR="00191F42" w:rsidRPr="00191F42" w:rsidRDefault="00191F42" w:rsidP="00191F42">
      <w:pPr>
        <w:pStyle w:val="ListParagraph"/>
        <w:numPr>
          <w:ilvl w:val="0"/>
          <w:numId w:val="1"/>
        </w:numPr>
        <w:rPr>
          <w:rFonts w:asciiTheme="majorBidi" w:eastAsiaTheme="minorHAnsi" w:hAnsiTheme="majorBidi" w:cstheme="majorBidi"/>
          <w:lang w:val="en-US" w:bidi="ar-EG"/>
        </w:rPr>
      </w:pPr>
      <w:r w:rsidRPr="00696BF3">
        <w:rPr>
          <w:rFonts w:asciiTheme="majorBidi" w:hAnsiTheme="majorBidi" w:cstheme="majorBidi"/>
          <w:lang w:val="en-US"/>
        </w:rPr>
        <w:t>CACS</w:t>
      </w:r>
      <w:r>
        <w:rPr>
          <w:rFonts w:asciiTheme="majorBidi" w:hAnsiTheme="majorBidi" w:cstheme="majorBidi"/>
          <w:lang w:val="en-US"/>
        </w:rPr>
        <w:t xml:space="preserve"> ≥ </w:t>
      </w:r>
      <w:r w:rsidRPr="00696BF3">
        <w:rPr>
          <w:rFonts w:asciiTheme="majorBidi" w:hAnsiTheme="majorBidi" w:cstheme="majorBidi"/>
          <w:lang w:val="en-US"/>
        </w:rPr>
        <w:t xml:space="preserve">400 was a strong independent </w:t>
      </w:r>
      <w:r>
        <w:rPr>
          <w:rFonts w:asciiTheme="majorBidi" w:hAnsiTheme="majorBidi" w:cstheme="majorBidi"/>
          <w:lang w:val="en-US"/>
        </w:rPr>
        <w:t>predictor</w:t>
      </w:r>
      <w:r w:rsidRPr="00696BF3">
        <w:rPr>
          <w:rFonts w:asciiTheme="majorBidi" w:hAnsiTheme="majorBidi" w:cstheme="majorBidi"/>
          <w:lang w:val="en-US"/>
        </w:rPr>
        <w:t xml:space="preserve"> influencing the CVD outcomes</w:t>
      </w:r>
      <w:r>
        <w:rPr>
          <w:rFonts w:asciiTheme="majorBidi" w:hAnsiTheme="majorBidi" w:cstheme="majorBidi"/>
          <w:lang w:val="en-US" w:bidi="ar-EG"/>
        </w:rPr>
        <w:t>.</w:t>
      </w:r>
    </w:p>
    <w:p w:rsidR="00191F42" w:rsidRPr="00191F42" w:rsidRDefault="00191F42" w:rsidP="00191F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rFonts w:asciiTheme="majorBidi" w:hAnsiTheme="majorBidi" w:cstheme="majorBidi"/>
          <w:shd w:val="clear" w:color="auto" w:fill="FFFFFF"/>
          <w:lang w:val="en-US"/>
        </w:rPr>
        <w:t xml:space="preserve">A higher </w:t>
      </w:r>
      <w:r w:rsidRPr="00191F42">
        <w:rPr>
          <w:rFonts w:asciiTheme="majorBidi" w:hAnsiTheme="majorBidi" w:cstheme="majorBidi"/>
          <w:shd w:val="clear" w:color="auto" w:fill="FFFFFF"/>
          <w:lang w:val="en-US"/>
        </w:rPr>
        <w:t>CACS was obviously linked to a higher risk of MACE and overall mortality.</w:t>
      </w:r>
    </w:p>
    <w:p w:rsidR="00191F42" w:rsidRPr="00191F42" w:rsidRDefault="00191F42" w:rsidP="00191F42">
      <w:pPr>
        <w:pStyle w:val="ListParagraph"/>
        <w:ind w:left="900"/>
        <w:rPr>
          <w:rFonts w:asciiTheme="majorBidi" w:eastAsiaTheme="minorHAnsi" w:hAnsiTheme="majorBidi" w:cstheme="majorBidi"/>
          <w:lang w:val="en-US" w:bidi="ar-EG"/>
        </w:rPr>
      </w:pPr>
      <w:bookmarkStart w:id="0" w:name="_GoBack"/>
      <w:bookmarkEnd w:id="0"/>
    </w:p>
    <w:p w:rsidR="00853F75" w:rsidRPr="00273FB6" w:rsidRDefault="00853F75">
      <w:pPr>
        <w:rPr>
          <w:lang w:val="en-US"/>
        </w:rPr>
      </w:pPr>
    </w:p>
    <w:sectPr w:rsidR="00853F75" w:rsidRPr="00273FB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46E22"/>
    <w:multiLevelType w:val="hybridMultilevel"/>
    <w:tmpl w:val="E14245D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FB6"/>
    <w:rsid w:val="00191F42"/>
    <w:rsid w:val="00273FB6"/>
    <w:rsid w:val="00853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E6A5F53-FD04-4B28-B083-F9027FB1E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3FB6"/>
    <w:pPr>
      <w:spacing w:after="0" w:line="480" w:lineRule="auto"/>
      <w:jc w:val="both"/>
    </w:pPr>
    <w:rPr>
      <w:rFonts w:eastAsiaTheme="minorEastAsia"/>
      <w:sz w:val="24"/>
      <w:szCs w:val="24"/>
      <w:lang w:val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3F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279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0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GIGABYTE</dc:creator>
  <cp:keywords/>
  <dc:description/>
  <cp:lastModifiedBy>GIGABYTE</cp:lastModifiedBy>
  <cp:revision>2</cp:revision>
  <dcterms:created xsi:type="dcterms:W3CDTF">2022-08-05T13:29:00Z</dcterms:created>
  <dcterms:modified xsi:type="dcterms:W3CDTF">2023-02-13T13:58:00Z</dcterms:modified>
</cp:coreProperties>
</file>