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834212" w14:textId="142957FA" w:rsidR="007F018A" w:rsidRPr="00EF3CA2" w:rsidRDefault="007F018A" w:rsidP="007F018A">
      <w:pPr>
        <w:pStyle w:val="a3"/>
        <w:keepNext/>
        <w:rPr>
          <w:rFonts w:ascii="Arial" w:hAnsi="Arial" w:cs="Arial"/>
          <w:sz w:val="24"/>
          <w:szCs w:val="24"/>
        </w:rPr>
      </w:pPr>
      <w:r w:rsidRPr="00EF3CA2">
        <w:rPr>
          <w:rFonts w:ascii="Arial" w:hAnsi="Arial" w:cs="Arial"/>
          <w:sz w:val="24"/>
          <w:szCs w:val="24"/>
        </w:rPr>
        <w:t xml:space="preserve">Supplementary </w:t>
      </w:r>
      <w:r w:rsidR="007971C5">
        <w:rPr>
          <w:rFonts w:ascii="Arial" w:hAnsi="Arial" w:cs="Arial" w:hint="eastAsia"/>
          <w:sz w:val="24"/>
          <w:szCs w:val="24"/>
        </w:rPr>
        <w:t>Data</w:t>
      </w:r>
      <w:r w:rsidRPr="00EF3CA2">
        <w:rPr>
          <w:rFonts w:ascii="Arial" w:hAnsi="Arial" w:cs="Arial"/>
          <w:sz w:val="24"/>
          <w:szCs w:val="24"/>
        </w:rPr>
        <w:t xml:space="preserve"> S</w:t>
      </w:r>
      <w:r w:rsidR="007971C5">
        <w:rPr>
          <w:rFonts w:ascii="Arial" w:hAnsi="Arial" w:cs="Arial" w:hint="eastAsia"/>
          <w:sz w:val="24"/>
          <w:szCs w:val="24"/>
        </w:rPr>
        <w:t>2</w:t>
      </w:r>
      <w:r w:rsidRPr="00EF3CA2">
        <w:rPr>
          <w:rFonts w:ascii="Arial" w:hAnsi="Arial" w:cs="Arial"/>
          <w:sz w:val="24"/>
          <w:szCs w:val="24"/>
        </w:rPr>
        <w:t xml:space="preserve">. </w:t>
      </w:r>
      <w:r w:rsidR="00A818C6" w:rsidRPr="00EF3CA2">
        <w:rPr>
          <w:rFonts w:ascii="Arial" w:hAnsi="Arial" w:cs="Arial"/>
          <w:sz w:val="24"/>
          <w:szCs w:val="24"/>
        </w:rPr>
        <w:t>Top 20 genes highly expressed on average in single cells derived from PDCOs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32"/>
        <w:gridCol w:w="1276"/>
        <w:gridCol w:w="1366"/>
        <w:gridCol w:w="1265"/>
        <w:gridCol w:w="1415"/>
        <w:gridCol w:w="953"/>
        <w:gridCol w:w="921"/>
        <w:gridCol w:w="699"/>
        <w:gridCol w:w="810"/>
        <w:gridCol w:w="699"/>
        <w:gridCol w:w="810"/>
        <w:gridCol w:w="699"/>
        <w:gridCol w:w="810"/>
        <w:gridCol w:w="532"/>
      </w:tblGrid>
      <w:tr w:rsidR="00C247DB" w:rsidRPr="00AF618E" w14:paraId="5E5FCE7C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5DEE16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geneSymbol</w:t>
            </w:r>
          </w:p>
        </w:tc>
        <w:tc>
          <w:tcPr>
            <w:tcW w:w="466" w:type="pct"/>
            <w:shd w:val="clear" w:color="000000" w:fill="D9D9D9"/>
            <w:noWrap/>
            <w:vAlign w:val="center"/>
            <w:hideMark/>
          </w:tcPr>
          <w:p w14:paraId="6279E2A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WholeCells</w:t>
            </w:r>
          </w:p>
        </w:tc>
        <w:tc>
          <w:tcPr>
            <w:tcW w:w="499" w:type="pct"/>
            <w:shd w:val="clear" w:color="000000" w:fill="DAE9F8"/>
            <w:noWrap/>
            <w:vAlign w:val="center"/>
            <w:hideMark/>
          </w:tcPr>
          <w:p w14:paraId="78F9811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proofErr w:type="gramStart"/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Pathology(</w:t>
            </w:r>
            <w:proofErr w:type="gramEnd"/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-)</w:t>
            </w:r>
          </w:p>
        </w:tc>
        <w:tc>
          <w:tcPr>
            <w:tcW w:w="462" w:type="pct"/>
            <w:shd w:val="clear" w:color="000000" w:fill="DAE9F8"/>
            <w:noWrap/>
            <w:vAlign w:val="center"/>
            <w:hideMark/>
          </w:tcPr>
          <w:p w14:paraId="16D9B6A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Suspicious</w:t>
            </w:r>
          </w:p>
        </w:tc>
        <w:tc>
          <w:tcPr>
            <w:tcW w:w="517" w:type="pct"/>
            <w:shd w:val="clear" w:color="000000" w:fill="DAE9F8"/>
            <w:noWrap/>
            <w:vAlign w:val="center"/>
            <w:hideMark/>
          </w:tcPr>
          <w:p w14:paraId="39401AB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proofErr w:type="gramStart"/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Pathology(</w:t>
            </w:r>
            <w:proofErr w:type="gramEnd"/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+)</w:t>
            </w:r>
          </w:p>
        </w:tc>
        <w:tc>
          <w:tcPr>
            <w:tcW w:w="348" w:type="pct"/>
            <w:shd w:val="clear" w:color="000000" w:fill="C1F0C8"/>
            <w:noWrap/>
            <w:vAlign w:val="center"/>
            <w:hideMark/>
          </w:tcPr>
          <w:p w14:paraId="6B4E1C0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GBC</w:t>
            </w:r>
          </w:p>
        </w:tc>
        <w:tc>
          <w:tcPr>
            <w:tcW w:w="336" w:type="pct"/>
            <w:shd w:val="clear" w:color="000000" w:fill="C1F0C8"/>
            <w:noWrap/>
            <w:vAlign w:val="center"/>
            <w:hideMark/>
          </w:tcPr>
          <w:p w14:paraId="2E96E75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PDAC</w:t>
            </w:r>
          </w:p>
        </w:tc>
        <w:tc>
          <w:tcPr>
            <w:tcW w:w="255" w:type="pct"/>
            <w:shd w:val="clear" w:color="000000" w:fill="F2CEEF"/>
            <w:noWrap/>
            <w:vAlign w:val="center"/>
            <w:hideMark/>
          </w:tcPr>
          <w:p w14:paraId="6E355BC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C0</w:t>
            </w:r>
          </w:p>
        </w:tc>
        <w:tc>
          <w:tcPr>
            <w:tcW w:w="296" w:type="pct"/>
            <w:shd w:val="clear" w:color="000000" w:fill="F2CEEF"/>
            <w:noWrap/>
            <w:vAlign w:val="center"/>
            <w:hideMark/>
          </w:tcPr>
          <w:p w14:paraId="100FC2F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C1</w:t>
            </w:r>
          </w:p>
        </w:tc>
        <w:tc>
          <w:tcPr>
            <w:tcW w:w="255" w:type="pct"/>
            <w:shd w:val="clear" w:color="000000" w:fill="F2CEEF"/>
            <w:noWrap/>
            <w:vAlign w:val="center"/>
            <w:hideMark/>
          </w:tcPr>
          <w:p w14:paraId="47B6F1A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C2</w:t>
            </w:r>
          </w:p>
        </w:tc>
        <w:tc>
          <w:tcPr>
            <w:tcW w:w="296" w:type="pct"/>
            <w:shd w:val="clear" w:color="000000" w:fill="F2CEEF"/>
            <w:noWrap/>
            <w:vAlign w:val="center"/>
            <w:hideMark/>
          </w:tcPr>
          <w:p w14:paraId="5061FD9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C3</w:t>
            </w:r>
          </w:p>
        </w:tc>
        <w:tc>
          <w:tcPr>
            <w:tcW w:w="255" w:type="pct"/>
            <w:shd w:val="clear" w:color="000000" w:fill="F2CEEF"/>
            <w:noWrap/>
            <w:vAlign w:val="center"/>
            <w:hideMark/>
          </w:tcPr>
          <w:p w14:paraId="5A4A8D3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C4</w:t>
            </w:r>
          </w:p>
        </w:tc>
        <w:tc>
          <w:tcPr>
            <w:tcW w:w="296" w:type="pct"/>
            <w:shd w:val="clear" w:color="000000" w:fill="F2CEEF"/>
            <w:noWrap/>
            <w:vAlign w:val="center"/>
            <w:hideMark/>
          </w:tcPr>
          <w:p w14:paraId="7917EDB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C5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6066510" w14:textId="08067926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Ref</w:t>
            </w:r>
          </w:p>
        </w:tc>
      </w:tr>
      <w:tr w:rsidR="00C247DB" w:rsidRPr="00AF618E" w14:paraId="7D02DC8D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1C81435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LYZ</w:t>
            </w:r>
          </w:p>
        </w:tc>
        <w:tc>
          <w:tcPr>
            <w:tcW w:w="466" w:type="pct"/>
            <w:shd w:val="clear" w:color="000000" w:fill="63BE7B"/>
            <w:noWrap/>
            <w:vAlign w:val="center"/>
            <w:hideMark/>
          </w:tcPr>
          <w:p w14:paraId="26002CD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1241.22 </w:t>
            </w:r>
          </w:p>
        </w:tc>
        <w:tc>
          <w:tcPr>
            <w:tcW w:w="499" w:type="pct"/>
            <w:shd w:val="clear" w:color="000000" w:fill="63BE7B"/>
            <w:noWrap/>
            <w:vAlign w:val="center"/>
            <w:hideMark/>
          </w:tcPr>
          <w:p w14:paraId="6FC58A6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1931.80 </w:t>
            </w:r>
          </w:p>
        </w:tc>
        <w:tc>
          <w:tcPr>
            <w:tcW w:w="462" w:type="pct"/>
            <w:shd w:val="clear" w:color="000000" w:fill="63BE7B"/>
            <w:noWrap/>
            <w:vAlign w:val="center"/>
            <w:hideMark/>
          </w:tcPr>
          <w:p w14:paraId="085B57C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1300.72 </w:t>
            </w:r>
          </w:p>
        </w:tc>
        <w:tc>
          <w:tcPr>
            <w:tcW w:w="517" w:type="pct"/>
            <w:shd w:val="clear" w:color="000000" w:fill="63BE7B"/>
            <w:noWrap/>
            <w:vAlign w:val="center"/>
            <w:hideMark/>
          </w:tcPr>
          <w:p w14:paraId="3343365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823.64 </w:t>
            </w:r>
          </w:p>
        </w:tc>
        <w:tc>
          <w:tcPr>
            <w:tcW w:w="348" w:type="pct"/>
            <w:shd w:val="clear" w:color="000000" w:fill="63BE7B"/>
            <w:noWrap/>
            <w:vAlign w:val="center"/>
            <w:hideMark/>
          </w:tcPr>
          <w:p w14:paraId="3488D1F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888.72 </w:t>
            </w:r>
          </w:p>
        </w:tc>
        <w:tc>
          <w:tcPr>
            <w:tcW w:w="336" w:type="pct"/>
            <w:shd w:val="clear" w:color="000000" w:fill="63BE7B"/>
            <w:noWrap/>
            <w:vAlign w:val="center"/>
            <w:hideMark/>
          </w:tcPr>
          <w:p w14:paraId="7FECD90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1314.39 </w:t>
            </w:r>
          </w:p>
        </w:tc>
        <w:tc>
          <w:tcPr>
            <w:tcW w:w="255" w:type="pct"/>
            <w:shd w:val="clear" w:color="000000" w:fill="63BE7B"/>
            <w:noWrap/>
            <w:vAlign w:val="center"/>
            <w:hideMark/>
          </w:tcPr>
          <w:p w14:paraId="3C5001D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98.55 </w:t>
            </w:r>
          </w:p>
        </w:tc>
        <w:tc>
          <w:tcPr>
            <w:tcW w:w="296" w:type="pct"/>
            <w:shd w:val="clear" w:color="000000" w:fill="63BE7B"/>
            <w:noWrap/>
            <w:vAlign w:val="center"/>
            <w:hideMark/>
          </w:tcPr>
          <w:p w14:paraId="64639CC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483.91 </w:t>
            </w:r>
          </w:p>
        </w:tc>
        <w:tc>
          <w:tcPr>
            <w:tcW w:w="255" w:type="pct"/>
            <w:shd w:val="clear" w:color="000000" w:fill="63BE7B"/>
            <w:noWrap/>
            <w:vAlign w:val="center"/>
            <w:hideMark/>
          </w:tcPr>
          <w:p w14:paraId="5C833C7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78.32 </w:t>
            </w:r>
          </w:p>
        </w:tc>
        <w:tc>
          <w:tcPr>
            <w:tcW w:w="296" w:type="pct"/>
            <w:shd w:val="clear" w:color="000000" w:fill="63BE7B"/>
            <w:noWrap/>
            <w:vAlign w:val="center"/>
            <w:hideMark/>
          </w:tcPr>
          <w:p w14:paraId="31B277F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336.62 </w:t>
            </w:r>
          </w:p>
        </w:tc>
        <w:tc>
          <w:tcPr>
            <w:tcW w:w="255" w:type="pct"/>
            <w:shd w:val="clear" w:color="000000" w:fill="70C27C"/>
            <w:noWrap/>
            <w:vAlign w:val="center"/>
            <w:hideMark/>
          </w:tcPr>
          <w:p w14:paraId="26B1326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59.54 </w:t>
            </w:r>
          </w:p>
        </w:tc>
        <w:tc>
          <w:tcPr>
            <w:tcW w:w="296" w:type="pct"/>
            <w:shd w:val="clear" w:color="000000" w:fill="63BE7B"/>
            <w:noWrap/>
            <w:vAlign w:val="center"/>
            <w:hideMark/>
          </w:tcPr>
          <w:p w14:paraId="76E81E1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184.27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1D755C9" w14:textId="4D0FD860" w:rsidR="007F018A" w:rsidRPr="00AF618E" w:rsidRDefault="00B170DB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&lt;EndNote&gt;&lt;Cite&gt;&lt;Author&gt;Wang&lt;/Author&gt;&lt;Year&gt;2021&lt;/Year&gt;&lt;RecNum&gt;1&lt;/RecNum&gt;&lt;DisplayText&gt;[1]&lt;/DisplayText&gt;&lt;record&gt;&lt;rec-number&gt;1&lt;/rec-number&gt;&lt;foreign-keys&gt;&lt;key app="EN" db-id="e0ewzetvgwdzt4ed9d8ptvxjfzexr2wxte50" timestamp="1708752364"&gt;1&lt;/key&gt;&lt;/foreign-keys&gt;&lt;ref-type name="Journal Article"&gt;17&lt;/ref-type&gt;&lt;contributors&gt;&lt;authors&gt;&lt;author&gt;Wang, Yu&lt;/author&gt;&lt;author&gt;Liang, Yiyi&lt;/author&gt;&lt;author&gt;Xu, Haiyan&lt;/author&gt;&lt;author&gt;Zhang, Xiao&lt;/author&gt;&lt;author&gt;Mao, Tiebo&lt;/author&gt;&lt;author&gt;Cui, Jiujie&lt;/author&gt;&lt;author&gt;Yao, Jiayu&lt;/author&gt;&lt;author&gt;Wang, Yongchao&lt;/author&gt;&lt;author&gt;Jiao, Feng&lt;/author&gt;&lt;author&gt;Xiao, Xiuying&lt;/author&gt;&lt;/authors&gt;&lt;/contributors&gt;&lt;titles&gt;&lt;title&gt;Single-cell analysis of pancreatic ductal adenocarcinoma identifies a novel fibroblast subtype associated with poor prognosis but better immunotherapy response&lt;/title&gt;&lt;secondary-title&gt;Cell discovery&lt;/secondary-title&gt;&lt;/titles&gt;&lt;periodical&gt;&lt;full-title&gt;Cell discovery&lt;/full-title&gt;&lt;/periodical&gt;&lt;pages&gt;36&lt;/pages&gt;&lt;volume&gt;7&lt;/volume&gt;&lt;number&gt;1&lt;/number&gt;&lt;dates&gt;&lt;year&gt;2021&lt;/year&gt;&lt;/dates&gt;&lt;isbn&gt;2056-5968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15569204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1D419E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TFF1</w:t>
            </w:r>
          </w:p>
        </w:tc>
        <w:tc>
          <w:tcPr>
            <w:tcW w:w="466" w:type="pct"/>
            <w:shd w:val="clear" w:color="000000" w:fill="C6DB81"/>
            <w:noWrap/>
            <w:vAlign w:val="center"/>
            <w:hideMark/>
          </w:tcPr>
          <w:p w14:paraId="70F3EAD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453.81 </w:t>
            </w:r>
          </w:p>
        </w:tc>
        <w:tc>
          <w:tcPr>
            <w:tcW w:w="499" w:type="pct"/>
            <w:shd w:val="clear" w:color="000000" w:fill="DDE182"/>
            <w:noWrap/>
            <w:vAlign w:val="center"/>
            <w:hideMark/>
          </w:tcPr>
          <w:p w14:paraId="5884640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432.47 </w:t>
            </w:r>
          </w:p>
        </w:tc>
        <w:tc>
          <w:tcPr>
            <w:tcW w:w="462" w:type="pct"/>
            <w:shd w:val="clear" w:color="000000" w:fill="AED480"/>
            <w:noWrap/>
            <w:vAlign w:val="center"/>
            <w:hideMark/>
          </w:tcPr>
          <w:p w14:paraId="69FDAC5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680.69 </w:t>
            </w:r>
          </w:p>
        </w:tc>
        <w:tc>
          <w:tcPr>
            <w:tcW w:w="517" w:type="pct"/>
            <w:shd w:val="clear" w:color="000000" w:fill="D1DE82"/>
            <w:noWrap/>
            <w:vAlign w:val="center"/>
            <w:hideMark/>
          </w:tcPr>
          <w:p w14:paraId="43C8887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246.74 </w:t>
            </w:r>
          </w:p>
        </w:tc>
        <w:tc>
          <w:tcPr>
            <w:tcW w:w="348" w:type="pct"/>
            <w:shd w:val="clear" w:color="000000" w:fill="CFDE82"/>
            <w:noWrap/>
            <w:vAlign w:val="center"/>
            <w:hideMark/>
          </w:tcPr>
          <w:p w14:paraId="7F287D1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275.52 </w:t>
            </w:r>
          </w:p>
        </w:tc>
        <w:tc>
          <w:tcPr>
            <w:tcW w:w="336" w:type="pct"/>
            <w:shd w:val="clear" w:color="000000" w:fill="C9DC81"/>
            <w:noWrap/>
            <w:vAlign w:val="center"/>
            <w:hideMark/>
          </w:tcPr>
          <w:p w14:paraId="4F54EF1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459.24 </w:t>
            </w:r>
          </w:p>
        </w:tc>
        <w:tc>
          <w:tcPr>
            <w:tcW w:w="255" w:type="pct"/>
            <w:shd w:val="clear" w:color="000000" w:fill="D6E082"/>
            <w:noWrap/>
            <w:vAlign w:val="center"/>
            <w:hideMark/>
          </w:tcPr>
          <w:p w14:paraId="0864531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25.93 </w:t>
            </w:r>
          </w:p>
        </w:tc>
        <w:tc>
          <w:tcPr>
            <w:tcW w:w="296" w:type="pct"/>
            <w:shd w:val="clear" w:color="000000" w:fill="C0D981"/>
            <w:noWrap/>
            <w:vAlign w:val="center"/>
            <w:hideMark/>
          </w:tcPr>
          <w:p w14:paraId="0BD4732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196.02 </w:t>
            </w:r>
          </w:p>
        </w:tc>
        <w:tc>
          <w:tcPr>
            <w:tcW w:w="255" w:type="pct"/>
            <w:shd w:val="clear" w:color="000000" w:fill="DFE283"/>
            <w:noWrap/>
            <w:vAlign w:val="center"/>
            <w:hideMark/>
          </w:tcPr>
          <w:p w14:paraId="705136F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16.37 </w:t>
            </w:r>
          </w:p>
        </w:tc>
        <w:tc>
          <w:tcPr>
            <w:tcW w:w="296" w:type="pct"/>
            <w:shd w:val="clear" w:color="000000" w:fill="BFD981"/>
            <w:noWrap/>
            <w:vAlign w:val="center"/>
            <w:hideMark/>
          </w:tcPr>
          <w:p w14:paraId="76B67F3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139.20 </w:t>
            </w:r>
          </w:p>
        </w:tc>
        <w:tc>
          <w:tcPr>
            <w:tcW w:w="255" w:type="pct"/>
            <w:shd w:val="clear" w:color="000000" w:fill="E1E383"/>
            <w:noWrap/>
            <w:vAlign w:val="center"/>
            <w:hideMark/>
          </w:tcPr>
          <w:p w14:paraId="523C3B6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12.72 </w:t>
            </w:r>
          </w:p>
        </w:tc>
        <w:tc>
          <w:tcPr>
            <w:tcW w:w="296" w:type="pct"/>
            <w:shd w:val="clear" w:color="000000" w:fill="CADC81"/>
            <w:noWrap/>
            <w:vAlign w:val="center"/>
            <w:hideMark/>
          </w:tcPr>
          <w:p w14:paraId="6BBEA13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63.57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B3BEF43" w14:textId="6ED6A897" w:rsidR="007F018A" w:rsidRPr="00AF618E" w:rsidRDefault="00B170DB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&lt;EndNote&gt;&lt;Cite&gt;&lt;Author&gt;Ebert&lt;/Author&gt;&lt;Year&gt;1999&lt;/Year&gt;&lt;RecNum&gt;2&lt;/RecNum&gt;&lt;DisplayText&gt;[2]&lt;/DisplayText&gt;&lt;record&gt;&lt;rec-number&gt;2&lt;/rec-number&gt;&lt;foreign-keys&gt;&lt;key app="EN" db-id="e0ewzetvgwdzt4ed9d8ptvxjfzexr2wxte50" timestamp="1708752376"&gt;2&lt;/key&gt;&lt;/foreign-keys&gt;&lt;ref-type name="Journal Article"&gt;17&lt;/ref-type&gt;&lt;contributors&gt;&lt;authors&gt;&lt;author&gt;Ebert, MPA&lt;/author&gt;&lt;author&gt;Hoffmann, J&lt;/author&gt;&lt;author&gt;Haeckel, C&lt;/author&gt;&lt;author&gt;Rutkowski, K&lt;/author&gt;&lt;author&gt;Schmid, RM&lt;/author&gt;&lt;author&gt;Wagner, M&lt;/author&gt;&lt;author&gt;Adler, G&lt;/author&gt;&lt;author&gt;Schulz, HU&lt;/author&gt;&lt;author&gt;Roessner, A&lt;/author&gt;&lt;author&gt;Hoffmann, W&lt;/author&gt;&lt;/authors&gt;&lt;/contributors&gt;&lt;titles&gt;&lt;title&gt;Induction of TFF1 gene expression in pancreas overexpressing transforming growth factor α&lt;/title&gt;&lt;secondary-title&gt;Gut&lt;/secondary-title&gt;&lt;/titles&gt;&lt;periodical&gt;&lt;full-title&gt;Gut&lt;/full-title&gt;&lt;/periodical&gt;&lt;pages&gt;105-111&lt;/pages&gt;&lt;volume&gt;45&lt;/volume&gt;&lt;number&gt;1&lt;/number&gt;&lt;dates&gt;&lt;year&gt;1999&lt;/year&gt;&lt;/dates&gt;&lt;isbn&gt;0017-5749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[2]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1A3A9FB1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52C718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TFF2</w:t>
            </w:r>
          </w:p>
        </w:tc>
        <w:tc>
          <w:tcPr>
            <w:tcW w:w="466" w:type="pct"/>
            <w:shd w:val="clear" w:color="000000" w:fill="C7DB81"/>
            <w:noWrap/>
            <w:vAlign w:val="center"/>
            <w:hideMark/>
          </w:tcPr>
          <w:p w14:paraId="050C2C3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445.88 </w:t>
            </w:r>
          </w:p>
        </w:tc>
        <w:tc>
          <w:tcPr>
            <w:tcW w:w="499" w:type="pct"/>
            <w:shd w:val="clear" w:color="000000" w:fill="EDE683"/>
            <w:noWrap/>
            <w:vAlign w:val="center"/>
            <w:hideMark/>
          </w:tcPr>
          <w:p w14:paraId="3F095AE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234.96 </w:t>
            </w:r>
          </w:p>
        </w:tc>
        <w:tc>
          <w:tcPr>
            <w:tcW w:w="462" w:type="pct"/>
            <w:shd w:val="clear" w:color="000000" w:fill="A6D27F"/>
            <w:noWrap/>
            <w:vAlign w:val="center"/>
            <w:hideMark/>
          </w:tcPr>
          <w:p w14:paraId="64F2163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745.46 </w:t>
            </w:r>
          </w:p>
        </w:tc>
        <w:tc>
          <w:tcPr>
            <w:tcW w:w="517" w:type="pct"/>
            <w:shd w:val="clear" w:color="000000" w:fill="C5DB81"/>
            <w:noWrap/>
            <w:vAlign w:val="center"/>
            <w:hideMark/>
          </w:tcPr>
          <w:p w14:paraId="364BB0F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308.01 </w:t>
            </w:r>
          </w:p>
        </w:tc>
        <w:tc>
          <w:tcPr>
            <w:tcW w:w="348" w:type="pct"/>
            <w:shd w:val="clear" w:color="000000" w:fill="CDDD82"/>
            <w:noWrap/>
            <w:vAlign w:val="center"/>
            <w:hideMark/>
          </w:tcPr>
          <w:p w14:paraId="10D1FF2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287.31 </w:t>
            </w:r>
          </w:p>
        </w:tc>
        <w:tc>
          <w:tcPr>
            <w:tcW w:w="336" w:type="pct"/>
            <w:shd w:val="clear" w:color="000000" w:fill="C9DC81"/>
            <w:noWrap/>
            <w:vAlign w:val="center"/>
            <w:hideMark/>
          </w:tcPr>
          <w:p w14:paraId="63355C5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457.64 </w:t>
            </w:r>
          </w:p>
        </w:tc>
        <w:tc>
          <w:tcPr>
            <w:tcW w:w="255" w:type="pct"/>
            <w:shd w:val="clear" w:color="000000" w:fill="C1D981"/>
            <w:noWrap/>
            <w:vAlign w:val="center"/>
            <w:hideMark/>
          </w:tcPr>
          <w:p w14:paraId="11238CA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39.77 </w:t>
            </w:r>
          </w:p>
        </w:tc>
        <w:tc>
          <w:tcPr>
            <w:tcW w:w="296" w:type="pct"/>
            <w:shd w:val="clear" w:color="000000" w:fill="DAE182"/>
            <w:noWrap/>
            <w:vAlign w:val="center"/>
            <w:hideMark/>
          </w:tcPr>
          <w:p w14:paraId="1BD6EA5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115.41 </w:t>
            </w:r>
          </w:p>
        </w:tc>
        <w:tc>
          <w:tcPr>
            <w:tcW w:w="255" w:type="pct"/>
            <w:shd w:val="clear" w:color="000000" w:fill="C1DA81"/>
            <w:noWrap/>
            <w:vAlign w:val="center"/>
            <w:hideMark/>
          </w:tcPr>
          <w:p w14:paraId="1EE8A3A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31.16 </w:t>
            </w:r>
          </w:p>
        </w:tc>
        <w:tc>
          <w:tcPr>
            <w:tcW w:w="296" w:type="pct"/>
            <w:shd w:val="clear" w:color="000000" w:fill="C6DB81"/>
            <w:noWrap/>
            <w:vAlign w:val="center"/>
            <w:hideMark/>
          </w:tcPr>
          <w:p w14:paraId="5DDB49A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123.56 </w:t>
            </w:r>
          </w:p>
        </w:tc>
        <w:tc>
          <w:tcPr>
            <w:tcW w:w="255" w:type="pct"/>
            <w:shd w:val="clear" w:color="000000" w:fill="C8DB81"/>
            <w:noWrap/>
            <w:vAlign w:val="center"/>
            <w:hideMark/>
          </w:tcPr>
          <w:p w14:paraId="40A4B16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23.18 </w:t>
            </w:r>
          </w:p>
        </w:tc>
        <w:tc>
          <w:tcPr>
            <w:tcW w:w="296" w:type="pct"/>
            <w:shd w:val="clear" w:color="000000" w:fill="A0D07F"/>
            <w:noWrap/>
            <w:vAlign w:val="center"/>
            <w:hideMark/>
          </w:tcPr>
          <w:p w14:paraId="0935B4C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112.80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C65D8CA" w14:textId="5F95AFCA" w:rsidR="007F018A" w:rsidRPr="00AF618E" w:rsidRDefault="00B170DB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&lt;EndNote&gt;&lt;Cite&gt;&lt;Author&gt;Ebert&lt;/Author&gt;&lt;Year&gt;1999&lt;/Year&gt;&lt;RecNum&gt;2&lt;/RecNum&gt;&lt;DisplayText&gt;[2]&lt;/DisplayText&gt;&lt;record&gt;&lt;rec-number&gt;2&lt;/rec-number&gt;&lt;foreign-keys&gt;&lt;key app="EN" db-id="e0ewzetvgwdzt4ed9d8ptvxjfzexr2wxte50" timestamp="1708752376"&gt;2&lt;/key&gt;&lt;/foreign-keys&gt;&lt;ref-type name="Journal Article"&gt;17&lt;/ref-type&gt;&lt;contributors&gt;&lt;authors&gt;&lt;author&gt;Ebert, MPA&lt;/author&gt;&lt;author&gt;Hoffmann, J&lt;/author&gt;&lt;author&gt;Haeckel, C&lt;/author&gt;&lt;author&gt;Rutkowski, K&lt;/author&gt;&lt;author&gt;Schmid, RM&lt;/author&gt;&lt;author&gt;Wagner, M&lt;/author&gt;&lt;author&gt;Adler, G&lt;/author&gt;&lt;author&gt;Schulz, HU&lt;/author&gt;&lt;author&gt;Roessner, A&lt;/author&gt;&lt;author&gt;Hoffmann, W&lt;/author&gt;&lt;/authors&gt;&lt;/contributors&gt;&lt;titles&gt;&lt;title&gt;Induction of TFF1 gene expression in pancreas overexpressing transforming growth factor α&lt;/title&gt;&lt;secondary-title&gt;Gut&lt;/secondary-title&gt;&lt;/titles&gt;&lt;periodical&gt;&lt;full-title&gt;Gut&lt;/full-title&gt;&lt;/periodical&gt;&lt;pages&gt;105-111&lt;/pages&gt;&lt;volume&gt;45&lt;/volume&gt;&lt;number&gt;1&lt;/number&gt;&lt;dates&gt;&lt;year&gt;1999&lt;/year&gt;&lt;/dates&gt;&lt;isbn&gt;0017-5749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[2]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08BE1840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560D08C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EEF1A1</w:t>
            </w:r>
          </w:p>
        </w:tc>
        <w:tc>
          <w:tcPr>
            <w:tcW w:w="466" w:type="pct"/>
            <w:shd w:val="clear" w:color="000000" w:fill="CBDC81"/>
            <w:noWrap/>
            <w:vAlign w:val="center"/>
            <w:hideMark/>
          </w:tcPr>
          <w:p w14:paraId="4D161B4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414.20 </w:t>
            </w:r>
          </w:p>
        </w:tc>
        <w:tc>
          <w:tcPr>
            <w:tcW w:w="499" w:type="pct"/>
            <w:shd w:val="clear" w:color="000000" w:fill="E0E283"/>
            <w:noWrap/>
            <w:vAlign w:val="center"/>
            <w:hideMark/>
          </w:tcPr>
          <w:p w14:paraId="64211EA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391.47 </w:t>
            </w:r>
          </w:p>
        </w:tc>
        <w:tc>
          <w:tcPr>
            <w:tcW w:w="462" w:type="pct"/>
            <w:shd w:val="clear" w:color="000000" w:fill="CDDD82"/>
            <w:noWrap/>
            <w:vAlign w:val="center"/>
            <w:hideMark/>
          </w:tcPr>
          <w:p w14:paraId="65A0C3E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422.14 </w:t>
            </w:r>
          </w:p>
        </w:tc>
        <w:tc>
          <w:tcPr>
            <w:tcW w:w="517" w:type="pct"/>
            <w:shd w:val="clear" w:color="000000" w:fill="B5D680"/>
            <w:noWrap/>
            <w:vAlign w:val="center"/>
            <w:hideMark/>
          </w:tcPr>
          <w:p w14:paraId="6389593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392.33 </w:t>
            </w:r>
          </w:p>
        </w:tc>
        <w:tc>
          <w:tcPr>
            <w:tcW w:w="348" w:type="pct"/>
            <w:shd w:val="clear" w:color="000000" w:fill="BFD981"/>
            <w:noWrap/>
            <w:vAlign w:val="center"/>
            <w:hideMark/>
          </w:tcPr>
          <w:p w14:paraId="272FEE4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369.60 </w:t>
            </w:r>
          </w:p>
        </w:tc>
        <w:tc>
          <w:tcPr>
            <w:tcW w:w="336" w:type="pct"/>
            <w:shd w:val="clear" w:color="000000" w:fill="CFDD82"/>
            <w:noWrap/>
            <w:vAlign w:val="center"/>
            <w:hideMark/>
          </w:tcPr>
          <w:p w14:paraId="74D4806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409.24 </w:t>
            </w:r>
          </w:p>
        </w:tc>
        <w:tc>
          <w:tcPr>
            <w:tcW w:w="255" w:type="pct"/>
            <w:shd w:val="clear" w:color="000000" w:fill="8DCA7E"/>
            <w:noWrap/>
            <w:vAlign w:val="center"/>
            <w:hideMark/>
          </w:tcPr>
          <w:p w14:paraId="174E666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72.29 </w:t>
            </w:r>
          </w:p>
        </w:tc>
        <w:tc>
          <w:tcPr>
            <w:tcW w:w="296" w:type="pct"/>
            <w:shd w:val="clear" w:color="000000" w:fill="E9E583"/>
            <w:noWrap/>
            <w:vAlign w:val="center"/>
            <w:hideMark/>
          </w:tcPr>
          <w:p w14:paraId="35BC453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69.87 </w:t>
            </w:r>
          </w:p>
        </w:tc>
        <w:tc>
          <w:tcPr>
            <w:tcW w:w="255" w:type="pct"/>
            <w:shd w:val="clear" w:color="000000" w:fill="68C07C"/>
            <w:noWrap/>
            <w:vAlign w:val="center"/>
            <w:hideMark/>
          </w:tcPr>
          <w:p w14:paraId="12B8B5E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75.88 </w:t>
            </w:r>
          </w:p>
        </w:tc>
        <w:tc>
          <w:tcPr>
            <w:tcW w:w="296" w:type="pct"/>
            <w:shd w:val="clear" w:color="000000" w:fill="E1E383"/>
            <w:noWrap/>
            <w:vAlign w:val="center"/>
            <w:hideMark/>
          </w:tcPr>
          <w:p w14:paraId="53277E7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65.62 </w:t>
            </w:r>
          </w:p>
        </w:tc>
        <w:tc>
          <w:tcPr>
            <w:tcW w:w="255" w:type="pct"/>
            <w:shd w:val="clear" w:color="000000" w:fill="63BE7B"/>
            <w:noWrap/>
            <w:vAlign w:val="center"/>
            <w:hideMark/>
          </w:tcPr>
          <w:p w14:paraId="2D2A83E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64.71 </w:t>
            </w:r>
          </w:p>
        </w:tc>
        <w:tc>
          <w:tcPr>
            <w:tcW w:w="296" w:type="pct"/>
            <w:shd w:val="clear" w:color="000000" w:fill="C8DB81"/>
            <w:noWrap/>
            <w:vAlign w:val="center"/>
            <w:hideMark/>
          </w:tcPr>
          <w:p w14:paraId="5312058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65.83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56A43F6" w14:textId="3C0E97E6" w:rsidR="007F018A" w:rsidRPr="00AF618E" w:rsidRDefault="00B170DB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&lt;EndNote&gt;&lt;Cite&gt;&lt;Author&gt;Liu&lt;/Author&gt;&lt;Year&gt;2019&lt;/Year&gt;&lt;RecNum&gt;3&lt;/RecNum&gt;&lt;DisplayText&gt;[3]&lt;/DisplayText&gt;&lt;record&gt;&lt;rec-number&gt;3&lt;/rec-number&gt;&lt;foreign-keys&gt;&lt;key app="EN" db-id="e0ewzetvgwdzt4ed9d8ptvxjfzexr2wxte50" timestamp="1708752389"&gt;3&lt;/key&gt;&lt;/foreign-keys&gt;&lt;ref-type name="Journal Article"&gt;17&lt;/ref-type&gt;&lt;contributors&gt;&lt;authors&gt;&lt;author&gt;Liu, Shuo&lt;/author&gt;&lt;author&gt;Hausmann, Simone&lt;/author&gt;&lt;author&gt;Carlson, Scott Moore&lt;/author&gt;&lt;author&gt;Fuentes, Mary Esmeralda&lt;/author&gt;&lt;author&gt;Francis, Joel William&lt;/author&gt;&lt;author&gt;Pillai, Renjitha&lt;/author&gt;&lt;author&gt;Lofgren, Shane Michael&lt;/author&gt;&lt;author&gt;Hulea, Laura&lt;/author&gt;&lt;author&gt;Tandoc, Kristofferson&lt;/author&gt;&lt;author&gt;Lu, Jiuwei&lt;/author&gt;&lt;/authors&gt;&lt;/contributors&gt;&lt;titles&gt;&lt;title&gt;METTL13 methylation of eEF1A increases translational output to promote tumorigenesis&lt;/title&gt;&lt;secondary-title&gt;Cell&lt;/secondary-title&gt;&lt;/titles&gt;&lt;periodical&gt;&lt;full-title&gt;Cell&lt;/full-title&gt;&lt;/periodical&gt;&lt;pages&gt;491-504. e21&lt;/pages&gt;&lt;volume&gt;176&lt;/volume&gt;&lt;number&gt;3&lt;/number&gt;&lt;dates&gt;&lt;year&gt;2019&lt;/year&gt;&lt;/dates&gt;&lt;isbn&gt;0092-8674&lt;/isbn&gt;&lt;urls&gt;&lt;/urls&gt;&lt;/record&gt;&lt;/Cite&gt;&lt;/EndNote&gt;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[3]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1CB1FC85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FB507A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S100A6</w:t>
            </w:r>
          </w:p>
        </w:tc>
        <w:tc>
          <w:tcPr>
            <w:tcW w:w="466" w:type="pct"/>
            <w:shd w:val="clear" w:color="000000" w:fill="D5DF82"/>
            <w:noWrap/>
            <w:vAlign w:val="center"/>
            <w:hideMark/>
          </w:tcPr>
          <w:p w14:paraId="5EF422B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336.02 </w:t>
            </w:r>
          </w:p>
        </w:tc>
        <w:tc>
          <w:tcPr>
            <w:tcW w:w="499" w:type="pct"/>
            <w:shd w:val="clear" w:color="000000" w:fill="ECE683"/>
            <w:noWrap/>
            <w:vAlign w:val="center"/>
            <w:hideMark/>
          </w:tcPr>
          <w:p w14:paraId="56E44FB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239.25 </w:t>
            </w:r>
          </w:p>
        </w:tc>
        <w:tc>
          <w:tcPr>
            <w:tcW w:w="462" w:type="pct"/>
            <w:shd w:val="clear" w:color="000000" w:fill="C5DB81"/>
            <w:noWrap/>
            <w:vAlign w:val="center"/>
            <w:hideMark/>
          </w:tcPr>
          <w:p w14:paraId="0FD2469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485.49 </w:t>
            </w:r>
          </w:p>
        </w:tc>
        <w:tc>
          <w:tcPr>
            <w:tcW w:w="517" w:type="pct"/>
            <w:shd w:val="clear" w:color="000000" w:fill="CBDC81"/>
            <w:noWrap/>
            <w:vAlign w:val="center"/>
            <w:hideMark/>
          </w:tcPr>
          <w:p w14:paraId="10EBE4E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277.21 </w:t>
            </w:r>
          </w:p>
        </w:tc>
        <w:tc>
          <w:tcPr>
            <w:tcW w:w="348" w:type="pct"/>
            <w:shd w:val="clear" w:color="000000" w:fill="C7DB81"/>
            <w:noWrap/>
            <w:vAlign w:val="center"/>
            <w:hideMark/>
          </w:tcPr>
          <w:p w14:paraId="44B9530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319.81 </w:t>
            </w:r>
          </w:p>
        </w:tc>
        <w:tc>
          <w:tcPr>
            <w:tcW w:w="336" w:type="pct"/>
            <w:shd w:val="clear" w:color="000000" w:fill="D9E082"/>
            <w:noWrap/>
            <w:vAlign w:val="center"/>
            <w:hideMark/>
          </w:tcPr>
          <w:p w14:paraId="14B2F69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322.37 </w:t>
            </w:r>
          </w:p>
        </w:tc>
        <w:tc>
          <w:tcPr>
            <w:tcW w:w="255" w:type="pct"/>
            <w:shd w:val="clear" w:color="000000" w:fill="A3D17F"/>
            <w:noWrap/>
            <w:vAlign w:val="center"/>
            <w:hideMark/>
          </w:tcPr>
          <w:p w14:paraId="30AB619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58.37 </w:t>
            </w:r>
          </w:p>
        </w:tc>
        <w:tc>
          <w:tcPr>
            <w:tcW w:w="296" w:type="pct"/>
            <w:shd w:val="clear" w:color="000000" w:fill="ECE683"/>
            <w:noWrap/>
            <w:vAlign w:val="center"/>
            <w:hideMark/>
          </w:tcPr>
          <w:p w14:paraId="39CBAA0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61.84 </w:t>
            </w:r>
          </w:p>
        </w:tc>
        <w:tc>
          <w:tcPr>
            <w:tcW w:w="255" w:type="pct"/>
            <w:shd w:val="clear" w:color="000000" w:fill="B4D680"/>
            <w:noWrap/>
            <w:vAlign w:val="center"/>
            <w:hideMark/>
          </w:tcPr>
          <w:p w14:paraId="5547D0D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38.16 </w:t>
            </w:r>
          </w:p>
        </w:tc>
        <w:tc>
          <w:tcPr>
            <w:tcW w:w="296" w:type="pct"/>
            <w:shd w:val="clear" w:color="000000" w:fill="DEE283"/>
            <w:noWrap/>
            <w:vAlign w:val="center"/>
            <w:hideMark/>
          </w:tcPr>
          <w:p w14:paraId="3F24E98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73.35 </w:t>
            </w:r>
          </w:p>
        </w:tc>
        <w:tc>
          <w:tcPr>
            <w:tcW w:w="255" w:type="pct"/>
            <w:shd w:val="clear" w:color="000000" w:fill="B0D580"/>
            <w:noWrap/>
            <w:vAlign w:val="center"/>
            <w:hideMark/>
          </w:tcPr>
          <w:p w14:paraId="061FDD2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32.82 </w:t>
            </w:r>
          </w:p>
        </w:tc>
        <w:tc>
          <w:tcPr>
            <w:tcW w:w="296" w:type="pct"/>
            <w:shd w:val="clear" w:color="000000" w:fill="C3DA81"/>
            <w:noWrap/>
            <w:vAlign w:val="center"/>
            <w:hideMark/>
          </w:tcPr>
          <w:p w14:paraId="0F74C7D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71.48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E242BD3" w14:textId="24CBCC9C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&lt;EndNote&gt;&lt;Cite&gt;&lt;Author&gt;Vimalachandran&lt;/Author&gt;&lt;Year&gt;2005&lt;/Year&gt;&lt;RecNum&gt;4&lt;/RecNum&gt;&lt;DisplayText&gt;[4]&lt;/DisplayText&gt;&lt;record&gt;&lt;rec-number&gt;4&lt;/rec-number&gt;&lt;foreign-keys&gt;&lt;key app="EN" db-id="e0ewzetvgwdzt4ed9d8ptvxjfzexr2wxte50" timestamp="1708752400"&gt;4&lt;/key&gt;&lt;/foreign-keys&gt;&lt;ref-type name="Journal Article"&gt;17&lt;/ref-type&gt;&lt;contributors&gt;&lt;authors&gt;&lt;author&gt;Vimalachandran, Dale&lt;/author&gt;&lt;author&gt;Greenhalf, William&lt;/author&gt;&lt;author&gt;Thompson, Christopher&lt;/author&gt;&lt;author&gt;Lüttges, Jutta&lt;/author&gt;&lt;author&gt;Prime, Wendy&lt;/author&gt;&lt;author&gt;Campbell, Fiona&lt;/author&gt;&lt;author&gt;Dodson, Andrew&lt;/author&gt;&lt;author&gt;Watson, Richard&lt;/author&gt;&lt;author&gt;Crnogorac-Jurcevic, Tatjana&lt;/author&gt;&lt;author&gt;Lemoine, Nicholas&lt;/author&gt;&lt;/authors&gt;&lt;/contributors&gt;&lt;titles&gt;&lt;title&gt;High nuclear S100A6 (Calcyclin) is significantly associated with poor survival in pancreatic cancer patients&lt;/title&gt;&lt;secondary-title&gt;Cancer research&lt;/secondary-title&gt;&lt;/titles&gt;&lt;periodical&gt;&lt;full-title&gt;Cancer research&lt;/full-title&gt;&lt;/periodical&gt;&lt;pages&gt;3218-3225&lt;/pages&gt;&lt;volume&gt;65&lt;/volume&gt;&lt;number&gt;8&lt;/number&gt;&lt;dates&gt;&lt;year&gt;2005&lt;/year&gt;&lt;/dates&gt;&lt;isbn&gt;0008-5472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[4]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73FF36C9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3313D0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TPT1</w:t>
            </w:r>
          </w:p>
        </w:tc>
        <w:tc>
          <w:tcPr>
            <w:tcW w:w="466" w:type="pct"/>
            <w:shd w:val="clear" w:color="000000" w:fill="D9E082"/>
            <w:noWrap/>
            <w:vAlign w:val="center"/>
            <w:hideMark/>
          </w:tcPr>
          <w:p w14:paraId="42FE1C2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304.54 </w:t>
            </w:r>
          </w:p>
        </w:tc>
        <w:tc>
          <w:tcPr>
            <w:tcW w:w="499" w:type="pct"/>
            <w:shd w:val="clear" w:color="000000" w:fill="E6E483"/>
            <w:noWrap/>
            <w:vAlign w:val="center"/>
            <w:hideMark/>
          </w:tcPr>
          <w:p w14:paraId="298B582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314.65 </w:t>
            </w:r>
          </w:p>
        </w:tc>
        <w:tc>
          <w:tcPr>
            <w:tcW w:w="462" w:type="pct"/>
            <w:shd w:val="clear" w:color="000000" w:fill="DEE283"/>
            <w:noWrap/>
            <w:vAlign w:val="center"/>
            <w:hideMark/>
          </w:tcPr>
          <w:p w14:paraId="61C1319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275.24 </w:t>
            </w:r>
          </w:p>
        </w:tc>
        <w:tc>
          <w:tcPr>
            <w:tcW w:w="517" w:type="pct"/>
            <w:shd w:val="clear" w:color="000000" w:fill="C5DB81"/>
            <w:noWrap/>
            <w:vAlign w:val="center"/>
            <w:hideMark/>
          </w:tcPr>
          <w:p w14:paraId="4B98903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311.02 </w:t>
            </w:r>
          </w:p>
        </w:tc>
        <w:tc>
          <w:tcPr>
            <w:tcW w:w="348" w:type="pct"/>
            <w:shd w:val="clear" w:color="000000" w:fill="CDDD82"/>
            <w:noWrap/>
            <w:vAlign w:val="center"/>
            <w:hideMark/>
          </w:tcPr>
          <w:p w14:paraId="36E1CC2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285.16 </w:t>
            </w:r>
          </w:p>
        </w:tc>
        <w:tc>
          <w:tcPr>
            <w:tcW w:w="336" w:type="pct"/>
            <w:shd w:val="clear" w:color="000000" w:fill="DCE182"/>
            <w:noWrap/>
            <w:vAlign w:val="center"/>
            <w:hideMark/>
          </w:tcPr>
          <w:p w14:paraId="0F61A7C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300.89 </w:t>
            </w:r>
          </w:p>
        </w:tc>
        <w:tc>
          <w:tcPr>
            <w:tcW w:w="255" w:type="pct"/>
            <w:shd w:val="clear" w:color="000000" w:fill="A7D27F"/>
            <w:noWrap/>
            <w:vAlign w:val="center"/>
            <w:hideMark/>
          </w:tcPr>
          <w:p w14:paraId="306EF65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56.12 </w:t>
            </w:r>
          </w:p>
        </w:tc>
        <w:tc>
          <w:tcPr>
            <w:tcW w:w="296" w:type="pct"/>
            <w:shd w:val="clear" w:color="000000" w:fill="EEE683"/>
            <w:noWrap/>
            <w:vAlign w:val="center"/>
            <w:hideMark/>
          </w:tcPr>
          <w:p w14:paraId="2BEDD23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54.28 </w:t>
            </w:r>
          </w:p>
        </w:tc>
        <w:tc>
          <w:tcPr>
            <w:tcW w:w="255" w:type="pct"/>
            <w:shd w:val="clear" w:color="000000" w:fill="93CC7E"/>
            <w:noWrap/>
            <w:vAlign w:val="center"/>
            <w:hideMark/>
          </w:tcPr>
          <w:p w14:paraId="5DA60A3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54.36 </w:t>
            </w:r>
          </w:p>
        </w:tc>
        <w:tc>
          <w:tcPr>
            <w:tcW w:w="296" w:type="pct"/>
            <w:shd w:val="clear" w:color="000000" w:fill="EBE683"/>
            <w:noWrap/>
            <w:vAlign w:val="center"/>
            <w:hideMark/>
          </w:tcPr>
          <w:p w14:paraId="45E33E2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44.72 </w:t>
            </w:r>
          </w:p>
        </w:tc>
        <w:tc>
          <w:tcPr>
            <w:tcW w:w="255" w:type="pct"/>
            <w:shd w:val="clear" w:color="000000" w:fill="8DCA7E"/>
            <w:noWrap/>
            <w:vAlign w:val="center"/>
            <w:hideMark/>
          </w:tcPr>
          <w:p w14:paraId="39D3DA9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47.67 </w:t>
            </w:r>
          </w:p>
        </w:tc>
        <w:tc>
          <w:tcPr>
            <w:tcW w:w="296" w:type="pct"/>
            <w:shd w:val="clear" w:color="000000" w:fill="D7E082"/>
            <w:noWrap/>
            <w:vAlign w:val="center"/>
            <w:hideMark/>
          </w:tcPr>
          <w:p w14:paraId="0F74F7A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47.38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54E32CA" w14:textId="182B096A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&lt;EndNote&gt;&lt;Cite&gt;&lt;Author&gt;You&lt;/Author&gt;&lt;Year&gt;2017&lt;/Year&gt;&lt;RecNum&gt;5&lt;/RecNum&gt;&lt;DisplayText&gt;[5]&lt;/DisplayText&gt;&lt;record&gt;&lt;rec-number&gt;5&lt;/rec-number&gt;&lt;foreign-keys&gt;&lt;key app="EN" db-id="e0ewzetvgwdzt4ed9d8ptvxjfzexr2wxte50" timestamp="1708752409"&gt;5&lt;/key&gt;&lt;/foreign-keys&gt;&lt;ref-type name="Journal Article"&gt;17&lt;/ref-type&gt;&lt;contributors&gt;&lt;authors&gt;&lt;author&gt;You, Yu&lt;/author&gt;&lt;author&gt;Tan, Jiaxin&lt;/author&gt;&lt;author&gt;Gong, Yi&lt;/author&gt;&lt;author&gt;Dai, Haisu&lt;/author&gt;&lt;author&gt;Chen, Haowei&lt;/author&gt;&lt;author&gt;Xu, Xuejun&lt;/author&gt;&lt;author&gt;Yang, Aigang&lt;/author&gt;&lt;author&gt;Zhang, Yujun&lt;/author&gt;&lt;author&gt;Bie, Ping&lt;/author&gt;&lt;/authors&gt;&lt;/contributors&gt;&lt;titles&gt;&lt;title&gt;MicroRNA-216b-5p functions as a tumor-suppressive RNA by targeting TPT1 in pancreatic cancer cells&lt;/title&gt;&lt;secondary-title&gt;Journal of Cancer&lt;/secondary-title&gt;&lt;/titles&gt;&lt;periodical&gt;&lt;full-title&gt;Journal of Cancer&lt;/full-title&gt;&lt;/periodical&gt;&lt;pages&gt;2854&lt;/pages&gt;&lt;volume&gt;8&lt;/volume&gt;&lt;number&gt;14&lt;/number&gt;&lt;dates&gt;&lt;year&gt;2017&lt;/year&gt;&lt;/dates&gt;&lt;urls&gt;&lt;/urls&gt;&lt;/record&gt;&lt;/Cite&gt;&lt;/EndNote&gt;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[5]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0CD71C6C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0E5C13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PTMA</w:t>
            </w:r>
          </w:p>
        </w:tc>
        <w:tc>
          <w:tcPr>
            <w:tcW w:w="466" w:type="pct"/>
            <w:shd w:val="clear" w:color="000000" w:fill="E2E383"/>
            <w:noWrap/>
            <w:vAlign w:val="center"/>
            <w:hideMark/>
          </w:tcPr>
          <w:p w14:paraId="29315E8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233.33 </w:t>
            </w:r>
          </w:p>
        </w:tc>
        <w:tc>
          <w:tcPr>
            <w:tcW w:w="499" w:type="pct"/>
            <w:shd w:val="clear" w:color="000000" w:fill="EFE784"/>
            <w:noWrap/>
            <w:vAlign w:val="center"/>
            <w:hideMark/>
          </w:tcPr>
          <w:p w14:paraId="66041FD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207.48 </w:t>
            </w:r>
          </w:p>
        </w:tc>
        <w:tc>
          <w:tcPr>
            <w:tcW w:w="462" w:type="pct"/>
            <w:shd w:val="clear" w:color="000000" w:fill="DEE283"/>
            <w:noWrap/>
            <w:vAlign w:val="center"/>
            <w:hideMark/>
          </w:tcPr>
          <w:p w14:paraId="4746107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282.12 </w:t>
            </w:r>
          </w:p>
        </w:tc>
        <w:tc>
          <w:tcPr>
            <w:tcW w:w="517" w:type="pct"/>
            <w:shd w:val="clear" w:color="000000" w:fill="D7E082"/>
            <w:noWrap/>
            <w:vAlign w:val="center"/>
            <w:hideMark/>
          </w:tcPr>
          <w:p w14:paraId="65F24FC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213.21 </w:t>
            </w:r>
          </w:p>
        </w:tc>
        <w:tc>
          <w:tcPr>
            <w:tcW w:w="348" w:type="pct"/>
            <w:shd w:val="clear" w:color="000000" w:fill="D4DF82"/>
            <w:noWrap/>
            <w:vAlign w:val="center"/>
            <w:hideMark/>
          </w:tcPr>
          <w:p w14:paraId="1BEBD8D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246.98 </w:t>
            </w:r>
          </w:p>
        </w:tc>
        <w:tc>
          <w:tcPr>
            <w:tcW w:w="336" w:type="pct"/>
            <w:shd w:val="clear" w:color="000000" w:fill="E5E483"/>
            <w:noWrap/>
            <w:vAlign w:val="center"/>
            <w:hideMark/>
          </w:tcPr>
          <w:p w14:paraId="41E99B0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221.98 </w:t>
            </w:r>
          </w:p>
        </w:tc>
        <w:tc>
          <w:tcPr>
            <w:tcW w:w="255" w:type="pct"/>
            <w:shd w:val="clear" w:color="000000" w:fill="B7D680"/>
            <w:noWrap/>
            <w:vAlign w:val="center"/>
            <w:hideMark/>
          </w:tcPr>
          <w:p w14:paraId="39EC170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46.12 </w:t>
            </w:r>
          </w:p>
        </w:tc>
        <w:tc>
          <w:tcPr>
            <w:tcW w:w="296" w:type="pct"/>
            <w:shd w:val="clear" w:color="000000" w:fill="F7E984"/>
            <w:noWrap/>
            <w:vAlign w:val="center"/>
            <w:hideMark/>
          </w:tcPr>
          <w:p w14:paraId="313B708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26.08 </w:t>
            </w:r>
          </w:p>
        </w:tc>
        <w:tc>
          <w:tcPr>
            <w:tcW w:w="255" w:type="pct"/>
            <w:shd w:val="clear" w:color="000000" w:fill="C3DA81"/>
            <w:noWrap/>
            <w:vAlign w:val="center"/>
            <w:hideMark/>
          </w:tcPr>
          <w:p w14:paraId="5059E6B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30.36 </w:t>
            </w:r>
          </w:p>
        </w:tc>
        <w:tc>
          <w:tcPr>
            <w:tcW w:w="296" w:type="pct"/>
            <w:shd w:val="clear" w:color="000000" w:fill="E6E483"/>
            <w:noWrap/>
            <w:vAlign w:val="center"/>
            <w:hideMark/>
          </w:tcPr>
          <w:p w14:paraId="23F46F8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54.44 </w:t>
            </w:r>
          </w:p>
        </w:tc>
        <w:tc>
          <w:tcPr>
            <w:tcW w:w="255" w:type="pct"/>
            <w:shd w:val="clear" w:color="000000" w:fill="8ECB7E"/>
            <w:noWrap/>
            <w:vAlign w:val="center"/>
            <w:hideMark/>
          </w:tcPr>
          <w:p w14:paraId="7367ED6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47.22 </w:t>
            </w:r>
          </w:p>
        </w:tc>
        <w:tc>
          <w:tcPr>
            <w:tcW w:w="296" w:type="pct"/>
            <w:shd w:val="clear" w:color="000000" w:fill="E7E483"/>
            <w:noWrap/>
            <w:vAlign w:val="center"/>
            <w:hideMark/>
          </w:tcPr>
          <w:p w14:paraId="750B745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29.12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37A107B" w14:textId="075E2AAA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&lt;EndNote&gt;&lt;Cite&gt;&lt;Author&gt;Prudova&lt;/Author&gt;&lt;Year&gt;2016&lt;/Year&gt;&lt;RecNum&gt;6&lt;/RecNum&gt;&lt;DisplayText&gt;[6]&lt;/DisplayText&gt;&lt;record&gt;&lt;rec-number&gt;6&lt;/rec-number&gt;&lt;foreign-keys&gt;&lt;key app="EN" db-id="e0ewzetvgwdzt4ed9d8ptvxjfzexr2wxte50" timestamp="1708752420"&gt;6&lt;/key&gt;&lt;/foreign-keys&gt;&lt;ref-type name="Journal Article"&gt;17&lt;/ref-type&gt;&lt;contributors&gt;&lt;authors&gt;&lt;author&gt;Prudova, Anna&lt;/author&gt;&lt;author&gt;Gocheva, Vasilena&lt;/author&gt;&lt;author&gt;auf dem Keller, Ulrich&lt;/author&gt;&lt;author&gt;Eckhard, Ulrich&lt;/author&gt;&lt;author&gt;Olson, Oakley C&lt;/author&gt;&lt;author&gt;Akkari, Leila&lt;/author&gt;&lt;author&gt;Butler, Georgina S&lt;/author&gt;&lt;author&gt;Fortelny, Nikolaus&lt;/author&gt;&lt;author&gt;Lange, Philipp F&lt;/author&gt;&lt;author&gt;Mark, Jennifer C&lt;/author&gt;&lt;/authors&gt;&lt;/contributors&gt;&lt;titles&gt;&lt;title&gt;TAILS N-terminomics and proteomics show protein degradation dominates over proteolytic processing by cathepsins in pancreatic tumors&lt;/title&gt;&lt;secondary-title&gt;Cell reports&lt;/secondary-title&gt;&lt;/titles&gt;&lt;periodical&gt;&lt;full-title&gt;Cell reports&lt;/full-title&gt;&lt;/periodical&gt;&lt;pages&gt;1762-1773&lt;/pages&gt;&lt;volume&gt;16&lt;/volume&gt;&lt;number&gt;6&lt;/number&gt;&lt;dates&gt;&lt;year&gt;2016&lt;/year&gt;&lt;/dates&gt;&lt;isbn&gt;2211-1247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[6]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146B61A9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36A17A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LCN2</w:t>
            </w:r>
          </w:p>
        </w:tc>
        <w:tc>
          <w:tcPr>
            <w:tcW w:w="466" w:type="pct"/>
            <w:shd w:val="clear" w:color="000000" w:fill="E8E583"/>
            <w:noWrap/>
            <w:vAlign w:val="center"/>
            <w:hideMark/>
          </w:tcPr>
          <w:p w14:paraId="08193E6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184.27 </w:t>
            </w:r>
          </w:p>
        </w:tc>
        <w:tc>
          <w:tcPr>
            <w:tcW w:w="499" w:type="pct"/>
            <w:shd w:val="clear" w:color="000000" w:fill="F6E984"/>
            <w:noWrap/>
            <w:vAlign w:val="center"/>
            <w:hideMark/>
          </w:tcPr>
          <w:p w14:paraId="4B7BB0C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114.89 </w:t>
            </w:r>
          </w:p>
        </w:tc>
        <w:tc>
          <w:tcPr>
            <w:tcW w:w="462" w:type="pct"/>
            <w:shd w:val="clear" w:color="000000" w:fill="F5E984"/>
            <w:noWrap/>
            <w:vAlign w:val="center"/>
            <w:hideMark/>
          </w:tcPr>
          <w:p w14:paraId="6338FD4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86.46 </w:t>
            </w:r>
          </w:p>
        </w:tc>
        <w:tc>
          <w:tcPr>
            <w:tcW w:w="517" w:type="pct"/>
            <w:shd w:val="clear" w:color="000000" w:fill="D7E082"/>
            <w:noWrap/>
            <w:vAlign w:val="center"/>
            <w:hideMark/>
          </w:tcPr>
          <w:p w14:paraId="1C59A83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214.40 </w:t>
            </w:r>
          </w:p>
        </w:tc>
        <w:tc>
          <w:tcPr>
            <w:tcW w:w="348" w:type="pct"/>
            <w:shd w:val="clear" w:color="000000" w:fill="EDE683"/>
            <w:noWrap/>
            <w:vAlign w:val="center"/>
            <w:hideMark/>
          </w:tcPr>
          <w:p w14:paraId="3696555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106.96 </w:t>
            </w:r>
          </w:p>
        </w:tc>
        <w:tc>
          <w:tcPr>
            <w:tcW w:w="336" w:type="pct"/>
            <w:shd w:val="clear" w:color="000000" w:fill="E9E583"/>
            <w:noWrap/>
            <w:vAlign w:val="center"/>
            <w:hideMark/>
          </w:tcPr>
          <w:p w14:paraId="4055AA6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192.94 </w:t>
            </w:r>
          </w:p>
        </w:tc>
        <w:tc>
          <w:tcPr>
            <w:tcW w:w="255" w:type="pct"/>
            <w:shd w:val="clear" w:color="000000" w:fill="EAE583"/>
            <w:noWrap/>
            <w:vAlign w:val="center"/>
            <w:hideMark/>
          </w:tcPr>
          <w:p w14:paraId="3176EE3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13.65 </w:t>
            </w:r>
          </w:p>
        </w:tc>
        <w:tc>
          <w:tcPr>
            <w:tcW w:w="296" w:type="pct"/>
            <w:shd w:val="clear" w:color="000000" w:fill="FDEB84"/>
            <w:noWrap/>
            <w:vAlign w:val="center"/>
            <w:hideMark/>
          </w:tcPr>
          <w:p w14:paraId="3A9C66D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7.77 </w:t>
            </w:r>
          </w:p>
        </w:tc>
        <w:tc>
          <w:tcPr>
            <w:tcW w:w="255" w:type="pct"/>
            <w:shd w:val="clear" w:color="000000" w:fill="6AC07C"/>
            <w:noWrap/>
            <w:vAlign w:val="center"/>
            <w:hideMark/>
          </w:tcPr>
          <w:p w14:paraId="1D21A01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74.91 </w:t>
            </w:r>
          </w:p>
        </w:tc>
        <w:tc>
          <w:tcPr>
            <w:tcW w:w="296" w:type="pct"/>
            <w:shd w:val="clear" w:color="000000" w:fill="FCEA84"/>
            <w:noWrap/>
            <w:vAlign w:val="center"/>
            <w:hideMark/>
          </w:tcPr>
          <w:p w14:paraId="2E08753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8.08 </w:t>
            </w:r>
          </w:p>
        </w:tc>
        <w:tc>
          <w:tcPr>
            <w:tcW w:w="255" w:type="pct"/>
            <w:shd w:val="clear" w:color="000000" w:fill="7EC67D"/>
            <w:noWrap/>
            <w:vAlign w:val="center"/>
            <w:hideMark/>
          </w:tcPr>
          <w:p w14:paraId="1585A26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53.66 </w:t>
            </w:r>
          </w:p>
        </w:tc>
        <w:tc>
          <w:tcPr>
            <w:tcW w:w="296" w:type="pct"/>
            <w:shd w:val="clear" w:color="000000" w:fill="E9E583"/>
            <w:noWrap/>
            <w:vAlign w:val="center"/>
            <w:hideMark/>
          </w:tcPr>
          <w:p w14:paraId="42B4716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26.20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F6F85C4" w14:textId="6FEF37CD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&lt;EndNote&gt;&lt;Cite&gt;&lt;Author&gt;Gomez-Chou&lt;/Author&gt;&lt;Year&gt;2017&lt;/Year&gt;&lt;RecNum&gt;7&lt;/RecNum&gt;&lt;DisplayText&gt;[7]&lt;/DisplayText&gt;&lt;record&gt;&lt;rec-number&gt;7&lt;/rec-number&gt;&lt;foreign-keys&gt;&lt;key app="EN" db-id="e0ewzetvgwdzt4ed9d8ptvxjfzexr2wxte50" timestamp="1708752429"&gt;7&lt;/key&gt;&lt;/foreign-keys&gt;&lt;ref-type name="Journal Article"&gt;17&lt;/ref-type&gt;&lt;contributors&gt;&lt;authors&gt;&lt;author&gt;Gomez-Chou, Sobeyda B&lt;/author&gt;&lt;author&gt;Swidnicka-Siergiejko, Agnieszka Katarzyna&lt;/author&gt;&lt;author&gt;Badi, Niharika&lt;/author&gt;&lt;author&gt;Chavez-Tomar, Myrriah&lt;/author&gt;&lt;author&gt;Lesinski, Gregory B&lt;/author&gt;&lt;author&gt;Bekaii-Saab, Tanios&lt;/author&gt;&lt;author&gt;Farren, Matthew R&lt;/author&gt;&lt;author&gt;Mace, Thomas A&lt;/author&gt;&lt;author&gt;Schmidt, Carl&lt;/author&gt;&lt;author&gt;Liu, Yan&lt;/author&gt;&lt;/authors&gt;&lt;/contributors&gt;&lt;titles&gt;&lt;title&gt;Lipocalin-2 promotes pancreatic ductal adenocarcinoma by regulating inflammation in the tumor microenvironment&lt;/title&gt;&lt;secondary-title&gt;Cancer research&lt;/secondary-title&gt;&lt;/titles&gt;&lt;periodical&gt;&lt;full-title&gt;Cancer research&lt;/full-title&gt;&lt;/periodical&gt;&lt;pages&gt;2647-2660&lt;/pages&gt;&lt;volume&gt;77&lt;/volume&gt;&lt;number&gt;10&lt;/number&gt;&lt;dates&gt;&lt;year&gt;2017&lt;/year&gt;&lt;/dates&gt;&lt;isbn&gt;0008-5472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[7]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205A0012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68E3F5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ANXA2</w:t>
            </w:r>
          </w:p>
        </w:tc>
        <w:tc>
          <w:tcPr>
            <w:tcW w:w="466" w:type="pct"/>
            <w:shd w:val="clear" w:color="000000" w:fill="E8E583"/>
            <w:noWrap/>
            <w:vAlign w:val="center"/>
            <w:hideMark/>
          </w:tcPr>
          <w:p w14:paraId="4A221B7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183.80 </w:t>
            </w:r>
          </w:p>
        </w:tc>
        <w:tc>
          <w:tcPr>
            <w:tcW w:w="499" w:type="pct"/>
            <w:shd w:val="clear" w:color="000000" w:fill="F1E784"/>
            <w:noWrap/>
            <w:vAlign w:val="center"/>
            <w:hideMark/>
          </w:tcPr>
          <w:p w14:paraId="1983A8A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175.59 </w:t>
            </w:r>
          </w:p>
        </w:tc>
        <w:tc>
          <w:tcPr>
            <w:tcW w:w="462" w:type="pct"/>
            <w:shd w:val="clear" w:color="000000" w:fill="E8E583"/>
            <w:noWrap/>
            <w:vAlign w:val="center"/>
            <w:hideMark/>
          </w:tcPr>
          <w:p w14:paraId="6AEABA8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199.86 </w:t>
            </w:r>
          </w:p>
        </w:tc>
        <w:tc>
          <w:tcPr>
            <w:tcW w:w="517" w:type="pct"/>
            <w:shd w:val="clear" w:color="000000" w:fill="DCE182"/>
            <w:noWrap/>
            <w:vAlign w:val="center"/>
            <w:hideMark/>
          </w:tcPr>
          <w:p w14:paraId="4A02CA6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189.23 </w:t>
            </w:r>
          </w:p>
        </w:tc>
        <w:tc>
          <w:tcPr>
            <w:tcW w:w="348" w:type="pct"/>
            <w:shd w:val="clear" w:color="000000" w:fill="E2E383"/>
            <w:noWrap/>
            <w:vAlign w:val="center"/>
            <w:hideMark/>
          </w:tcPr>
          <w:p w14:paraId="681B808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166.47 </w:t>
            </w:r>
          </w:p>
        </w:tc>
        <w:tc>
          <w:tcPr>
            <w:tcW w:w="336" w:type="pct"/>
            <w:shd w:val="clear" w:color="000000" w:fill="EAE583"/>
            <w:noWrap/>
            <w:vAlign w:val="center"/>
            <w:hideMark/>
          </w:tcPr>
          <w:p w14:paraId="021F5E5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182.65 </w:t>
            </w:r>
          </w:p>
        </w:tc>
        <w:tc>
          <w:tcPr>
            <w:tcW w:w="255" w:type="pct"/>
            <w:shd w:val="clear" w:color="000000" w:fill="C3DA81"/>
            <w:noWrap/>
            <w:vAlign w:val="center"/>
            <w:hideMark/>
          </w:tcPr>
          <w:p w14:paraId="0873F80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38.14 </w:t>
            </w:r>
          </w:p>
        </w:tc>
        <w:tc>
          <w:tcPr>
            <w:tcW w:w="296" w:type="pct"/>
            <w:shd w:val="clear" w:color="000000" w:fill="F8E984"/>
            <w:noWrap/>
            <w:vAlign w:val="center"/>
            <w:hideMark/>
          </w:tcPr>
          <w:p w14:paraId="63FE905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23.25 </w:t>
            </w:r>
          </w:p>
        </w:tc>
        <w:tc>
          <w:tcPr>
            <w:tcW w:w="255" w:type="pct"/>
            <w:shd w:val="clear" w:color="000000" w:fill="C6DB81"/>
            <w:noWrap/>
            <w:vAlign w:val="center"/>
            <w:hideMark/>
          </w:tcPr>
          <w:p w14:paraId="37F33C3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28.69 </w:t>
            </w:r>
          </w:p>
        </w:tc>
        <w:tc>
          <w:tcPr>
            <w:tcW w:w="296" w:type="pct"/>
            <w:shd w:val="clear" w:color="000000" w:fill="F2E884"/>
            <w:noWrap/>
            <w:vAlign w:val="center"/>
            <w:hideMark/>
          </w:tcPr>
          <w:p w14:paraId="095B1CB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28.70 </w:t>
            </w:r>
          </w:p>
        </w:tc>
        <w:tc>
          <w:tcPr>
            <w:tcW w:w="255" w:type="pct"/>
            <w:shd w:val="clear" w:color="000000" w:fill="BBD881"/>
            <w:noWrap/>
            <w:vAlign w:val="center"/>
            <w:hideMark/>
          </w:tcPr>
          <w:p w14:paraId="0769A4E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28.34 </w:t>
            </w:r>
          </w:p>
        </w:tc>
        <w:tc>
          <w:tcPr>
            <w:tcW w:w="296" w:type="pct"/>
            <w:shd w:val="clear" w:color="000000" w:fill="E0E383"/>
            <w:noWrap/>
            <w:vAlign w:val="center"/>
            <w:hideMark/>
          </w:tcPr>
          <w:p w14:paraId="7AE7CE2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36.69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9DD0D75" w14:textId="121F6491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&lt;EndNote&gt;&lt;Cite&gt;&lt;Author&gt;Takahashi&lt;/Author&gt;&lt;Year&gt;2019&lt;/Year&gt;&lt;RecNum&gt;8&lt;/RecNum&gt;&lt;DisplayText&gt;[8]&lt;/DisplayText&gt;&lt;record&gt;&lt;rec-number&gt;8&lt;/rec-number&gt;&lt;foreign-keys&gt;&lt;key app="EN" db-id="e0ewzetvgwdzt4ed9d8ptvxjfzexr2wxte50" timestamp="1708752439"&gt;8&lt;/key&gt;&lt;/foreign-keys&gt;&lt;ref-type name="Journal Article"&gt;17&lt;/ref-type&gt;&lt;contributors&gt;&lt;authors&gt;&lt;author&gt;Takahashi, Hideo&lt;/author&gt;&lt;author&gt;Katsuta, Eriko&lt;/author&gt;&lt;author&gt;Yan, Li&lt;/author&gt;&lt;author&gt;Dasgupta, Subhamoy&lt;/author&gt;&lt;author&gt;Takabe, Kazuaki&lt;/author&gt;&lt;/authors&gt;&lt;/contributors&gt;&lt;titles&gt;&lt;title&gt;High expression of Annexin A2 is associated with DNA repair, metabolic alteration, and worse survival in pancreatic ductal adenocarcinoma&lt;/title&gt;&lt;secondary-title&gt;Surgery&lt;/secondary-title&gt;&lt;/titles&gt;&lt;periodical&gt;&lt;full-title&gt;Surgery&lt;/full-title&gt;&lt;/periodical&gt;&lt;pages&gt;150-156&lt;/pages&gt;&lt;volume&gt;166&lt;/volume&gt;&lt;number&gt;2&lt;/number&gt;&lt;dates&gt;&lt;year&gt;2019&lt;/year&gt;&lt;/dates&gt;&lt;isbn&gt;0039-6060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[8]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3FD953A9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7C17FB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AGR2</w:t>
            </w:r>
          </w:p>
        </w:tc>
        <w:tc>
          <w:tcPr>
            <w:tcW w:w="466" w:type="pct"/>
            <w:shd w:val="clear" w:color="000000" w:fill="ECE683"/>
            <w:noWrap/>
            <w:vAlign w:val="center"/>
            <w:hideMark/>
          </w:tcPr>
          <w:p w14:paraId="154D6CC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155.94 </w:t>
            </w:r>
          </w:p>
        </w:tc>
        <w:tc>
          <w:tcPr>
            <w:tcW w:w="499" w:type="pct"/>
            <w:shd w:val="clear" w:color="000000" w:fill="F4E884"/>
            <w:noWrap/>
            <w:vAlign w:val="center"/>
            <w:hideMark/>
          </w:tcPr>
          <w:p w14:paraId="56527A8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142.20 </w:t>
            </w:r>
          </w:p>
        </w:tc>
        <w:tc>
          <w:tcPr>
            <w:tcW w:w="462" w:type="pct"/>
            <w:shd w:val="clear" w:color="000000" w:fill="E7E583"/>
            <w:noWrap/>
            <w:vAlign w:val="center"/>
            <w:hideMark/>
          </w:tcPr>
          <w:p w14:paraId="3532CF3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201.91 </w:t>
            </w:r>
          </w:p>
        </w:tc>
        <w:tc>
          <w:tcPr>
            <w:tcW w:w="517" w:type="pct"/>
            <w:shd w:val="clear" w:color="000000" w:fill="EAE583"/>
            <w:noWrap/>
            <w:vAlign w:val="center"/>
            <w:hideMark/>
          </w:tcPr>
          <w:p w14:paraId="7944C38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115.96 </w:t>
            </w:r>
          </w:p>
        </w:tc>
        <w:tc>
          <w:tcPr>
            <w:tcW w:w="348" w:type="pct"/>
            <w:shd w:val="clear" w:color="000000" w:fill="E4E483"/>
            <w:noWrap/>
            <w:vAlign w:val="center"/>
            <w:hideMark/>
          </w:tcPr>
          <w:p w14:paraId="5E0DFB9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156.83 </w:t>
            </w:r>
          </w:p>
        </w:tc>
        <w:tc>
          <w:tcPr>
            <w:tcW w:w="336" w:type="pct"/>
            <w:shd w:val="clear" w:color="000000" w:fill="EFE784"/>
            <w:noWrap/>
            <w:vAlign w:val="center"/>
            <w:hideMark/>
          </w:tcPr>
          <w:p w14:paraId="597AB3B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141.18 </w:t>
            </w:r>
          </w:p>
        </w:tc>
        <w:tc>
          <w:tcPr>
            <w:tcW w:w="255" w:type="pct"/>
            <w:shd w:val="clear" w:color="000000" w:fill="B9D780"/>
            <w:noWrap/>
            <w:vAlign w:val="center"/>
            <w:hideMark/>
          </w:tcPr>
          <w:p w14:paraId="534C583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44.86 </w:t>
            </w:r>
          </w:p>
        </w:tc>
        <w:tc>
          <w:tcPr>
            <w:tcW w:w="296" w:type="pct"/>
            <w:shd w:val="clear" w:color="000000" w:fill="F5E884"/>
            <w:noWrap/>
            <w:vAlign w:val="center"/>
            <w:hideMark/>
          </w:tcPr>
          <w:p w14:paraId="32E19B7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33.24 </w:t>
            </w:r>
          </w:p>
        </w:tc>
        <w:tc>
          <w:tcPr>
            <w:tcW w:w="255" w:type="pct"/>
            <w:shd w:val="clear" w:color="000000" w:fill="EAE583"/>
            <w:noWrap/>
            <w:vAlign w:val="center"/>
            <w:hideMark/>
          </w:tcPr>
          <w:p w14:paraId="1416CBE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10.68 </w:t>
            </w:r>
          </w:p>
        </w:tc>
        <w:tc>
          <w:tcPr>
            <w:tcW w:w="296" w:type="pct"/>
            <w:shd w:val="clear" w:color="000000" w:fill="EEE683"/>
            <w:noWrap/>
            <w:vAlign w:val="center"/>
            <w:hideMark/>
          </w:tcPr>
          <w:p w14:paraId="499906F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37.82 </w:t>
            </w:r>
          </w:p>
        </w:tc>
        <w:tc>
          <w:tcPr>
            <w:tcW w:w="255" w:type="pct"/>
            <w:shd w:val="clear" w:color="000000" w:fill="E8E583"/>
            <w:noWrap/>
            <w:vAlign w:val="center"/>
            <w:hideMark/>
          </w:tcPr>
          <w:p w14:paraId="0EAC94A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9.60 </w:t>
            </w:r>
          </w:p>
        </w:tc>
        <w:tc>
          <w:tcPr>
            <w:tcW w:w="296" w:type="pct"/>
            <w:shd w:val="clear" w:color="000000" w:fill="EFE784"/>
            <w:noWrap/>
            <w:vAlign w:val="center"/>
            <w:hideMark/>
          </w:tcPr>
          <w:p w14:paraId="0DCFDEF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19.74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AA8FC05" w14:textId="7C6B7006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&lt;EndNote&gt;&lt;Cite&gt;&lt;Author&gt;Dumartin&lt;/Author&gt;&lt;Year&gt;2017&lt;/Year&gt;&lt;RecNum&gt;9&lt;/RecNum&gt;&lt;DisplayText&gt;[9]&lt;/DisplayText&gt;&lt;record&gt;&lt;rec-number&gt;9&lt;/rec-number&gt;&lt;foreign-keys&gt;&lt;key app="EN" db-id="e0ewzetvgwdzt4ed9d8ptvxjfzexr2wxte50" timestamp="1708752450"&gt;9&lt;/key&gt;&lt;/foreign-keys&gt;&lt;ref-type name="Journal Article"&gt;17&lt;/ref-type&gt;&lt;contributors&gt;&lt;authors&gt;&lt;author&gt;Dumartin, L&lt;/author&gt;&lt;author&gt;Alrawashdeh, W&lt;/author&gt;&lt;author&gt;Trabulo, SM&lt;/author&gt;&lt;author&gt;Radon, TP&lt;/author&gt;&lt;author&gt;Steiger, K&lt;/author&gt;&lt;author&gt;Feakins, RM&lt;/author&gt;&lt;author&gt;Di Magliano, MP&lt;/author&gt;&lt;author&gt;Heeschen, C&lt;/author&gt;&lt;author&gt;Esposito, I&lt;/author&gt;&lt;author&gt;Lemoine, NR&lt;/author&gt;&lt;/authors&gt;&lt;/contributors&gt;&lt;titles&gt;&lt;title&gt;ER stress protein AGR2 precedes and is involved in the regulation of pancreatic cancer initiation&lt;/title&gt;&lt;secondary-title&gt;Oncogene&lt;/secondary-title&gt;&lt;/titles&gt;&lt;periodical&gt;&lt;full-title&gt;Oncogene&lt;/full-title&gt;&lt;/periodical&gt;&lt;pages&gt;3094-3103&lt;/pages&gt;&lt;volume&gt;36&lt;/volume&gt;&lt;number&gt;22&lt;/number&gt;&lt;dates&gt;&lt;year&gt;2017&lt;/year&gt;&lt;/dates&gt;&lt;isbn&gt;1476-5594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[9]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3C50DC2C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F6B606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ACTG1</w:t>
            </w:r>
          </w:p>
        </w:tc>
        <w:tc>
          <w:tcPr>
            <w:tcW w:w="466" w:type="pct"/>
            <w:shd w:val="clear" w:color="000000" w:fill="ECE683"/>
            <w:noWrap/>
            <w:vAlign w:val="center"/>
            <w:hideMark/>
          </w:tcPr>
          <w:p w14:paraId="255CFE8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154.17 </w:t>
            </w:r>
          </w:p>
        </w:tc>
        <w:tc>
          <w:tcPr>
            <w:tcW w:w="499" w:type="pct"/>
            <w:shd w:val="clear" w:color="000000" w:fill="F3E884"/>
            <w:noWrap/>
            <w:vAlign w:val="center"/>
            <w:hideMark/>
          </w:tcPr>
          <w:p w14:paraId="7B9CFE4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150.06 </w:t>
            </w:r>
          </w:p>
        </w:tc>
        <w:tc>
          <w:tcPr>
            <w:tcW w:w="462" w:type="pct"/>
            <w:shd w:val="clear" w:color="000000" w:fill="ECE683"/>
            <w:noWrap/>
            <w:vAlign w:val="center"/>
            <w:hideMark/>
          </w:tcPr>
          <w:p w14:paraId="50D3819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162.70 </w:t>
            </w:r>
          </w:p>
        </w:tc>
        <w:tc>
          <w:tcPr>
            <w:tcW w:w="517" w:type="pct"/>
            <w:shd w:val="clear" w:color="000000" w:fill="E4E483"/>
            <w:noWrap/>
            <w:vAlign w:val="center"/>
            <w:hideMark/>
          </w:tcPr>
          <w:p w14:paraId="5D20819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146.00 </w:t>
            </w:r>
          </w:p>
        </w:tc>
        <w:tc>
          <w:tcPr>
            <w:tcW w:w="348" w:type="pct"/>
            <w:shd w:val="clear" w:color="000000" w:fill="E2E383"/>
            <w:noWrap/>
            <w:vAlign w:val="center"/>
            <w:hideMark/>
          </w:tcPr>
          <w:p w14:paraId="4319172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168.93 </w:t>
            </w:r>
          </w:p>
        </w:tc>
        <w:tc>
          <w:tcPr>
            <w:tcW w:w="336" w:type="pct"/>
            <w:shd w:val="clear" w:color="000000" w:fill="EEE683"/>
            <w:noWrap/>
            <w:vAlign w:val="center"/>
            <w:hideMark/>
          </w:tcPr>
          <w:p w14:paraId="34996EE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149.02 </w:t>
            </w:r>
          </w:p>
        </w:tc>
        <w:tc>
          <w:tcPr>
            <w:tcW w:w="255" w:type="pct"/>
            <w:shd w:val="clear" w:color="000000" w:fill="CDDD82"/>
            <w:noWrap/>
            <w:vAlign w:val="center"/>
            <w:hideMark/>
          </w:tcPr>
          <w:p w14:paraId="7D40A846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31.75 </w:t>
            </w:r>
          </w:p>
        </w:tc>
        <w:tc>
          <w:tcPr>
            <w:tcW w:w="296" w:type="pct"/>
            <w:shd w:val="clear" w:color="000000" w:fill="F7E984"/>
            <w:noWrap/>
            <w:vAlign w:val="center"/>
            <w:hideMark/>
          </w:tcPr>
          <w:p w14:paraId="3484782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25.78 </w:t>
            </w:r>
          </w:p>
        </w:tc>
        <w:tc>
          <w:tcPr>
            <w:tcW w:w="255" w:type="pct"/>
            <w:shd w:val="clear" w:color="000000" w:fill="CDDD82"/>
            <w:noWrap/>
            <w:vAlign w:val="center"/>
            <w:hideMark/>
          </w:tcPr>
          <w:p w14:paraId="590200E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25.38 </w:t>
            </w:r>
          </w:p>
        </w:tc>
        <w:tc>
          <w:tcPr>
            <w:tcW w:w="296" w:type="pct"/>
            <w:shd w:val="clear" w:color="000000" w:fill="F3E884"/>
            <w:noWrap/>
            <w:vAlign w:val="center"/>
            <w:hideMark/>
          </w:tcPr>
          <w:p w14:paraId="3CE87E9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26.50 </w:t>
            </w:r>
          </w:p>
        </w:tc>
        <w:tc>
          <w:tcPr>
            <w:tcW w:w="255" w:type="pct"/>
            <w:shd w:val="clear" w:color="000000" w:fill="BFD981"/>
            <w:noWrap/>
            <w:vAlign w:val="center"/>
            <w:hideMark/>
          </w:tcPr>
          <w:p w14:paraId="3E4E6D2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26.77 </w:t>
            </w:r>
          </w:p>
        </w:tc>
        <w:tc>
          <w:tcPr>
            <w:tcW w:w="296" w:type="pct"/>
            <w:shd w:val="clear" w:color="000000" w:fill="F0E784"/>
            <w:noWrap/>
            <w:vAlign w:val="center"/>
            <w:hideMark/>
          </w:tcPr>
          <w:p w14:paraId="61BE77B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17.98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3047030" w14:textId="7E96B70B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&lt;EndNote&gt;&lt;Cite&gt;&lt;Author&gt;Tang&lt;/Author&gt;&lt;Year&gt;2022&lt;/Year&gt;&lt;RecNum&gt;10&lt;/RecNum&gt;&lt;DisplayText&gt;[10]&lt;/DisplayText&gt;&lt;record&gt;&lt;rec-number&gt;10&lt;/rec-number&gt;&lt;foreign-keys&gt;&lt;key app="EN" db-id="e0ewzetvgwdzt4ed9d8ptvxjfzexr2wxte50" timestamp="1708752458"&gt;10&lt;/key&gt;&lt;/foreign-keys&gt;&lt;ref-type name="Journal Article"&gt;17&lt;/ref-type&gt;&lt;contributors&gt;&lt;authors&gt;&lt;author&gt;Tang, Yichen&lt;/author&gt;&lt;author&gt;Peng, Xuehui&lt;/author&gt;&lt;author&gt;Huang, Xiaobing&lt;/author&gt;&lt;author&gt;Li, Jing&lt;/author&gt;&lt;/authors&gt;&lt;/contributors&gt;&lt;titles&gt;&lt;title&gt;Actin gamma 1 is a critical regulator of pancreatic ductal adenocarcinoma&lt;/title&gt;&lt;secondary-title&gt;Saudi Journal of Gastroenterology: Official Journal of the Saudi Gastroenterology Association&lt;/secondary-title&gt;&lt;/titles&gt;&lt;periodical&gt;&lt;full-title&gt;Saudi Journal of Gastroenterology: Official Journal of the Saudi Gastroenterology Association&lt;/full-title&gt;&lt;/periodical&gt;&lt;pages&gt;239&lt;/pages&gt;&lt;volume&gt;28&lt;/volume&gt;&lt;number&gt;3&lt;/number&gt;&lt;dates&gt;&lt;year&gt;2022&lt;/year&gt;&lt;/dates&gt;&lt;urls&gt;&lt;/urls&gt;&lt;/record&gt;&lt;/Cite&gt;&lt;/EndNote&gt;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[10]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0D02C2D9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051B4BB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CFL1</w:t>
            </w:r>
          </w:p>
        </w:tc>
        <w:tc>
          <w:tcPr>
            <w:tcW w:w="466" w:type="pct"/>
            <w:shd w:val="clear" w:color="000000" w:fill="EDE683"/>
            <w:noWrap/>
            <w:vAlign w:val="center"/>
            <w:hideMark/>
          </w:tcPr>
          <w:p w14:paraId="033398A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149.86 </w:t>
            </w:r>
          </w:p>
        </w:tc>
        <w:tc>
          <w:tcPr>
            <w:tcW w:w="499" w:type="pct"/>
            <w:shd w:val="clear" w:color="000000" w:fill="F4E884"/>
            <w:noWrap/>
            <w:vAlign w:val="center"/>
            <w:hideMark/>
          </w:tcPr>
          <w:p w14:paraId="6D72E50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141.12 </w:t>
            </w:r>
          </w:p>
        </w:tc>
        <w:tc>
          <w:tcPr>
            <w:tcW w:w="462" w:type="pct"/>
            <w:shd w:val="clear" w:color="000000" w:fill="EDE683"/>
            <w:noWrap/>
            <w:vAlign w:val="center"/>
            <w:hideMark/>
          </w:tcPr>
          <w:p w14:paraId="6BC817A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156.48 </w:t>
            </w:r>
          </w:p>
        </w:tc>
        <w:tc>
          <w:tcPr>
            <w:tcW w:w="517" w:type="pct"/>
            <w:shd w:val="clear" w:color="000000" w:fill="E3E383"/>
            <w:noWrap/>
            <w:vAlign w:val="center"/>
            <w:hideMark/>
          </w:tcPr>
          <w:p w14:paraId="76404CB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152.16 </w:t>
            </w:r>
          </w:p>
        </w:tc>
        <w:tc>
          <w:tcPr>
            <w:tcW w:w="348" w:type="pct"/>
            <w:shd w:val="clear" w:color="000000" w:fill="E6E483"/>
            <w:noWrap/>
            <w:vAlign w:val="center"/>
            <w:hideMark/>
          </w:tcPr>
          <w:p w14:paraId="1BCCDE3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147.57 </w:t>
            </w:r>
          </w:p>
        </w:tc>
        <w:tc>
          <w:tcPr>
            <w:tcW w:w="336" w:type="pct"/>
            <w:shd w:val="clear" w:color="000000" w:fill="EEE683"/>
            <w:noWrap/>
            <w:vAlign w:val="center"/>
            <w:hideMark/>
          </w:tcPr>
          <w:p w14:paraId="1D7642B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147.95 </w:t>
            </w:r>
          </w:p>
        </w:tc>
        <w:tc>
          <w:tcPr>
            <w:tcW w:w="255" w:type="pct"/>
            <w:shd w:val="clear" w:color="000000" w:fill="D4DF82"/>
            <w:noWrap/>
            <w:vAlign w:val="center"/>
            <w:hideMark/>
          </w:tcPr>
          <w:p w14:paraId="5CEB4D8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27.32 </w:t>
            </w:r>
          </w:p>
        </w:tc>
        <w:tc>
          <w:tcPr>
            <w:tcW w:w="296" w:type="pct"/>
            <w:shd w:val="clear" w:color="000000" w:fill="F8E984"/>
            <w:noWrap/>
            <w:vAlign w:val="center"/>
            <w:hideMark/>
          </w:tcPr>
          <w:p w14:paraId="4A0A6AC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21.91 </w:t>
            </w:r>
          </w:p>
        </w:tc>
        <w:tc>
          <w:tcPr>
            <w:tcW w:w="255" w:type="pct"/>
            <w:shd w:val="clear" w:color="000000" w:fill="D1DE82"/>
            <w:noWrap/>
            <w:vAlign w:val="center"/>
            <w:hideMark/>
          </w:tcPr>
          <w:p w14:paraId="0CAFC86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23.10 </w:t>
            </w:r>
          </w:p>
        </w:tc>
        <w:tc>
          <w:tcPr>
            <w:tcW w:w="296" w:type="pct"/>
            <w:shd w:val="clear" w:color="000000" w:fill="F3E884"/>
            <w:noWrap/>
            <w:vAlign w:val="center"/>
            <w:hideMark/>
          </w:tcPr>
          <w:p w14:paraId="4EA835B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26.40 </w:t>
            </w:r>
          </w:p>
        </w:tc>
        <w:tc>
          <w:tcPr>
            <w:tcW w:w="255" w:type="pct"/>
            <w:shd w:val="clear" w:color="000000" w:fill="BFD981"/>
            <w:noWrap/>
            <w:vAlign w:val="center"/>
            <w:hideMark/>
          </w:tcPr>
          <w:p w14:paraId="26228C7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26.78 </w:t>
            </w:r>
          </w:p>
        </w:tc>
        <w:tc>
          <w:tcPr>
            <w:tcW w:w="296" w:type="pct"/>
            <w:shd w:val="clear" w:color="000000" w:fill="EBE683"/>
            <w:noWrap/>
            <w:vAlign w:val="center"/>
            <w:hideMark/>
          </w:tcPr>
          <w:p w14:paraId="1672C3C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24.33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BCCDB38" w14:textId="01D77E65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&lt;EndNote&gt;&lt;Cite&gt;&lt;Author&gt;Castillo&lt;/Author&gt;&lt;Year&gt;2020&lt;/Year&gt;&lt;RecNum&gt;11&lt;/RecNum&gt;&lt;DisplayText&gt;[11]&lt;/DisplayText&gt;&lt;record&gt;&lt;rec-number&gt;11&lt;/rec-number&gt;&lt;foreign-keys&gt;&lt;key app="EN" db-id="e0ewzetvgwdzt4ed9d8ptvxjfzexr2wxte50" timestamp="1708752467"&gt;11&lt;/key&gt;&lt;/foreign-keys&gt;&lt;ref-type name="Journal Article"&gt;17&lt;/ref-type&gt;&lt;contributors&gt;&lt;authors&gt;&lt;author&gt;Castillo, Lesley&lt;/author&gt;&lt;author&gt;Young, Adelaide IJ&lt;/author&gt;&lt;author&gt;Mawson, Amanda&lt;/author&gt;&lt;author&gt;Schafranek, Pia&lt;/author&gt;&lt;author&gt;Steinmann, Angela M&lt;/author&gt;&lt;author&gt;Nessem, Danielle&lt;/author&gt;&lt;author&gt;Parkin, Ashleigh&lt;/author&gt;&lt;author&gt;Johns, Amber&lt;/author&gt;&lt;author&gt;Chou, Angela&lt;/author&gt;&lt;author&gt;Law, Andrew MK&lt;/author&gt;&lt;/authors&gt;&lt;/contributors&gt;&lt;titles&gt;&lt;title&gt;MCL-1 antagonism enhances the anti-invasive effects of dasatinib in pancreatic adenocarcinoma&lt;/title&gt;&lt;secondary-title&gt;Oncogene&lt;/secondary-title&gt;&lt;/titles&gt;&lt;periodical&gt;&lt;full-title&gt;Oncogene&lt;/full-title&gt;&lt;/periodical&gt;&lt;pages&gt;1821-1829&lt;/pages&gt;&lt;volume&gt;39&lt;/volume&gt;&lt;number&gt;8&lt;/number&gt;&lt;dates&gt;&lt;year&gt;2020&lt;/year&gt;&lt;/dates&gt;&lt;isbn&gt;0950-9232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[11]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6E5CF0C1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3DF9A79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B2M</w:t>
            </w:r>
          </w:p>
        </w:tc>
        <w:tc>
          <w:tcPr>
            <w:tcW w:w="466" w:type="pct"/>
            <w:shd w:val="clear" w:color="000000" w:fill="EDE683"/>
            <w:noWrap/>
            <w:vAlign w:val="center"/>
            <w:hideMark/>
          </w:tcPr>
          <w:p w14:paraId="2D9F44D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145.68 </w:t>
            </w:r>
          </w:p>
        </w:tc>
        <w:tc>
          <w:tcPr>
            <w:tcW w:w="499" w:type="pct"/>
            <w:shd w:val="clear" w:color="000000" w:fill="F3E884"/>
            <w:noWrap/>
            <w:vAlign w:val="center"/>
            <w:hideMark/>
          </w:tcPr>
          <w:p w14:paraId="5221B98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151.76 </w:t>
            </w:r>
          </w:p>
        </w:tc>
        <w:tc>
          <w:tcPr>
            <w:tcW w:w="462" w:type="pct"/>
            <w:shd w:val="clear" w:color="000000" w:fill="EDE683"/>
            <w:noWrap/>
            <w:vAlign w:val="center"/>
            <w:hideMark/>
          </w:tcPr>
          <w:p w14:paraId="72D7A22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153.64 </w:t>
            </w:r>
          </w:p>
        </w:tc>
        <w:tc>
          <w:tcPr>
            <w:tcW w:w="517" w:type="pct"/>
            <w:shd w:val="clear" w:color="000000" w:fill="DFE283"/>
            <w:noWrap/>
            <w:vAlign w:val="center"/>
            <w:hideMark/>
          </w:tcPr>
          <w:p w14:paraId="55745C6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171.35 </w:t>
            </w:r>
          </w:p>
        </w:tc>
        <w:tc>
          <w:tcPr>
            <w:tcW w:w="348" w:type="pct"/>
            <w:shd w:val="clear" w:color="000000" w:fill="EAE583"/>
            <w:noWrap/>
            <w:vAlign w:val="center"/>
            <w:hideMark/>
          </w:tcPr>
          <w:p w14:paraId="6C0AAC8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123.70 </w:t>
            </w:r>
          </w:p>
        </w:tc>
        <w:tc>
          <w:tcPr>
            <w:tcW w:w="336" w:type="pct"/>
            <w:shd w:val="clear" w:color="000000" w:fill="EDE683"/>
            <w:noWrap/>
            <w:vAlign w:val="center"/>
            <w:hideMark/>
          </w:tcPr>
          <w:p w14:paraId="70894BD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152.73 </w:t>
            </w:r>
          </w:p>
        </w:tc>
        <w:tc>
          <w:tcPr>
            <w:tcW w:w="255" w:type="pct"/>
            <w:shd w:val="clear" w:color="000000" w:fill="DEE283"/>
            <w:noWrap/>
            <w:vAlign w:val="center"/>
            <w:hideMark/>
          </w:tcPr>
          <w:p w14:paraId="5E30970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21.29 </w:t>
            </w:r>
          </w:p>
        </w:tc>
        <w:tc>
          <w:tcPr>
            <w:tcW w:w="296" w:type="pct"/>
            <w:shd w:val="clear" w:color="000000" w:fill="F6E984"/>
            <w:noWrap/>
            <w:vAlign w:val="center"/>
            <w:hideMark/>
          </w:tcPr>
          <w:p w14:paraId="091EF2D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28.61 </w:t>
            </w:r>
          </w:p>
        </w:tc>
        <w:tc>
          <w:tcPr>
            <w:tcW w:w="255" w:type="pct"/>
            <w:shd w:val="clear" w:color="000000" w:fill="D5DF82"/>
            <w:noWrap/>
            <w:vAlign w:val="center"/>
            <w:hideMark/>
          </w:tcPr>
          <w:p w14:paraId="0356C8E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21.20 </w:t>
            </w:r>
          </w:p>
        </w:tc>
        <w:tc>
          <w:tcPr>
            <w:tcW w:w="296" w:type="pct"/>
            <w:shd w:val="clear" w:color="000000" w:fill="F6E984"/>
            <w:noWrap/>
            <w:vAlign w:val="center"/>
            <w:hideMark/>
          </w:tcPr>
          <w:p w14:paraId="3366BCA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21.30 </w:t>
            </w:r>
          </w:p>
        </w:tc>
        <w:tc>
          <w:tcPr>
            <w:tcW w:w="255" w:type="pct"/>
            <w:shd w:val="clear" w:color="000000" w:fill="D5DF82"/>
            <w:noWrap/>
            <w:vAlign w:val="center"/>
            <w:hideMark/>
          </w:tcPr>
          <w:p w14:paraId="0760585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17.70 </w:t>
            </w:r>
          </w:p>
        </w:tc>
        <w:tc>
          <w:tcPr>
            <w:tcW w:w="296" w:type="pct"/>
            <w:shd w:val="clear" w:color="000000" w:fill="E1E383"/>
            <w:noWrap/>
            <w:vAlign w:val="center"/>
            <w:hideMark/>
          </w:tcPr>
          <w:p w14:paraId="1629DD3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35.58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F1972FB" w14:textId="6C28210C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&lt;EndNote&gt;&lt;Cite&gt;&lt;Author&gt;Liu&lt;/Author&gt;&lt;Year&gt;2015&lt;/Year&gt;&lt;RecNum&gt;12&lt;/RecNum&gt;&lt;DisplayText&gt;[12]&lt;/DisplayText&gt;&lt;record&gt;&lt;rec-number&gt;12&lt;/rec-number&gt;&lt;foreign-keys&gt;&lt;key app="EN" db-id="e0ewzetvgwdzt4ed9d8ptvxjfzexr2wxte50" timestamp="1708752479"&gt;12&lt;/key&gt;&lt;/foreign-keys&gt;&lt;ref-type name="Journal Article"&gt;17&lt;/ref-type&gt;&lt;contributors&gt;&lt;authors&gt;&lt;author&gt;Liu, Chun&lt;/author&gt;&lt;author&gt;Yang, Zhulin&lt;/author&gt;&lt;author&gt;Li, Daiqiang&lt;/author&gt;&lt;author&gt;Liu, Ziru&lt;/author&gt;&lt;author&gt;Miao, Xiongying&lt;/author&gt;&lt;author&gt;Yang, Leping&lt;/author&gt;&lt;author&gt;Zou, Qiong&lt;/author&gt;&lt;author&gt;Yuan, Yuan&lt;/author&gt;&lt;/authors&gt;&lt;/contributors&gt;&lt;titles&gt;&lt;title&gt;Overexpression of B2M and loss of ALK7 expression are associated with invasion, metastasis, and poor-prognosis of the pancreatic ductal adenocarcinoma&lt;/title&gt;&lt;secondary-title&gt;Cancer Biomarkers&lt;/secondary-title&gt;&lt;/titles&gt;&lt;periodical&gt;&lt;full-title&gt;Cancer Biomarkers&lt;/full-title&gt;&lt;/periodical&gt;&lt;pages&gt;735-743&lt;/pages&gt;&lt;volume&gt;15&lt;/volume&gt;&lt;number&gt;6&lt;/number&gt;&lt;dates&gt;&lt;year&gt;2015&lt;/year&gt;&lt;/dates&gt;&lt;isbn&gt;1574-0153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[12]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6E36A151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7E8D19B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SERPINA1</w:t>
            </w:r>
          </w:p>
        </w:tc>
        <w:tc>
          <w:tcPr>
            <w:tcW w:w="466" w:type="pct"/>
            <w:shd w:val="clear" w:color="000000" w:fill="EEE784"/>
            <w:noWrap/>
            <w:vAlign w:val="center"/>
            <w:hideMark/>
          </w:tcPr>
          <w:p w14:paraId="061F85A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137.74 </w:t>
            </w:r>
          </w:p>
        </w:tc>
        <w:tc>
          <w:tcPr>
            <w:tcW w:w="499" w:type="pct"/>
            <w:shd w:val="clear" w:color="000000" w:fill="F6E984"/>
            <w:noWrap/>
            <w:vAlign w:val="center"/>
            <w:hideMark/>
          </w:tcPr>
          <w:p w14:paraId="02561B6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119.82 </w:t>
            </w:r>
          </w:p>
        </w:tc>
        <w:tc>
          <w:tcPr>
            <w:tcW w:w="462" w:type="pct"/>
            <w:shd w:val="clear" w:color="000000" w:fill="F2E884"/>
            <w:noWrap/>
            <w:vAlign w:val="center"/>
            <w:hideMark/>
          </w:tcPr>
          <w:p w14:paraId="3C64F9F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114.36 </w:t>
            </w:r>
          </w:p>
        </w:tc>
        <w:tc>
          <w:tcPr>
            <w:tcW w:w="517" w:type="pct"/>
            <w:shd w:val="clear" w:color="000000" w:fill="E6E483"/>
            <w:noWrap/>
            <w:vAlign w:val="center"/>
            <w:hideMark/>
          </w:tcPr>
          <w:p w14:paraId="08D5FBC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137.29 </w:t>
            </w:r>
          </w:p>
        </w:tc>
        <w:tc>
          <w:tcPr>
            <w:tcW w:w="348" w:type="pct"/>
            <w:shd w:val="clear" w:color="000000" w:fill="EEE683"/>
            <w:noWrap/>
            <w:vAlign w:val="center"/>
            <w:hideMark/>
          </w:tcPr>
          <w:p w14:paraId="1429E97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100.21 </w:t>
            </w:r>
          </w:p>
        </w:tc>
        <w:tc>
          <w:tcPr>
            <w:tcW w:w="336" w:type="pct"/>
            <w:shd w:val="clear" w:color="000000" w:fill="EFE784"/>
            <w:noWrap/>
            <w:vAlign w:val="center"/>
            <w:hideMark/>
          </w:tcPr>
          <w:p w14:paraId="26EEA66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140.95 </w:t>
            </w:r>
          </w:p>
        </w:tc>
        <w:tc>
          <w:tcPr>
            <w:tcW w:w="255" w:type="pct"/>
            <w:shd w:val="clear" w:color="000000" w:fill="EFE784"/>
            <w:noWrap/>
            <w:vAlign w:val="center"/>
            <w:hideMark/>
          </w:tcPr>
          <w:p w14:paraId="2C731A1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10.46 </w:t>
            </w:r>
          </w:p>
        </w:tc>
        <w:tc>
          <w:tcPr>
            <w:tcW w:w="296" w:type="pct"/>
            <w:shd w:val="clear" w:color="000000" w:fill="F8E984"/>
            <w:noWrap/>
            <w:vAlign w:val="center"/>
            <w:hideMark/>
          </w:tcPr>
          <w:p w14:paraId="56BC6ED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23.78 </w:t>
            </w:r>
          </w:p>
        </w:tc>
        <w:tc>
          <w:tcPr>
            <w:tcW w:w="255" w:type="pct"/>
            <w:shd w:val="clear" w:color="000000" w:fill="BDD881"/>
            <w:noWrap/>
            <w:vAlign w:val="center"/>
            <w:hideMark/>
          </w:tcPr>
          <w:p w14:paraId="15F53EC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33.23 </w:t>
            </w:r>
          </w:p>
        </w:tc>
        <w:tc>
          <w:tcPr>
            <w:tcW w:w="296" w:type="pct"/>
            <w:shd w:val="clear" w:color="000000" w:fill="F7E984"/>
            <w:noWrap/>
            <w:vAlign w:val="center"/>
            <w:hideMark/>
          </w:tcPr>
          <w:p w14:paraId="7C76C1E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19.13 </w:t>
            </w:r>
          </w:p>
        </w:tc>
        <w:tc>
          <w:tcPr>
            <w:tcW w:w="255" w:type="pct"/>
            <w:shd w:val="clear" w:color="000000" w:fill="C5DB81"/>
            <w:noWrap/>
            <w:vAlign w:val="center"/>
            <w:hideMark/>
          </w:tcPr>
          <w:p w14:paraId="72FA3BD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24.13 </w:t>
            </w:r>
          </w:p>
        </w:tc>
        <w:tc>
          <w:tcPr>
            <w:tcW w:w="296" w:type="pct"/>
            <w:shd w:val="clear" w:color="000000" w:fill="E9E583"/>
            <w:noWrap/>
            <w:vAlign w:val="center"/>
            <w:hideMark/>
          </w:tcPr>
          <w:p w14:paraId="04D6C7D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27.01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EBCDB52" w14:textId="14097776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&lt;EndNote&gt;&lt;Cite&gt;&lt;Author&gt;Atay&lt;/Author&gt;&lt;Year&gt;2020&lt;/Year&gt;&lt;RecNum&gt;13&lt;/RecNum&gt;&lt;DisplayText&gt;[13]&lt;/DisplayText&gt;&lt;record&gt;&lt;rec-number&gt;13&lt;/rec-number&gt;&lt;foreign-keys&gt;&lt;key app="EN" db-id="e0ewzetvgwdzt4ed9d8ptvxjfzexr2wxte50" timestamp="1708752488"&gt;13&lt;/key&gt;&lt;/foreign-keys&gt;&lt;ref-type name="Journal Article"&gt;17&lt;/ref-type&gt;&lt;contributors&gt;&lt;authors&gt;&lt;author&gt;Atay, Sevcan&lt;/author&gt;&lt;/authors&gt;&lt;/contributors&gt;&lt;titles&gt;&lt;title&gt;Integrated transcriptome meta-analysis of pancreatic ductal adenocarcinoma and matched adjacent pancreatic tissues&lt;/title&gt;&lt;secondary-title&gt;PeerJ&lt;/secondary-title&gt;&lt;/titles&gt;&lt;periodical&gt;&lt;full-title&gt;PeerJ&lt;/full-title&gt;&lt;/periodical&gt;&lt;pages&gt;e10141&lt;/pages&gt;&lt;volume&gt;8&lt;/volume&gt;&lt;dates&gt;&lt;year&gt;2020&lt;/year&gt;&lt;/dates&gt;&lt;isbn&gt;2167-8359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[13]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1F609264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40D79A0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PPIA</w:t>
            </w:r>
          </w:p>
        </w:tc>
        <w:tc>
          <w:tcPr>
            <w:tcW w:w="466" w:type="pct"/>
            <w:shd w:val="clear" w:color="000000" w:fill="EFE784"/>
            <w:noWrap/>
            <w:vAlign w:val="center"/>
            <w:hideMark/>
          </w:tcPr>
          <w:p w14:paraId="2A3D1D9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133.95 </w:t>
            </w:r>
          </w:p>
        </w:tc>
        <w:tc>
          <w:tcPr>
            <w:tcW w:w="499" w:type="pct"/>
            <w:shd w:val="clear" w:color="000000" w:fill="F6E984"/>
            <w:noWrap/>
            <w:vAlign w:val="center"/>
            <w:hideMark/>
          </w:tcPr>
          <w:p w14:paraId="05A601C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116.78 </w:t>
            </w:r>
          </w:p>
        </w:tc>
        <w:tc>
          <w:tcPr>
            <w:tcW w:w="462" w:type="pct"/>
            <w:shd w:val="clear" w:color="000000" w:fill="EFE784"/>
            <w:noWrap/>
            <w:vAlign w:val="center"/>
            <w:hideMark/>
          </w:tcPr>
          <w:p w14:paraId="4C9EFEC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134.76 </w:t>
            </w:r>
          </w:p>
        </w:tc>
        <w:tc>
          <w:tcPr>
            <w:tcW w:w="517" w:type="pct"/>
            <w:shd w:val="clear" w:color="000000" w:fill="E6E483"/>
            <w:noWrap/>
            <w:vAlign w:val="center"/>
            <w:hideMark/>
          </w:tcPr>
          <w:p w14:paraId="0AA180E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132.25 </w:t>
            </w:r>
          </w:p>
        </w:tc>
        <w:tc>
          <w:tcPr>
            <w:tcW w:w="348" w:type="pct"/>
            <w:shd w:val="clear" w:color="000000" w:fill="EAE583"/>
            <w:noWrap/>
            <w:vAlign w:val="center"/>
            <w:hideMark/>
          </w:tcPr>
          <w:p w14:paraId="70D9BDA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120.66 </w:t>
            </w:r>
          </w:p>
        </w:tc>
        <w:tc>
          <w:tcPr>
            <w:tcW w:w="336" w:type="pct"/>
            <w:shd w:val="clear" w:color="000000" w:fill="F0E784"/>
            <w:noWrap/>
            <w:vAlign w:val="center"/>
            <w:hideMark/>
          </w:tcPr>
          <w:p w14:paraId="6C4DBD4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130.86 </w:t>
            </w:r>
          </w:p>
        </w:tc>
        <w:tc>
          <w:tcPr>
            <w:tcW w:w="255" w:type="pct"/>
            <w:shd w:val="clear" w:color="000000" w:fill="DCE182"/>
            <w:noWrap/>
            <w:vAlign w:val="center"/>
            <w:hideMark/>
          </w:tcPr>
          <w:p w14:paraId="7D6358A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22.67 </w:t>
            </w:r>
          </w:p>
        </w:tc>
        <w:tc>
          <w:tcPr>
            <w:tcW w:w="296" w:type="pct"/>
            <w:shd w:val="clear" w:color="000000" w:fill="FAEA84"/>
            <w:noWrap/>
            <w:vAlign w:val="center"/>
            <w:hideMark/>
          </w:tcPr>
          <w:p w14:paraId="674E103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15.79 </w:t>
            </w:r>
          </w:p>
        </w:tc>
        <w:tc>
          <w:tcPr>
            <w:tcW w:w="255" w:type="pct"/>
            <w:shd w:val="clear" w:color="000000" w:fill="CFDE82"/>
            <w:noWrap/>
            <w:vAlign w:val="center"/>
            <w:hideMark/>
          </w:tcPr>
          <w:p w14:paraId="38D0AAFA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24.26 </w:t>
            </w:r>
          </w:p>
        </w:tc>
        <w:tc>
          <w:tcPr>
            <w:tcW w:w="296" w:type="pct"/>
            <w:shd w:val="clear" w:color="000000" w:fill="F5E884"/>
            <w:noWrap/>
            <w:vAlign w:val="center"/>
            <w:hideMark/>
          </w:tcPr>
          <w:p w14:paraId="383C1DF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23.20 </w:t>
            </w:r>
          </w:p>
        </w:tc>
        <w:tc>
          <w:tcPr>
            <w:tcW w:w="255" w:type="pct"/>
            <w:shd w:val="clear" w:color="000000" w:fill="BBD881"/>
            <w:noWrap/>
            <w:vAlign w:val="center"/>
            <w:hideMark/>
          </w:tcPr>
          <w:p w14:paraId="7556BB8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28.60 </w:t>
            </w:r>
          </w:p>
        </w:tc>
        <w:tc>
          <w:tcPr>
            <w:tcW w:w="296" w:type="pct"/>
            <w:shd w:val="clear" w:color="000000" w:fill="EFE784"/>
            <w:noWrap/>
            <w:vAlign w:val="center"/>
            <w:hideMark/>
          </w:tcPr>
          <w:p w14:paraId="1B656E0F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19.43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D3BEF85" w14:textId="622BBC4C" w:rsidR="007F018A" w:rsidRPr="00AF618E" w:rsidRDefault="003D1B73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&lt;EndNote&gt;&lt;Cite&gt;&lt;Author&gt;Wang&lt;/Author&gt;&lt;Year&gt;2019&lt;/Year&gt;&lt;RecNum&gt;14&lt;/RecNum&gt;&lt;DisplayText&gt;[14]&lt;/DisplayText&gt;&lt;record&gt;&lt;rec-number&gt;14&lt;/rec-number&gt;&lt;foreign-keys&gt;&lt;key app="EN" db-id="e0ewzetvgwdzt4ed9d8ptvxjfzexr2wxte50" timestamp="1708752497"&gt;14&lt;/key&gt;&lt;/foreign-keys&gt;&lt;ref-type name="Journal Article"&gt;17&lt;/ref-type&gt;&lt;contributors&gt;&lt;authors&gt;&lt;author&gt;Wang, Shilong&lt;/author&gt;&lt;author&gt;Li, Minghuan&lt;/author&gt;&lt;author&gt;Xing, Ligang&lt;/author&gt;&lt;author&gt;Yu, Jinming&lt;/author&gt;&lt;/authors&gt;&lt;/contributors&gt;&lt;titles&gt;&lt;title&gt;High expression level of peptidylprolyl isomerase A is correlated with poor prognosis of liver hepatocellular carcinoma&lt;/title&gt;&lt;secondary-title&gt;Oncology letters&lt;/secondary-title&gt;&lt;/titles&gt;&lt;periodical&gt;&lt;full-title&gt;Oncology letters&lt;/full-title&gt;&lt;/periodical&gt;&lt;pages&gt;4691-4702&lt;/pages&gt;&lt;volume&gt;18&lt;/volume&gt;&lt;number&gt;5&lt;/number&gt;&lt;dates&gt;&lt;year&gt;2019&lt;/year&gt;&lt;/dates&gt;&lt;isbn&gt;1792-1074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[14]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0DC3A4B5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D4232E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CLDN2</w:t>
            </w:r>
          </w:p>
        </w:tc>
        <w:tc>
          <w:tcPr>
            <w:tcW w:w="466" w:type="pct"/>
            <w:shd w:val="clear" w:color="000000" w:fill="F0E784"/>
            <w:noWrap/>
            <w:vAlign w:val="center"/>
            <w:hideMark/>
          </w:tcPr>
          <w:p w14:paraId="1FA7223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122.94 </w:t>
            </w:r>
          </w:p>
        </w:tc>
        <w:tc>
          <w:tcPr>
            <w:tcW w:w="499" w:type="pct"/>
            <w:shd w:val="clear" w:color="000000" w:fill="F5E984"/>
            <w:noWrap/>
            <w:vAlign w:val="center"/>
            <w:hideMark/>
          </w:tcPr>
          <w:p w14:paraId="69D8FD5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126.67 </w:t>
            </w:r>
          </w:p>
        </w:tc>
        <w:tc>
          <w:tcPr>
            <w:tcW w:w="462" w:type="pct"/>
            <w:shd w:val="clear" w:color="000000" w:fill="F2E884"/>
            <w:noWrap/>
            <w:vAlign w:val="center"/>
            <w:hideMark/>
          </w:tcPr>
          <w:p w14:paraId="447BA62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108.53 </w:t>
            </w:r>
          </w:p>
        </w:tc>
        <w:tc>
          <w:tcPr>
            <w:tcW w:w="517" w:type="pct"/>
            <w:shd w:val="clear" w:color="000000" w:fill="E9E583"/>
            <w:noWrap/>
            <w:vAlign w:val="center"/>
            <w:hideMark/>
          </w:tcPr>
          <w:p w14:paraId="56A2252C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119.85 </w:t>
            </w:r>
          </w:p>
        </w:tc>
        <w:tc>
          <w:tcPr>
            <w:tcW w:w="348" w:type="pct"/>
            <w:shd w:val="clear" w:color="000000" w:fill="EAE583"/>
            <w:noWrap/>
            <w:vAlign w:val="center"/>
            <w:hideMark/>
          </w:tcPr>
          <w:p w14:paraId="2578DE4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123.02 </w:t>
            </w:r>
          </w:p>
        </w:tc>
        <w:tc>
          <w:tcPr>
            <w:tcW w:w="336" w:type="pct"/>
            <w:shd w:val="clear" w:color="000000" w:fill="F1E784"/>
            <w:noWrap/>
            <w:vAlign w:val="center"/>
            <w:hideMark/>
          </w:tcPr>
          <w:p w14:paraId="28F3323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124.04 </w:t>
            </w:r>
          </w:p>
        </w:tc>
        <w:tc>
          <w:tcPr>
            <w:tcW w:w="255" w:type="pct"/>
            <w:shd w:val="clear" w:color="000000" w:fill="D8E082"/>
            <w:noWrap/>
            <w:vAlign w:val="center"/>
            <w:hideMark/>
          </w:tcPr>
          <w:p w14:paraId="14DA303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24.76 </w:t>
            </w:r>
          </w:p>
        </w:tc>
        <w:tc>
          <w:tcPr>
            <w:tcW w:w="296" w:type="pct"/>
            <w:shd w:val="clear" w:color="000000" w:fill="FBEA84"/>
            <w:noWrap/>
            <w:vAlign w:val="center"/>
            <w:hideMark/>
          </w:tcPr>
          <w:p w14:paraId="1178655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13.94 </w:t>
            </w:r>
          </w:p>
        </w:tc>
        <w:tc>
          <w:tcPr>
            <w:tcW w:w="255" w:type="pct"/>
            <w:shd w:val="clear" w:color="000000" w:fill="DAE182"/>
            <w:noWrap/>
            <w:vAlign w:val="center"/>
            <w:hideMark/>
          </w:tcPr>
          <w:p w14:paraId="52D5107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19.00 </w:t>
            </w:r>
          </w:p>
        </w:tc>
        <w:tc>
          <w:tcPr>
            <w:tcW w:w="296" w:type="pct"/>
            <w:shd w:val="clear" w:color="000000" w:fill="F6E984"/>
            <w:noWrap/>
            <w:vAlign w:val="center"/>
            <w:hideMark/>
          </w:tcPr>
          <w:p w14:paraId="52E4F50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19.69 </w:t>
            </w:r>
          </w:p>
        </w:tc>
        <w:tc>
          <w:tcPr>
            <w:tcW w:w="255" w:type="pct"/>
            <w:shd w:val="clear" w:color="000000" w:fill="CFDE82"/>
            <w:noWrap/>
            <w:vAlign w:val="center"/>
            <w:hideMark/>
          </w:tcPr>
          <w:p w14:paraId="3499D56E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20.12 </w:t>
            </w:r>
          </w:p>
        </w:tc>
        <w:tc>
          <w:tcPr>
            <w:tcW w:w="296" w:type="pct"/>
            <w:shd w:val="clear" w:color="000000" w:fill="EAE583"/>
            <w:noWrap/>
            <w:vAlign w:val="center"/>
            <w:hideMark/>
          </w:tcPr>
          <w:p w14:paraId="0C9DB16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25.43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8ABB175" w14:textId="253C2F5B" w:rsidR="007F018A" w:rsidRPr="00AF618E" w:rsidRDefault="009373B0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="00AF618E"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&lt;EndNote&gt;&lt;Cite&gt;&lt;Author&gt;Kesaraju&lt;/Author&gt;&lt;Year&gt;2023&lt;/Year&gt;&lt;RecNum&gt;17&lt;/RecNum&gt;&lt;DisplayText&gt;[15]&lt;/DisplayText&gt;&lt;record&gt;&lt;rec-number&gt;17&lt;/rec-number&gt;&lt;foreign-keys&gt;&lt;key app="EN" db-id="e0ewzetvgwdzt4ed9d8ptvxjfzexr2wxte50" timestamp="1708752548"&gt;17&lt;/key&gt;&lt;/foreign-keys&gt;&lt;ref-type name="Journal Article"&gt;17&lt;/ref-type&gt;&lt;contributors&gt;&lt;authors&gt;&lt;author&gt;Kesaraju, Sneha&lt;/author&gt;&lt;author&gt;Li, Yueying&lt;/author&gt;&lt;author&gt;Tracy, Melissa&lt;/author&gt;&lt;author&gt;Wannemo, Kristin&lt;/author&gt;&lt;author&gt;Kainov, Joseph&lt;/author&gt;&lt;author&gt;Rana, Niyati&lt;/author&gt;&lt;author&gt;Sidahmed, Mohammed&lt;/author&gt;&lt;author&gt;Hyoju, Sanjiv&lt;/author&gt;&lt;author&gt;Smith, Lexi&lt;/author&gt;&lt;author&gt;Matthews, Jonathan&lt;/author&gt;&lt;/authors&gt;&lt;/contributors&gt;&lt;titles&gt;&lt;title&gt;Claudin-2 limits pancreatitis development through regulating tight junction-controlled pancreatic ductal transport&lt;/title&gt;&lt;secondary-title&gt;bioRxiv&lt;/secondary-title&gt;&lt;/titles&gt;&lt;periodical&gt;&lt;full-title&gt;bioRxiv&lt;/full-title&gt;&lt;/periodical&gt;&lt;pages&gt;2023.09. 01.555960&lt;/pages&gt;&lt;dates&gt;&lt;year&gt;2023&lt;/year&gt;&lt;/dates&gt;&lt;urls&gt;&lt;/urls&gt;&lt;/record&gt;&lt;/Cite&gt;&lt;/EndNote&gt;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="00AF618E"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[15]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091ADBB8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2592670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TMSB4X</w:t>
            </w:r>
          </w:p>
        </w:tc>
        <w:tc>
          <w:tcPr>
            <w:tcW w:w="466" w:type="pct"/>
            <w:shd w:val="clear" w:color="000000" w:fill="F2E884"/>
            <w:noWrap/>
            <w:vAlign w:val="center"/>
            <w:hideMark/>
          </w:tcPr>
          <w:p w14:paraId="7C86747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109.67 </w:t>
            </w:r>
          </w:p>
        </w:tc>
        <w:tc>
          <w:tcPr>
            <w:tcW w:w="499" w:type="pct"/>
            <w:shd w:val="clear" w:color="000000" w:fill="F6E984"/>
            <w:noWrap/>
            <w:vAlign w:val="center"/>
            <w:hideMark/>
          </w:tcPr>
          <w:p w14:paraId="4D2FEB8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113.33 </w:t>
            </w:r>
          </w:p>
        </w:tc>
        <w:tc>
          <w:tcPr>
            <w:tcW w:w="462" w:type="pct"/>
            <w:shd w:val="clear" w:color="000000" w:fill="F3E884"/>
            <w:noWrap/>
            <w:vAlign w:val="center"/>
            <w:hideMark/>
          </w:tcPr>
          <w:p w14:paraId="426B674B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102.07 </w:t>
            </w:r>
          </w:p>
        </w:tc>
        <w:tc>
          <w:tcPr>
            <w:tcW w:w="517" w:type="pct"/>
            <w:shd w:val="clear" w:color="000000" w:fill="E8E583"/>
            <w:noWrap/>
            <w:vAlign w:val="center"/>
            <w:hideMark/>
          </w:tcPr>
          <w:p w14:paraId="2D668C8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122.39 </w:t>
            </w:r>
          </w:p>
        </w:tc>
        <w:tc>
          <w:tcPr>
            <w:tcW w:w="348" w:type="pct"/>
            <w:shd w:val="clear" w:color="000000" w:fill="EDE683"/>
            <w:noWrap/>
            <w:vAlign w:val="center"/>
            <w:hideMark/>
          </w:tcPr>
          <w:p w14:paraId="5228E5B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104.24 </w:t>
            </w:r>
          </w:p>
        </w:tc>
        <w:tc>
          <w:tcPr>
            <w:tcW w:w="336" w:type="pct"/>
            <w:shd w:val="clear" w:color="000000" w:fill="F2E884"/>
            <w:noWrap/>
            <w:vAlign w:val="center"/>
            <w:hideMark/>
          </w:tcPr>
          <w:p w14:paraId="06006CF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111.17 </w:t>
            </w:r>
          </w:p>
        </w:tc>
        <w:tc>
          <w:tcPr>
            <w:tcW w:w="255" w:type="pct"/>
            <w:shd w:val="clear" w:color="000000" w:fill="DBE182"/>
            <w:noWrap/>
            <w:vAlign w:val="center"/>
            <w:hideMark/>
          </w:tcPr>
          <w:p w14:paraId="5960823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22.85 </w:t>
            </w:r>
          </w:p>
        </w:tc>
        <w:tc>
          <w:tcPr>
            <w:tcW w:w="296" w:type="pct"/>
            <w:shd w:val="clear" w:color="000000" w:fill="FAEA84"/>
            <w:noWrap/>
            <w:vAlign w:val="center"/>
            <w:hideMark/>
          </w:tcPr>
          <w:p w14:paraId="66704CF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17.58 </w:t>
            </w:r>
          </w:p>
        </w:tc>
        <w:tc>
          <w:tcPr>
            <w:tcW w:w="255" w:type="pct"/>
            <w:shd w:val="clear" w:color="000000" w:fill="D6E082"/>
            <w:noWrap/>
            <w:vAlign w:val="center"/>
            <w:hideMark/>
          </w:tcPr>
          <w:p w14:paraId="7D44DF5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20.78 </w:t>
            </w:r>
          </w:p>
        </w:tc>
        <w:tc>
          <w:tcPr>
            <w:tcW w:w="296" w:type="pct"/>
            <w:shd w:val="clear" w:color="000000" w:fill="FAEA84"/>
            <w:noWrap/>
            <w:vAlign w:val="center"/>
            <w:hideMark/>
          </w:tcPr>
          <w:p w14:paraId="5639F1D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12.90 </w:t>
            </w:r>
          </w:p>
        </w:tc>
        <w:tc>
          <w:tcPr>
            <w:tcW w:w="255" w:type="pct"/>
            <w:shd w:val="clear" w:color="000000" w:fill="D6DF82"/>
            <w:noWrap/>
            <w:vAlign w:val="center"/>
            <w:hideMark/>
          </w:tcPr>
          <w:p w14:paraId="08008787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17.31 </w:t>
            </w:r>
          </w:p>
        </w:tc>
        <w:tc>
          <w:tcPr>
            <w:tcW w:w="296" w:type="pct"/>
            <w:shd w:val="clear" w:color="000000" w:fill="F0E784"/>
            <w:noWrap/>
            <w:vAlign w:val="center"/>
            <w:hideMark/>
          </w:tcPr>
          <w:p w14:paraId="175BEA2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18.25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C32EF80" w14:textId="0213FF09" w:rsidR="007F018A" w:rsidRPr="00AF618E" w:rsidRDefault="009373B0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="00AF618E"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&lt;EndNote&gt;&lt;Cite&gt;&lt;Author&gt;Grüner&lt;/Author&gt;&lt;Year&gt;2012&lt;/Year&gt;&lt;RecNum&gt;18&lt;/RecNum&gt;&lt;DisplayText&gt;[16]&lt;/DisplayText&gt;&lt;record&gt;&lt;rec-number&gt;18&lt;/rec-number&gt;&lt;foreign-keys&gt;&lt;key app="EN" db-id="e0ewzetvgwdzt4ed9d8ptvxjfzexr2wxte50" timestamp="1708752557"&gt;18&lt;/key&gt;&lt;/foreign-keys&gt;&lt;ref-type name="Journal Article"&gt;17&lt;/ref-type&gt;&lt;contributors&gt;&lt;authors&gt;&lt;author&gt;Grüner, Barbara M&lt;/author&gt;&lt;author&gt;Hahne, Hannes&lt;/author&gt;&lt;author&gt;Mazur, Pawel K&lt;/author&gt;&lt;author&gt;Trajkovic-Arsic, Marija&lt;/author&gt;&lt;author&gt;Maier, Stefan&lt;/author&gt;&lt;author&gt;Esposito, Irene&lt;/author&gt;&lt;author&gt;Kalideris, Evdokia&lt;/author&gt;&lt;author&gt;Michalski, Christoph W&lt;/author&gt;&lt;author&gt;Kleeff, Jörg&lt;/author&gt;&lt;author&gt;Rauser, Sandra&lt;/author&gt;&lt;/authors&gt;&lt;/contributors&gt;&lt;titles&gt;&lt;title&gt;MALDI imaging mass spectrometry for in situ proteomic analysis of preneoplastic lesions in pancreatic cancer&lt;/title&gt;&lt;secondary-title&gt;PloS one&lt;/secondary-title&gt;&lt;/titles&gt;&lt;periodical&gt;&lt;full-title&gt;PloS one&lt;/full-title&gt;&lt;/periodical&gt;&lt;pages&gt;e39424&lt;/pages&gt;&lt;volume&gt;7&lt;/volume&gt;&lt;number&gt;6&lt;/number&gt;&lt;dates&gt;&lt;year&gt;2012&lt;/year&gt;&lt;/dates&gt;&lt;isbn&gt;1932-6203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="00AF618E"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[16]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43A0B9D8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  <w:hideMark/>
          </w:tcPr>
          <w:p w14:paraId="666BC9A1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  <w:t>KRT8</w:t>
            </w:r>
          </w:p>
        </w:tc>
        <w:tc>
          <w:tcPr>
            <w:tcW w:w="466" w:type="pct"/>
            <w:shd w:val="clear" w:color="000000" w:fill="F2E884"/>
            <w:noWrap/>
            <w:vAlign w:val="center"/>
            <w:hideMark/>
          </w:tcPr>
          <w:p w14:paraId="502310A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109.21 </w:t>
            </w:r>
          </w:p>
        </w:tc>
        <w:tc>
          <w:tcPr>
            <w:tcW w:w="499" w:type="pct"/>
            <w:shd w:val="clear" w:color="000000" w:fill="F5E984"/>
            <w:noWrap/>
            <w:vAlign w:val="center"/>
            <w:hideMark/>
          </w:tcPr>
          <w:p w14:paraId="6C420D50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125.82 </w:t>
            </w:r>
          </w:p>
        </w:tc>
        <w:tc>
          <w:tcPr>
            <w:tcW w:w="462" w:type="pct"/>
            <w:shd w:val="clear" w:color="000000" w:fill="F3E884"/>
            <w:noWrap/>
            <w:vAlign w:val="center"/>
            <w:hideMark/>
          </w:tcPr>
          <w:p w14:paraId="3D05969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103.63 </w:t>
            </w:r>
          </w:p>
        </w:tc>
        <w:tc>
          <w:tcPr>
            <w:tcW w:w="517" w:type="pct"/>
            <w:shd w:val="clear" w:color="000000" w:fill="E9E583"/>
            <w:noWrap/>
            <w:vAlign w:val="center"/>
            <w:hideMark/>
          </w:tcPr>
          <w:p w14:paraId="1A6E371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118.14 </w:t>
            </w:r>
          </w:p>
        </w:tc>
        <w:tc>
          <w:tcPr>
            <w:tcW w:w="348" w:type="pct"/>
            <w:shd w:val="clear" w:color="000000" w:fill="E8E583"/>
            <w:noWrap/>
            <w:vAlign w:val="center"/>
            <w:hideMark/>
          </w:tcPr>
          <w:p w14:paraId="1143E484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133.92 </w:t>
            </w:r>
          </w:p>
        </w:tc>
        <w:tc>
          <w:tcPr>
            <w:tcW w:w="336" w:type="pct"/>
            <w:shd w:val="clear" w:color="000000" w:fill="F3E884"/>
            <w:noWrap/>
            <w:vAlign w:val="center"/>
            <w:hideMark/>
          </w:tcPr>
          <w:p w14:paraId="74A2652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108.04 </w:t>
            </w:r>
          </w:p>
        </w:tc>
        <w:tc>
          <w:tcPr>
            <w:tcW w:w="255" w:type="pct"/>
            <w:shd w:val="clear" w:color="000000" w:fill="C8DC81"/>
            <w:noWrap/>
            <w:vAlign w:val="center"/>
            <w:hideMark/>
          </w:tcPr>
          <w:p w14:paraId="150F9B22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35.04 </w:t>
            </w:r>
          </w:p>
        </w:tc>
        <w:tc>
          <w:tcPr>
            <w:tcW w:w="296" w:type="pct"/>
            <w:shd w:val="clear" w:color="000000" w:fill="FBEA84"/>
            <w:noWrap/>
            <w:vAlign w:val="center"/>
            <w:hideMark/>
          </w:tcPr>
          <w:p w14:paraId="12BF1489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13.31 </w:t>
            </w:r>
          </w:p>
        </w:tc>
        <w:tc>
          <w:tcPr>
            <w:tcW w:w="255" w:type="pct"/>
            <w:shd w:val="clear" w:color="000000" w:fill="E6E483"/>
            <w:noWrap/>
            <w:vAlign w:val="center"/>
            <w:hideMark/>
          </w:tcPr>
          <w:p w14:paraId="4783938D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12.92 </w:t>
            </w:r>
          </w:p>
        </w:tc>
        <w:tc>
          <w:tcPr>
            <w:tcW w:w="296" w:type="pct"/>
            <w:shd w:val="clear" w:color="000000" w:fill="F9EA84"/>
            <w:noWrap/>
            <w:vAlign w:val="center"/>
            <w:hideMark/>
          </w:tcPr>
          <w:p w14:paraId="1DC06283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13.65 </w:t>
            </w:r>
          </w:p>
        </w:tc>
        <w:tc>
          <w:tcPr>
            <w:tcW w:w="255" w:type="pct"/>
            <w:shd w:val="clear" w:color="000000" w:fill="E0E283"/>
            <w:noWrap/>
            <w:vAlign w:val="center"/>
            <w:hideMark/>
          </w:tcPr>
          <w:p w14:paraId="789010B5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13.17 </w:t>
            </w:r>
          </w:p>
        </w:tc>
        <w:tc>
          <w:tcPr>
            <w:tcW w:w="296" w:type="pct"/>
            <w:shd w:val="clear" w:color="000000" w:fill="EEE683"/>
            <w:noWrap/>
            <w:vAlign w:val="center"/>
            <w:hideMark/>
          </w:tcPr>
          <w:p w14:paraId="49DDD6C8" w14:textId="77777777" w:rsidR="007F018A" w:rsidRPr="00AF618E" w:rsidRDefault="007F018A" w:rsidP="007F01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  <w:t xml:space="preserve">21.11 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E858734" w14:textId="02B4D7D1" w:rsidR="007F018A" w:rsidRPr="00AF618E" w:rsidRDefault="009373B0" w:rsidP="000F281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 w:rsidR="00AF618E"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&lt;EndNote&gt;&lt;Cite&gt;&lt;Author&gt;Pistoni&lt;/Author&gt;&lt;Year&gt;2021&lt;/Year&gt;&lt;RecNum&gt;19&lt;/RecNum&gt;&lt;DisplayText&gt;[17]&lt;/DisplayText&gt;&lt;record&gt;&lt;rec-number&gt;19&lt;/rec-number&gt;&lt;foreign-keys&gt;&lt;key app="EN" db-id="e0ewzetvgwdzt4ed9d8ptvxjfzexr2wxte50" timestamp="1708752568"&gt;19&lt;/key&gt;&lt;/foreign-keys&gt;&lt;ref-type name="Journal Article"&gt;17&lt;/ref-type&gt;&lt;contributors&gt;&lt;authors&gt;&lt;author&gt;Pistoni, Laura&lt;/author&gt;&lt;author&gt;Gentiluomo, Manuel&lt;/author&gt;&lt;author&gt;Lu, Ye&lt;/author&gt;&lt;author&gt;López de Maturana, Evangelina&lt;/author&gt;&lt;author&gt;Hlavac, Viktor&lt;/author&gt;&lt;author&gt;Vanella, Giuseppe&lt;/author&gt;&lt;author&gt;Darvasi, Erika&lt;/author&gt;&lt;author&gt;Milanetto, Anna Caterina&lt;/author&gt;&lt;author&gt;Oliverius, Martin&lt;/author&gt;&lt;author&gt;Vashist, Yogesh&lt;/author&gt;&lt;/authors&gt;&lt;/contributors&gt;&lt;titles&gt;&lt;title&gt;Associations between pancreatic expression quantitative traits and risk of pancreatic ductal adenocarcinoma&lt;/title&gt;&lt;secondary-title&gt;Carcinogenesis&lt;/secondary-title&gt;&lt;/titles&gt;&lt;periodical&gt;&lt;full-title&gt;Carcinogenesis&lt;/full-title&gt;&lt;/periodical&gt;&lt;pages&gt;1037-1045&lt;/pages&gt;&lt;volume&gt;42&lt;/volume&gt;&lt;number&gt;8&lt;/number&gt;&lt;dates&gt;&lt;year&gt;2021&lt;/year&gt;&lt;/dates&gt;&lt;isbn&gt;0143-3334&lt;/isbn&gt;&lt;urls&gt;&lt;/urls&gt;&lt;/record&gt;&lt;/Cite&gt;&lt;/EndNote&gt;</w:instrTex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 w:rsidR="00AF618E" w:rsidRPr="00AF618E"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[17]</w:t>
            </w:r>
            <w:r w:rsidRPr="00AF618E"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C247DB" w:rsidRPr="00AF618E" w14:paraId="648757E3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</w:tcPr>
          <w:p w14:paraId="79225725" w14:textId="43F9B382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szCs w:val="20"/>
              </w:rPr>
              <w:t>MALAT1</w:t>
            </w:r>
          </w:p>
        </w:tc>
        <w:tc>
          <w:tcPr>
            <w:tcW w:w="466" w:type="pct"/>
            <w:shd w:val="clear" w:color="000000" w:fill="F2E884"/>
            <w:noWrap/>
            <w:vAlign w:val="center"/>
          </w:tcPr>
          <w:p w14:paraId="35762419" w14:textId="5D685D6A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107.72 </w:t>
            </w:r>
          </w:p>
        </w:tc>
        <w:tc>
          <w:tcPr>
            <w:tcW w:w="499" w:type="pct"/>
            <w:shd w:val="clear" w:color="000000" w:fill="F5E984"/>
            <w:noWrap/>
            <w:vAlign w:val="center"/>
          </w:tcPr>
          <w:p w14:paraId="10539E17" w14:textId="07D48786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108.96 </w:t>
            </w:r>
          </w:p>
        </w:tc>
        <w:tc>
          <w:tcPr>
            <w:tcW w:w="462" w:type="pct"/>
            <w:shd w:val="clear" w:color="000000" w:fill="F3E884"/>
            <w:noWrap/>
            <w:vAlign w:val="center"/>
          </w:tcPr>
          <w:p w14:paraId="72E48503" w14:textId="7F5FD540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85.25 </w:t>
            </w:r>
          </w:p>
        </w:tc>
        <w:tc>
          <w:tcPr>
            <w:tcW w:w="517" w:type="pct"/>
            <w:shd w:val="clear" w:color="000000" w:fill="E9E583"/>
            <w:noWrap/>
            <w:vAlign w:val="center"/>
          </w:tcPr>
          <w:p w14:paraId="43CFA7D2" w14:textId="1A84F396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124.56 </w:t>
            </w:r>
          </w:p>
        </w:tc>
        <w:tc>
          <w:tcPr>
            <w:tcW w:w="348" w:type="pct"/>
            <w:shd w:val="clear" w:color="000000" w:fill="E8E583"/>
            <w:noWrap/>
            <w:vAlign w:val="center"/>
          </w:tcPr>
          <w:p w14:paraId="1065F424" w14:textId="7981745E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189.34 </w:t>
            </w:r>
          </w:p>
        </w:tc>
        <w:tc>
          <w:tcPr>
            <w:tcW w:w="336" w:type="pct"/>
            <w:shd w:val="clear" w:color="000000" w:fill="F3E884"/>
            <w:noWrap/>
            <w:vAlign w:val="center"/>
          </w:tcPr>
          <w:p w14:paraId="3253BC2E" w14:textId="765A20CC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111.50 </w:t>
            </w:r>
          </w:p>
        </w:tc>
        <w:tc>
          <w:tcPr>
            <w:tcW w:w="255" w:type="pct"/>
            <w:shd w:val="clear" w:color="000000" w:fill="C8DC81"/>
            <w:noWrap/>
            <w:vAlign w:val="center"/>
          </w:tcPr>
          <w:p w14:paraId="516705E7" w14:textId="7AA92C9D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14.18 </w:t>
            </w:r>
          </w:p>
        </w:tc>
        <w:tc>
          <w:tcPr>
            <w:tcW w:w="296" w:type="pct"/>
            <w:shd w:val="clear" w:color="000000" w:fill="FBEA84"/>
            <w:noWrap/>
            <w:vAlign w:val="center"/>
          </w:tcPr>
          <w:p w14:paraId="785A5CE9" w14:textId="472182A3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18.05 </w:t>
            </w:r>
          </w:p>
        </w:tc>
        <w:tc>
          <w:tcPr>
            <w:tcW w:w="255" w:type="pct"/>
            <w:shd w:val="clear" w:color="000000" w:fill="E6E483"/>
            <w:noWrap/>
            <w:vAlign w:val="center"/>
          </w:tcPr>
          <w:p w14:paraId="3DAB495C" w14:textId="6B9D8DF0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26.78 </w:t>
            </w:r>
          </w:p>
        </w:tc>
        <w:tc>
          <w:tcPr>
            <w:tcW w:w="296" w:type="pct"/>
            <w:shd w:val="clear" w:color="000000" w:fill="F9EA84"/>
            <w:noWrap/>
            <w:vAlign w:val="center"/>
          </w:tcPr>
          <w:p w14:paraId="6F2A2BDB" w14:textId="165B3184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9.49 </w:t>
            </w:r>
          </w:p>
        </w:tc>
        <w:tc>
          <w:tcPr>
            <w:tcW w:w="255" w:type="pct"/>
            <w:shd w:val="clear" w:color="000000" w:fill="E0E283"/>
            <w:noWrap/>
            <w:vAlign w:val="center"/>
          </w:tcPr>
          <w:p w14:paraId="3FE15DCE" w14:textId="43875C36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23.16 </w:t>
            </w:r>
          </w:p>
        </w:tc>
        <w:tc>
          <w:tcPr>
            <w:tcW w:w="296" w:type="pct"/>
            <w:shd w:val="clear" w:color="000000" w:fill="EEE683"/>
            <w:noWrap/>
            <w:vAlign w:val="center"/>
          </w:tcPr>
          <w:p w14:paraId="43D87B62" w14:textId="3AE9537E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16.06 </w:t>
            </w:r>
          </w:p>
        </w:tc>
        <w:tc>
          <w:tcPr>
            <w:tcW w:w="194" w:type="pct"/>
            <w:shd w:val="clear" w:color="auto" w:fill="auto"/>
            <w:noWrap/>
            <w:vAlign w:val="center"/>
          </w:tcPr>
          <w:p w14:paraId="63022662" w14:textId="37CFE9CC" w:rsidR="00AF618E" w:rsidRPr="00AF618E" w:rsidRDefault="00C247DB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&lt;EndNote&gt;&lt;Cite&gt;&lt;Author&gt;Liu&lt;/Author&gt;&lt;Year&gt;2014&lt;/Year&gt;&lt;RecNum&gt;20&lt;/RecNum&gt;&lt;DisplayText&gt;[18]&lt;/DisplayText&gt;&lt;record&gt;&lt;rec-number&gt;20&lt;/rec-number&gt;&lt;foreign-keys&gt;&lt;key app="EN" db-id="e0ewzetvgwdzt4ed9d8ptvxjfzexr2wxte50" timestamp="1708757212"&gt;20&lt;/key&gt;&lt;/foreign-keys&gt;&lt;ref-type name="Journal Article"&gt;17&lt;/ref-type&gt;&lt;contributors&gt;&lt;authors&gt;&lt;author&gt;Liu, Jiang-Hua&lt;/author&gt;&lt;author&gt;Chen, Gang&lt;/author&gt;&lt;author&gt;Dang, Yi-Wu&lt;/author&gt;&lt;author&gt;Li, Chun-Jun&lt;/author&gt;&lt;author&gt;Luo, Dian-Zhong&lt;/author&gt;&lt;/authors&gt;&lt;/contributors&gt;&lt;titles&gt;&lt;title&gt;Expression and prognostic significance of lncRNA MALAT1 in pancreatic cancer tissues&lt;/title&gt;&lt;secondary-title&gt;Asian Pacific Journal of Cancer Prevention&lt;/secondary-title&gt;&lt;/titles&gt;&lt;periodical&gt;&lt;full-title&gt;Asian Pacific Journal of Cancer Prevention&lt;/full-title&gt;&lt;/periodical&gt;&lt;pages&gt;2971-2977&lt;/pages&gt;&lt;volume&gt;15&lt;/volume&gt;&lt;number&gt;7&lt;/number&gt;&lt;dates&gt;&lt;year&gt;2014&lt;/year&gt;&lt;/dates&gt;&lt;isbn&gt;1513-7368&lt;/isbn&gt;&lt;urls&gt;&lt;/urls&gt;&lt;/record&gt;&lt;/Cite&gt;&lt;/EndNote&gt;</w:instrText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[18]</w:t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  <w:tr w:rsidR="00AF618E" w:rsidRPr="00AF618E" w14:paraId="3F965272" w14:textId="77777777" w:rsidTr="00AF618E">
        <w:trPr>
          <w:trHeight w:val="330"/>
          <w:jc w:val="center"/>
        </w:trPr>
        <w:tc>
          <w:tcPr>
            <w:tcW w:w="523" w:type="pct"/>
            <w:shd w:val="clear" w:color="auto" w:fill="auto"/>
            <w:noWrap/>
            <w:vAlign w:val="center"/>
          </w:tcPr>
          <w:p w14:paraId="4E299D9B" w14:textId="2434D461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i/>
                <w:iCs/>
                <w:color w:val="000000"/>
                <w:szCs w:val="20"/>
              </w:rPr>
              <w:t>FTH1</w:t>
            </w:r>
          </w:p>
        </w:tc>
        <w:tc>
          <w:tcPr>
            <w:tcW w:w="466" w:type="pct"/>
            <w:shd w:val="clear" w:color="000000" w:fill="F2E884"/>
            <w:noWrap/>
            <w:vAlign w:val="center"/>
          </w:tcPr>
          <w:p w14:paraId="2D90313B" w14:textId="19C44B48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107.44 </w:t>
            </w:r>
          </w:p>
        </w:tc>
        <w:tc>
          <w:tcPr>
            <w:tcW w:w="499" w:type="pct"/>
            <w:shd w:val="clear" w:color="000000" w:fill="F5E984"/>
            <w:noWrap/>
            <w:vAlign w:val="center"/>
          </w:tcPr>
          <w:p w14:paraId="0FBD69D2" w14:textId="1A88CBEC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88.71 </w:t>
            </w:r>
          </w:p>
        </w:tc>
        <w:tc>
          <w:tcPr>
            <w:tcW w:w="462" w:type="pct"/>
            <w:shd w:val="clear" w:color="000000" w:fill="F3E884"/>
            <w:noWrap/>
            <w:vAlign w:val="center"/>
          </w:tcPr>
          <w:p w14:paraId="70915868" w14:textId="0D03CA25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80.50 </w:t>
            </w:r>
          </w:p>
        </w:tc>
        <w:tc>
          <w:tcPr>
            <w:tcW w:w="517" w:type="pct"/>
            <w:shd w:val="clear" w:color="000000" w:fill="E9E583"/>
            <w:noWrap/>
            <w:vAlign w:val="center"/>
          </w:tcPr>
          <w:p w14:paraId="12F973B0" w14:textId="656EA3C3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124.68 </w:t>
            </w:r>
          </w:p>
        </w:tc>
        <w:tc>
          <w:tcPr>
            <w:tcW w:w="348" w:type="pct"/>
            <w:shd w:val="clear" w:color="000000" w:fill="E8E583"/>
            <w:noWrap/>
            <w:vAlign w:val="center"/>
          </w:tcPr>
          <w:p w14:paraId="06D7DB9E" w14:textId="608D6420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78.62 </w:t>
            </w:r>
          </w:p>
        </w:tc>
        <w:tc>
          <w:tcPr>
            <w:tcW w:w="336" w:type="pct"/>
            <w:shd w:val="clear" w:color="000000" w:fill="F3E884"/>
            <w:noWrap/>
            <w:vAlign w:val="center"/>
          </w:tcPr>
          <w:p w14:paraId="2210E41D" w14:textId="2B471C3B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107.29 </w:t>
            </w:r>
          </w:p>
        </w:tc>
        <w:tc>
          <w:tcPr>
            <w:tcW w:w="255" w:type="pct"/>
            <w:shd w:val="clear" w:color="000000" w:fill="C8DC81"/>
            <w:noWrap/>
            <w:vAlign w:val="center"/>
          </w:tcPr>
          <w:p w14:paraId="7D0BEA59" w14:textId="6212DFE5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12.89 </w:t>
            </w:r>
          </w:p>
        </w:tc>
        <w:tc>
          <w:tcPr>
            <w:tcW w:w="296" w:type="pct"/>
            <w:shd w:val="clear" w:color="000000" w:fill="FBEA84"/>
            <w:noWrap/>
            <w:vAlign w:val="center"/>
          </w:tcPr>
          <w:p w14:paraId="4D2A52EA" w14:textId="09243394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13.47 </w:t>
            </w:r>
          </w:p>
        </w:tc>
        <w:tc>
          <w:tcPr>
            <w:tcW w:w="255" w:type="pct"/>
            <w:shd w:val="clear" w:color="000000" w:fill="E6E483"/>
            <w:noWrap/>
            <w:vAlign w:val="center"/>
          </w:tcPr>
          <w:p w14:paraId="6BBBBB23" w14:textId="4CDB7102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30.58 </w:t>
            </w:r>
          </w:p>
        </w:tc>
        <w:tc>
          <w:tcPr>
            <w:tcW w:w="296" w:type="pct"/>
            <w:shd w:val="clear" w:color="000000" w:fill="F9EA84"/>
            <w:noWrap/>
            <w:vAlign w:val="center"/>
          </w:tcPr>
          <w:p w14:paraId="1C072FA5" w14:textId="198B3511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10.89 </w:t>
            </w:r>
          </w:p>
        </w:tc>
        <w:tc>
          <w:tcPr>
            <w:tcW w:w="255" w:type="pct"/>
            <w:shd w:val="clear" w:color="000000" w:fill="E0E283"/>
            <w:noWrap/>
            <w:vAlign w:val="center"/>
          </w:tcPr>
          <w:p w14:paraId="5ABB7F38" w14:textId="0C7F90C4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23.44 </w:t>
            </w:r>
          </w:p>
        </w:tc>
        <w:tc>
          <w:tcPr>
            <w:tcW w:w="296" w:type="pct"/>
            <w:shd w:val="clear" w:color="000000" w:fill="EEE683"/>
            <w:noWrap/>
            <w:vAlign w:val="center"/>
          </w:tcPr>
          <w:p w14:paraId="660C5C9C" w14:textId="14E15C8A" w:rsidR="00AF618E" w:rsidRPr="00AF618E" w:rsidRDefault="00AF618E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  <w14:ligatures w14:val="none"/>
              </w:rPr>
            </w:pPr>
            <w:r w:rsidRPr="00AF618E">
              <w:rPr>
                <w:rFonts w:ascii="Arial" w:eastAsia="맑은 고딕" w:hAnsi="Arial" w:cs="Arial"/>
                <w:color w:val="000000"/>
                <w:szCs w:val="20"/>
              </w:rPr>
              <w:t xml:space="preserve">16.17 </w:t>
            </w:r>
          </w:p>
        </w:tc>
        <w:tc>
          <w:tcPr>
            <w:tcW w:w="194" w:type="pct"/>
            <w:shd w:val="clear" w:color="auto" w:fill="auto"/>
            <w:noWrap/>
            <w:vAlign w:val="center"/>
          </w:tcPr>
          <w:p w14:paraId="0349C1A4" w14:textId="637E4802" w:rsidR="00AF618E" w:rsidRPr="00AF618E" w:rsidRDefault="00C247DB" w:rsidP="00AF61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begin"/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instrText xml:space="preserve"> ADDIN EN.CITE &lt;EndNote&gt;&lt;Cite&gt;&lt;Author&gt;Park&lt;/Author&gt;&lt;Year&gt;2021&lt;/Year&gt;&lt;RecNum&gt;21&lt;/RecNum&gt;&lt;DisplayText&gt;[19]&lt;/DisplayText&gt;&lt;record&gt;&lt;rec-number&gt;21&lt;/rec-number&gt;&lt;foreign-keys&gt;&lt;key app="EN" db-id="e0ewzetvgwdzt4ed9d8ptvxjfzexr2wxte50" timestamp="1708757223"&gt;21&lt;/key&gt;&lt;/foreign-keys&gt;&lt;ref-type name="Journal Article"&gt;17&lt;/ref-type&gt;&lt;contributors&gt;&lt;authors&gt;&lt;author&gt;Park, Ji Min&lt;/author&gt;&lt;author&gt;Mau, Chen-Zou&lt;/author&gt;&lt;author&gt;Chen, Yang-Ching&lt;/author&gt;&lt;author&gt;Su, Yen-Hao&lt;/author&gt;&lt;author&gt;Chen, Hsin-An&lt;/author&gt;&lt;author&gt;Huang, Shih-Yi&lt;/author&gt;&lt;author&gt;Chang, Jung-Su&lt;/author&gt;&lt;author&gt;Chiu, Ching-Feng&lt;/author&gt;&lt;/authors&gt;&lt;/contributors&gt;&lt;titles&gt;&lt;title&gt;A case–control study in Taiwanese cohort and meta-analysis of serum ferritin in pancreatic cancer&lt;/title&gt;&lt;secondary-title&gt;Scientific Reports&lt;/secondary-title&gt;&lt;/titles&gt;&lt;periodical&gt;&lt;full-title&gt;Scientific Reports&lt;/full-title&gt;&lt;/periodical&gt;&lt;pages&gt;21242&lt;/pages&gt;&lt;volume&gt;11&lt;/volume&gt;&lt;number&gt;1&lt;/number&gt;&lt;dates&gt;&lt;year&gt;2021&lt;/year&gt;&lt;/dates&gt;&lt;isbn&gt;2045-2322&lt;/isbn&gt;&lt;urls&gt;&lt;/urls&gt;&lt;/record&gt;&lt;/Cite&gt;&lt;/EndNote&gt;</w:instrText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separate"/>
            </w:r>
            <w:r>
              <w:rPr>
                <w:rFonts w:ascii="Arial" w:eastAsia="맑은 고딕" w:hAnsi="Arial" w:cs="Arial"/>
                <w:noProof/>
                <w:color w:val="0000FF"/>
                <w:kern w:val="0"/>
                <w:szCs w:val="20"/>
                <w14:ligatures w14:val="none"/>
              </w:rPr>
              <w:t>[19]</w:t>
            </w:r>
            <w:r>
              <w:rPr>
                <w:rFonts w:ascii="Arial" w:eastAsia="맑은 고딕" w:hAnsi="Arial" w:cs="Arial"/>
                <w:color w:val="0000FF"/>
                <w:kern w:val="0"/>
                <w:szCs w:val="20"/>
                <w14:ligatures w14:val="none"/>
              </w:rPr>
              <w:fldChar w:fldCharType="end"/>
            </w:r>
          </w:p>
        </w:tc>
      </w:tr>
    </w:tbl>
    <w:p w14:paraId="4A8507D0" w14:textId="2454F223" w:rsidR="00101371" w:rsidRDefault="00EF3CA2">
      <w:pPr>
        <w:rPr>
          <w:b/>
          <w:bCs/>
          <w:sz w:val="24"/>
          <w:szCs w:val="24"/>
        </w:rPr>
      </w:pPr>
      <w:r w:rsidRPr="00EF3CA2">
        <w:rPr>
          <w:rFonts w:ascii="Arial" w:hAnsi="Arial" w:cs="Arial"/>
          <w:sz w:val="22"/>
        </w:rPr>
        <w:t xml:space="preserve">All values ​​are log2 normalized expression values ​​called by Seurat's </w:t>
      </w:r>
      <w:proofErr w:type="gramStart"/>
      <w:r w:rsidRPr="00644142">
        <w:rPr>
          <w:rFonts w:ascii="Arial" w:hAnsi="Arial" w:cs="Arial"/>
          <w:i/>
          <w:iCs/>
          <w:sz w:val="22"/>
        </w:rPr>
        <w:t>AverageExpression</w:t>
      </w:r>
      <w:r w:rsidRPr="00EF3CA2">
        <w:rPr>
          <w:rFonts w:ascii="Arial" w:hAnsi="Arial" w:cs="Arial"/>
          <w:sz w:val="22"/>
        </w:rPr>
        <w:t>(</w:t>
      </w:r>
      <w:proofErr w:type="gramEnd"/>
      <w:r w:rsidRPr="00EF3CA2">
        <w:rPr>
          <w:rFonts w:ascii="Arial" w:hAnsi="Arial" w:cs="Arial"/>
          <w:sz w:val="22"/>
        </w:rPr>
        <w:t>).</w:t>
      </w:r>
      <w:r w:rsidR="00644142">
        <w:rPr>
          <w:rFonts w:ascii="Arial" w:hAnsi="Arial" w:cs="Arial"/>
          <w:sz w:val="22"/>
        </w:rPr>
        <w:t xml:space="preserve"> </w:t>
      </w:r>
      <w:r w:rsidR="008B1CD0" w:rsidRPr="008B1CD0">
        <w:rPr>
          <w:rFonts w:ascii="Arial" w:hAnsi="Arial" w:cs="Arial"/>
          <w:sz w:val="22"/>
        </w:rPr>
        <w:t>WholeCells refers to the average expression level of the corresponding transcript in all cells.</w:t>
      </w:r>
      <w:r w:rsidR="008B1CD0">
        <w:rPr>
          <w:rFonts w:ascii="Arial" w:hAnsi="Arial" w:cs="Arial"/>
          <w:sz w:val="22"/>
        </w:rPr>
        <w:t xml:space="preserve"> </w:t>
      </w:r>
      <w:proofErr w:type="gramStart"/>
      <w:r w:rsidR="008B1CD0" w:rsidRPr="007B0072">
        <w:rPr>
          <w:rFonts w:ascii="Arial" w:hAnsi="Arial" w:cs="Arial"/>
          <w:i/>
          <w:iCs/>
          <w:sz w:val="22"/>
        </w:rPr>
        <w:t>Pathology(</w:t>
      </w:r>
      <w:proofErr w:type="gramEnd"/>
      <w:r w:rsidR="008B1CD0" w:rsidRPr="007B0072">
        <w:rPr>
          <w:rFonts w:ascii="Arial" w:hAnsi="Arial" w:cs="Arial"/>
          <w:i/>
          <w:iCs/>
          <w:sz w:val="22"/>
        </w:rPr>
        <w:t>-)</w:t>
      </w:r>
      <w:r w:rsidR="008B1CD0" w:rsidRPr="008B1CD0">
        <w:rPr>
          <w:rFonts w:ascii="Arial" w:hAnsi="Arial" w:cs="Arial"/>
          <w:sz w:val="22"/>
        </w:rPr>
        <w:t xml:space="preserve"> to </w:t>
      </w:r>
      <w:r w:rsidR="008B1CD0" w:rsidRPr="007B0072">
        <w:rPr>
          <w:rFonts w:ascii="Arial" w:hAnsi="Arial" w:cs="Arial"/>
          <w:i/>
          <w:iCs/>
          <w:sz w:val="22"/>
        </w:rPr>
        <w:t>Pathology(+)</w:t>
      </w:r>
      <w:r w:rsidR="008B1CD0" w:rsidRPr="008B1CD0">
        <w:rPr>
          <w:rFonts w:ascii="Arial" w:hAnsi="Arial" w:cs="Arial"/>
          <w:sz w:val="22"/>
        </w:rPr>
        <w:t xml:space="preserve"> columns represent the average expression level in cells obtained according to the pathological outcome of each sample.</w:t>
      </w:r>
      <w:r w:rsidR="007B0072">
        <w:rPr>
          <w:rFonts w:ascii="Arial" w:hAnsi="Arial" w:cs="Arial"/>
          <w:sz w:val="22"/>
        </w:rPr>
        <w:t xml:space="preserve"> </w:t>
      </w:r>
      <w:r w:rsidR="007B0072" w:rsidRPr="007B0072">
        <w:rPr>
          <w:rFonts w:ascii="Arial" w:hAnsi="Arial" w:cs="Arial"/>
          <w:sz w:val="22"/>
        </w:rPr>
        <w:t>GBC and PDAC represent the average expression level in cells obtained according to the final clinical diagnosis result, and C0 to C5 represent the average expression level for each sub-cluster of cells.</w:t>
      </w:r>
      <w:r w:rsidR="00101371">
        <w:rPr>
          <w:b/>
          <w:bCs/>
          <w:sz w:val="24"/>
          <w:szCs w:val="24"/>
        </w:rPr>
        <w:br w:type="page"/>
      </w:r>
    </w:p>
    <w:p w14:paraId="0A561AF5" w14:textId="77777777" w:rsidR="00F41182" w:rsidRDefault="00F41182">
      <w:pPr>
        <w:rPr>
          <w:b/>
          <w:bCs/>
          <w:sz w:val="24"/>
          <w:szCs w:val="24"/>
        </w:rPr>
        <w:sectPr w:rsidR="00F41182" w:rsidSect="00C433F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7A4AD339" w14:textId="2423F1A4" w:rsidR="00501FA3" w:rsidRPr="00DC2E7A" w:rsidRDefault="00DC2E7A">
      <w:pPr>
        <w:rPr>
          <w:b/>
          <w:bCs/>
          <w:sz w:val="24"/>
          <w:szCs w:val="24"/>
        </w:rPr>
      </w:pPr>
      <w:r w:rsidRPr="00DC2E7A">
        <w:rPr>
          <w:rFonts w:hint="eastAsia"/>
          <w:b/>
          <w:bCs/>
          <w:sz w:val="24"/>
          <w:szCs w:val="24"/>
        </w:rPr>
        <w:lastRenderedPageBreak/>
        <w:t>R</w:t>
      </w:r>
      <w:r w:rsidRPr="00DC2E7A">
        <w:rPr>
          <w:b/>
          <w:bCs/>
          <w:sz w:val="24"/>
          <w:szCs w:val="24"/>
        </w:rPr>
        <w:t>eference</w:t>
      </w:r>
    </w:p>
    <w:p w14:paraId="43705C71" w14:textId="77777777" w:rsidR="00C247DB" w:rsidRPr="00C247DB" w:rsidRDefault="00B170DB" w:rsidP="00C247DB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247DB" w:rsidRPr="00C247DB">
        <w:t>1.</w:t>
      </w:r>
      <w:r w:rsidR="00C247DB" w:rsidRPr="00C247DB">
        <w:tab/>
        <w:t xml:space="preserve">Wang, Y., et al., </w:t>
      </w:r>
      <w:r w:rsidR="00C247DB" w:rsidRPr="00C247DB">
        <w:rPr>
          <w:i/>
        </w:rPr>
        <w:t>Single-cell analysis of pancreatic ductal adenocarcinoma identifies a novel fibroblast subtype associated with poor prognosis but better immunotherapy response.</w:t>
      </w:r>
      <w:r w:rsidR="00C247DB" w:rsidRPr="00C247DB">
        <w:t xml:space="preserve"> Cell discovery, 2021. </w:t>
      </w:r>
      <w:r w:rsidR="00C247DB" w:rsidRPr="00C247DB">
        <w:rPr>
          <w:b/>
        </w:rPr>
        <w:t>7</w:t>
      </w:r>
      <w:r w:rsidR="00C247DB" w:rsidRPr="00C247DB">
        <w:t>(1): p. 36.</w:t>
      </w:r>
    </w:p>
    <w:p w14:paraId="35687134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2.</w:t>
      </w:r>
      <w:r w:rsidRPr="00C247DB">
        <w:tab/>
        <w:t xml:space="preserve">Ebert, M., et al., </w:t>
      </w:r>
      <w:r w:rsidRPr="00C247DB">
        <w:rPr>
          <w:i/>
        </w:rPr>
        <w:t>Induction of TFF1 gene expression in pancreas overexpressing transforming growth factor α.</w:t>
      </w:r>
      <w:r w:rsidRPr="00C247DB">
        <w:t xml:space="preserve"> Gut, 1999. </w:t>
      </w:r>
      <w:r w:rsidRPr="00C247DB">
        <w:rPr>
          <w:b/>
        </w:rPr>
        <w:t>45</w:t>
      </w:r>
      <w:r w:rsidRPr="00C247DB">
        <w:t>(1): p. 105-111.</w:t>
      </w:r>
    </w:p>
    <w:p w14:paraId="59070048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3.</w:t>
      </w:r>
      <w:r w:rsidRPr="00C247DB">
        <w:tab/>
        <w:t xml:space="preserve">Liu, S., et al., </w:t>
      </w:r>
      <w:r w:rsidRPr="00C247DB">
        <w:rPr>
          <w:i/>
        </w:rPr>
        <w:t>METTL13 methylation of eEF1A increases translational output to promote tumorigenesis.</w:t>
      </w:r>
      <w:r w:rsidRPr="00C247DB">
        <w:t xml:space="preserve"> Cell, 2019. </w:t>
      </w:r>
      <w:r w:rsidRPr="00C247DB">
        <w:rPr>
          <w:b/>
        </w:rPr>
        <w:t>176</w:t>
      </w:r>
      <w:r w:rsidRPr="00C247DB">
        <w:t>(3): p. 491-504. e21.</w:t>
      </w:r>
    </w:p>
    <w:p w14:paraId="730114C5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4.</w:t>
      </w:r>
      <w:r w:rsidRPr="00C247DB">
        <w:tab/>
        <w:t xml:space="preserve">Vimalachandran, D., et al., </w:t>
      </w:r>
      <w:r w:rsidRPr="00C247DB">
        <w:rPr>
          <w:i/>
        </w:rPr>
        <w:t>High nuclear S100A6 (Calcyclin) is significantly associated with poor survival in pancreatic cancer patients.</w:t>
      </w:r>
      <w:r w:rsidRPr="00C247DB">
        <w:t xml:space="preserve"> Cancer research, 2005. </w:t>
      </w:r>
      <w:r w:rsidRPr="00C247DB">
        <w:rPr>
          <w:b/>
        </w:rPr>
        <w:t>65</w:t>
      </w:r>
      <w:r w:rsidRPr="00C247DB">
        <w:t>(8): p. 3218-3225.</w:t>
      </w:r>
    </w:p>
    <w:p w14:paraId="78127FAF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5.</w:t>
      </w:r>
      <w:r w:rsidRPr="00C247DB">
        <w:tab/>
        <w:t xml:space="preserve">You, Y., et al., </w:t>
      </w:r>
      <w:r w:rsidRPr="00C247DB">
        <w:rPr>
          <w:i/>
        </w:rPr>
        <w:t>MicroRNA-216b-5p functions as a tumor-suppressive RNA by targeting TPT1 in pancreatic cancer cells.</w:t>
      </w:r>
      <w:r w:rsidRPr="00C247DB">
        <w:t xml:space="preserve"> Journal of Cancer, 2017. </w:t>
      </w:r>
      <w:r w:rsidRPr="00C247DB">
        <w:rPr>
          <w:b/>
        </w:rPr>
        <w:t>8</w:t>
      </w:r>
      <w:r w:rsidRPr="00C247DB">
        <w:t>(14): p. 2854.</w:t>
      </w:r>
    </w:p>
    <w:p w14:paraId="49E349B7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6.</w:t>
      </w:r>
      <w:r w:rsidRPr="00C247DB">
        <w:tab/>
        <w:t xml:space="preserve">Prudova, A., et al., </w:t>
      </w:r>
      <w:r w:rsidRPr="00C247DB">
        <w:rPr>
          <w:i/>
        </w:rPr>
        <w:t>TAILS N-terminomics and proteomics show protein degradation dominates over proteolytic processing by cathepsins in pancreatic tumors.</w:t>
      </w:r>
      <w:r w:rsidRPr="00C247DB">
        <w:t xml:space="preserve"> Cell reports, 2016. </w:t>
      </w:r>
      <w:r w:rsidRPr="00C247DB">
        <w:rPr>
          <w:b/>
        </w:rPr>
        <w:t>16</w:t>
      </w:r>
      <w:r w:rsidRPr="00C247DB">
        <w:t>(6): p. 1762-1773.</w:t>
      </w:r>
    </w:p>
    <w:p w14:paraId="398C2511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7.</w:t>
      </w:r>
      <w:r w:rsidRPr="00C247DB">
        <w:tab/>
        <w:t xml:space="preserve">Gomez-Chou, S.B., et al., </w:t>
      </w:r>
      <w:r w:rsidRPr="00C247DB">
        <w:rPr>
          <w:i/>
        </w:rPr>
        <w:t>Lipocalin-2 promotes pancreatic ductal adenocarcinoma by regulating inflammation in the tumor microenvironment.</w:t>
      </w:r>
      <w:r w:rsidRPr="00C247DB">
        <w:t xml:space="preserve"> Cancer research, 2017. </w:t>
      </w:r>
      <w:r w:rsidRPr="00C247DB">
        <w:rPr>
          <w:b/>
        </w:rPr>
        <w:t>77</w:t>
      </w:r>
      <w:r w:rsidRPr="00C247DB">
        <w:t>(10): p. 2647-2660.</w:t>
      </w:r>
    </w:p>
    <w:p w14:paraId="73424E62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8.</w:t>
      </w:r>
      <w:r w:rsidRPr="00C247DB">
        <w:tab/>
        <w:t xml:space="preserve">Takahashi, H., et al., </w:t>
      </w:r>
      <w:r w:rsidRPr="00C247DB">
        <w:rPr>
          <w:i/>
        </w:rPr>
        <w:t>High expression of Annexin A2 is associated with DNA repair, metabolic alteration, and worse survival in pancreatic ductal adenocarcinoma.</w:t>
      </w:r>
      <w:r w:rsidRPr="00C247DB">
        <w:t xml:space="preserve"> Surgery, 2019. </w:t>
      </w:r>
      <w:r w:rsidRPr="00C247DB">
        <w:rPr>
          <w:b/>
        </w:rPr>
        <w:t>166</w:t>
      </w:r>
      <w:r w:rsidRPr="00C247DB">
        <w:t>(2): p. 150-156.</w:t>
      </w:r>
    </w:p>
    <w:p w14:paraId="4EBE0F33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9.</w:t>
      </w:r>
      <w:r w:rsidRPr="00C247DB">
        <w:tab/>
        <w:t xml:space="preserve">Dumartin, L., et al., </w:t>
      </w:r>
      <w:r w:rsidRPr="00C247DB">
        <w:rPr>
          <w:i/>
        </w:rPr>
        <w:t>ER stress protein AGR2 precedes and is involved in the regulation of pancreatic cancer initiation.</w:t>
      </w:r>
      <w:r w:rsidRPr="00C247DB">
        <w:t xml:space="preserve"> Oncogene, 2017. </w:t>
      </w:r>
      <w:r w:rsidRPr="00C247DB">
        <w:rPr>
          <w:b/>
        </w:rPr>
        <w:t>36</w:t>
      </w:r>
      <w:r w:rsidRPr="00C247DB">
        <w:t>(22): p. 3094-3103.</w:t>
      </w:r>
    </w:p>
    <w:p w14:paraId="73E11D63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10.</w:t>
      </w:r>
      <w:r w:rsidRPr="00C247DB">
        <w:tab/>
        <w:t xml:space="preserve">Tang, Y., et al., </w:t>
      </w:r>
      <w:r w:rsidRPr="00C247DB">
        <w:rPr>
          <w:i/>
        </w:rPr>
        <w:t>Actin gamma 1 is a critical regulator of pancreatic ductal adenocarcinoma.</w:t>
      </w:r>
      <w:r w:rsidRPr="00C247DB">
        <w:t xml:space="preserve"> Saudi Journal of Gastroenterology: Official Journal of the Saudi Gastroenterology Association, 2022. </w:t>
      </w:r>
      <w:r w:rsidRPr="00C247DB">
        <w:rPr>
          <w:b/>
        </w:rPr>
        <w:t>28</w:t>
      </w:r>
      <w:r w:rsidRPr="00C247DB">
        <w:t>(3): p. 239.</w:t>
      </w:r>
    </w:p>
    <w:p w14:paraId="67AF5FD8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11.</w:t>
      </w:r>
      <w:r w:rsidRPr="00C247DB">
        <w:tab/>
        <w:t xml:space="preserve">Castillo, L., et al., </w:t>
      </w:r>
      <w:r w:rsidRPr="00C247DB">
        <w:rPr>
          <w:i/>
        </w:rPr>
        <w:t>MCL-1 antagonism enhances the anti-invasive effects of dasatinib in pancreatic adenocarcinoma.</w:t>
      </w:r>
      <w:r w:rsidRPr="00C247DB">
        <w:t xml:space="preserve"> Oncogene, 2020. </w:t>
      </w:r>
      <w:r w:rsidRPr="00C247DB">
        <w:rPr>
          <w:b/>
        </w:rPr>
        <w:t>39</w:t>
      </w:r>
      <w:r w:rsidRPr="00C247DB">
        <w:t>(8): p. 1821-1829.</w:t>
      </w:r>
    </w:p>
    <w:p w14:paraId="7F70D606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12.</w:t>
      </w:r>
      <w:r w:rsidRPr="00C247DB">
        <w:tab/>
        <w:t xml:space="preserve">Liu, C., et al., </w:t>
      </w:r>
      <w:r w:rsidRPr="00C247DB">
        <w:rPr>
          <w:i/>
        </w:rPr>
        <w:t>Overexpression of B2M and loss of ALK7 expression are associated with invasion, metastasis, and poor-prognosis of the pancreatic ductal adenocarcinoma.</w:t>
      </w:r>
      <w:r w:rsidRPr="00C247DB">
        <w:t xml:space="preserve"> Cancer Biomarkers, 2015. </w:t>
      </w:r>
      <w:r w:rsidRPr="00C247DB">
        <w:rPr>
          <w:b/>
        </w:rPr>
        <w:t>15</w:t>
      </w:r>
      <w:r w:rsidRPr="00C247DB">
        <w:t>(6): p. 735-743.</w:t>
      </w:r>
    </w:p>
    <w:p w14:paraId="73271430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13.</w:t>
      </w:r>
      <w:r w:rsidRPr="00C247DB">
        <w:tab/>
        <w:t xml:space="preserve">Atay, S., </w:t>
      </w:r>
      <w:r w:rsidRPr="00C247DB">
        <w:rPr>
          <w:i/>
        </w:rPr>
        <w:t>Integrated transcriptome meta-analysis of pancreatic ductal adenocarcinoma and matched adjacent pancreatic tissues.</w:t>
      </w:r>
      <w:r w:rsidRPr="00C247DB">
        <w:t xml:space="preserve"> PeerJ, 2020. </w:t>
      </w:r>
      <w:r w:rsidRPr="00C247DB">
        <w:rPr>
          <w:b/>
        </w:rPr>
        <w:t>8</w:t>
      </w:r>
      <w:r w:rsidRPr="00C247DB">
        <w:t>: p. e10141.</w:t>
      </w:r>
    </w:p>
    <w:p w14:paraId="1FA42CCB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14.</w:t>
      </w:r>
      <w:r w:rsidRPr="00C247DB">
        <w:tab/>
        <w:t xml:space="preserve">Wang, S., et al., </w:t>
      </w:r>
      <w:r w:rsidRPr="00C247DB">
        <w:rPr>
          <w:i/>
        </w:rPr>
        <w:t>High expression level of peptidylprolyl isomerase A is correlated with poor prognosis of liver hepatocellular carcinoma.</w:t>
      </w:r>
      <w:r w:rsidRPr="00C247DB">
        <w:t xml:space="preserve"> Oncology letters, 2019. </w:t>
      </w:r>
      <w:r w:rsidRPr="00C247DB">
        <w:rPr>
          <w:b/>
        </w:rPr>
        <w:t>18</w:t>
      </w:r>
      <w:r w:rsidRPr="00C247DB">
        <w:t>(5): p. 4691-4702.</w:t>
      </w:r>
    </w:p>
    <w:p w14:paraId="6009956A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15.</w:t>
      </w:r>
      <w:r w:rsidRPr="00C247DB">
        <w:tab/>
        <w:t xml:space="preserve">Kesaraju, S., et al., </w:t>
      </w:r>
      <w:r w:rsidRPr="00C247DB">
        <w:rPr>
          <w:i/>
        </w:rPr>
        <w:t>Claudin-2 limits pancreatitis development through regulating tight junction-controlled pancreatic ductal transport.</w:t>
      </w:r>
      <w:r w:rsidRPr="00C247DB">
        <w:t xml:space="preserve"> bioRxiv, 2023: p. 2023.09. 01.555960.</w:t>
      </w:r>
    </w:p>
    <w:p w14:paraId="11AEBA10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16.</w:t>
      </w:r>
      <w:r w:rsidRPr="00C247DB">
        <w:tab/>
        <w:t xml:space="preserve">Grüner, B.M., et al., </w:t>
      </w:r>
      <w:r w:rsidRPr="00C247DB">
        <w:rPr>
          <w:i/>
        </w:rPr>
        <w:t xml:space="preserve">MALDI imaging mass spectrometry for in situ proteomic analysis of </w:t>
      </w:r>
      <w:r w:rsidRPr="00C247DB">
        <w:rPr>
          <w:i/>
        </w:rPr>
        <w:lastRenderedPageBreak/>
        <w:t>preneoplastic lesions in pancreatic cancer.</w:t>
      </w:r>
      <w:r w:rsidRPr="00C247DB">
        <w:t xml:space="preserve"> PloS one, 2012. </w:t>
      </w:r>
      <w:r w:rsidRPr="00C247DB">
        <w:rPr>
          <w:b/>
        </w:rPr>
        <w:t>7</w:t>
      </w:r>
      <w:r w:rsidRPr="00C247DB">
        <w:t>(6): p. e39424.</w:t>
      </w:r>
    </w:p>
    <w:p w14:paraId="58585EB0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17.</w:t>
      </w:r>
      <w:r w:rsidRPr="00C247DB">
        <w:tab/>
        <w:t xml:space="preserve">Pistoni, L., et al., </w:t>
      </w:r>
      <w:r w:rsidRPr="00C247DB">
        <w:rPr>
          <w:i/>
        </w:rPr>
        <w:t>Associations between pancreatic expression quantitative traits and risk of pancreatic ductal adenocarcinoma.</w:t>
      </w:r>
      <w:r w:rsidRPr="00C247DB">
        <w:t xml:space="preserve"> Carcinogenesis, 2021. </w:t>
      </w:r>
      <w:r w:rsidRPr="00C247DB">
        <w:rPr>
          <w:b/>
        </w:rPr>
        <w:t>42</w:t>
      </w:r>
      <w:r w:rsidRPr="00C247DB">
        <w:t>(8): p. 1037-1045.</w:t>
      </w:r>
    </w:p>
    <w:p w14:paraId="2F85987F" w14:textId="77777777" w:rsidR="00C247DB" w:rsidRPr="00C247DB" w:rsidRDefault="00C247DB" w:rsidP="00C247DB">
      <w:pPr>
        <w:pStyle w:val="EndNoteBibliography"/>
        <w:spacing w:after="0"/>
        <w:ind w:left="720" w:hanging="720"/>
      </w:pPr>
      <w:r w:rsidRPr="00C247DB">
        <w:t>18.</w:t>
      </w:r>
      <w:r w:rsidRPr="00C247DB">
        <w:tab/>
        <w:t xml:space="preserve">Liu, J.-H., et al., </w:t>
      </w:r>
      <w:r w:rsidRPr="00C247DB">
        <w:rPr>
          <w:i/>
        </w:rPr>
        <w:t>Expression and prognostic significance of lncRNA MALAT1 in pancreatic cancer tissues.</w:t>
      </w:r>
      <w:r w:rsidRPr="00C247DB">
        <w:t xml:space="preserve"> Asian Pacific Journal of Cancer Prevention, 2014. </w:t>
      </w:r>
      <w:r w:rsidRPr="00C247DB">
        <w:rPr>
          <w:b/>
        </w:rPr>
        <w:t>15</w:t>
      </w:r>
      <w:r w:rsidRPr="00C247DB">
        <w:t>(7): p. 2971-2977.</w:t>
      </w:r>
    </w:p>
    <w:p w14:paraId="27F409FE" w14:textId="77777777" w:rsidR="00C247DB" w:rsidRPr="00C247DB" w:rsidRDefault="00C247DB" w:rsidP="00C247DB">
      <w:pPr>
        <w:pStyle w:val="EndNoteBibliography"/>
        <w:ind w:left="720" w:hanging="720"/>
      </w:pPr>
      <w:r w:rsidRPr="00C247DB">
        <w:t>19.</w:t>
      </w:r>
      <w:r w:rsidRPr="00C247DB">
        <w:tab/>
        <w:t xml:space="preserve">Park, J.M., et al., </w:t>
      </w:r>
      <w:r w:rsidRPr="00C247DB">
        <w:rPr>
          <w:i/>
        </w:rPr>
        <w:t>A case–control study in Taiwanese cohort and meta-analysis of serum ferritin in pancreatic cancer.</w:t>
      </w:r>
      <w:r w:rsidRPr="00C247DB">
        <w:t xml:space="preserve"> Scientific Reports, 2021. </w:t>
      </w:r>
      <w:r w:rsidRPr="00C247DB">
        <w:rPr>
          <w:b/>
        </w:rPr>
        <w:t>11</w:t>
      </w:r>
      <w:r w:rsidRPr="00C247DB">
        <w:t>(1): p. 21242.</w:t>
      </w:r>
    </w:p>
    <w:p w14:paraId="44B2C873" w14:textId="09E4C206" w:rsidR="00407F54" w:rsidRDefault="00B170DB">
      <w:r>
        <w:fldChar w:fldCharType="end"/>
      </w:r>
    </w:p>
    <w:sectPr w:rsidR="00407F54" w:rsidSect="00C433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F5794" w14:textId="77777777" w:rsidR="00C433FE" w:rsidRDefault="00C433FE" w:rsidP="00101371">
      <w:pPr>
        <w:spacing w:after="0" w:line="240" w:lineRule="auto"/>
      </w:pPr>
      <w:r>
        <w:separator/>
      </w:r>
    </w:p>
  </w:endnote>
  <w:endnote w:type="continuationSeparator" w:id="0">
    <w:p w14:paraId="30261584" w14:textId="77777777" w:rsidR="00C433FE" w:rsidRDefault="00C433FE" w:rsidP="00101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451AE1" w14:textId="77777777" w:rsidR="00C433FE" w:rsidRDefault="00C433FE" w:rsidP="00101371">
      <w:pPr>
        <w:spacing w:after="0" w:line="240" w:lineRule="auto"/>
      </w:pPr>
      <w:r>
        <w:separator/>
      </w:r>
    </w:p>
  </w:footnote>
  <w:footnote w:type="continuationSeparator" w:id="0">
    <w:p w14:paraId="66ED8E9F" w14:textId="77777777" w:rsidR="00C433FE" w:rsidRDefault="00C433FE" w:rsidP="00101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ewzetvgwdzt4ed9d8ptvxjfzexr2wxte50&quot;&gt;240224_KorOrganoidscRNASeq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7&lt;/item&gt;&lt;item&gt;18&lt;/item&gt;&lt;item&gt;19&lt;/item&gt;&lt;item&gt;20&lt;/item&gt;&lt;item&gt;21&lt;/item&gt;&lt;/record-ids&gt;&lt;/item&gt;&lt;/Libraries&gt;"/>
  </w:docVars>
  <w:rsids>
    <w:rsidRoot w:val="00407F54"/>
    <w:rsid w:val="0002563D"/>
    <w:rsid w:val="000E2F14"/>
    <w:rsid w:val="000F2815"/>
    <w:rsid w:val="00101371"/>
    <w:rsid w:val="00187E9E"/>
    <w:rsid w:val="001D669B"/>
    <w:rsid w:val="001F65B8"/>
    <w:rsid w:val="00256451"/>
    <w:rsid w:val="003D1B73"/>
    <w:rsid w:val="00407F54"/>
    <w:rsid w:val="00501FA3"/>
    <w:rsid w:val="00567622"/>
    <w:rsid w:val="00633A43"/>
    <w:rsid w:val="00644142"/>
    <w:rsid w:val="007971C5"/>
    <w:rsid w:val="007B0072"/>
    <w:rsid w:val="007F018A"/>
    <w:rsid w:val="008B1CD0"/>
    <w:rsid w:val="009373B0"/>
    <w:rsid w:val="00A362CD"/>
    <w:rsid w:val="00A818C6"/>
    <w:rsid w:val="00AF618E"/>
    <w:rsid w:val="00B170DB"/>
    <w:rsid w:val="00B66552"/>
    <w:rsid w:val="00C247DB"/>
    <w:rsid w:val="00C433FE"/>
    <w:rsid w:val="00C50221"/>
    <w:rsid w:val="00DC2E7A"/>
    <w:rsid w:val="00E13E5D"/>
    <w:rsid w:val="00E979AA"/>
    <w:rsid w:val="00EF3CA2"/>
    <w:rsid w:val="00F4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94960"/>
  <w15:chartTrackingRefBased/>
  <w15:docId w15:val="{DC9389DF-CCE7-4D15-B00B-79874AB4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7F018A"/>
    <w:rPr>
      <w:b/>
      <w:bCs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B170D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170D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B170D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B170DB"/>
    <w:rPr>
      <w:rFonts w:ascii="맑은 고딕" w:eastAsia="맑은 고딕" w:hAnsi="맑은 고딕"/>
      <w:noProof/>
    </w:rPr>
  </w:style>
  <w:style w:type="paragraph" w:styleId="a4">
    <w:name w:val="header"/>
    <w:basedOn w:val="a"/>
    <w:link w:val="Char"/>
    <w:uiPriority w:val="99"/>
    <w:unhideWhenUsed/>
    <w:rsid w:val="0010137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01371"/>
  </w:style>
  <w:style w:type="paragraph" w:styleId="a5">
    <w:name w:val="footer"/>
    <w:basedOn w:val="a"/>
    <w:link w:val="Char0"/>
    <w:uiPriority w:val="99"/>
    <w:unhideWhenUsed/>
    <w:rsid w:val="0010137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0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3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3</Pages>
  <Words>3988</Words>
  <Characters>22732</Characters>
  <Application>Microsoft Office Word</Application>
  <DocSecurity>0</DocSecurity>
  <Lines>189</Lines>
  <Paragraphs>53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서민석[ 부교수 / 컴퓨터정보학과 ]</dc:creator>
  <cp:keywords/>
  <dc:description/>
  <cp:lastModifiedBy>서민석[ 부교수 / 컴퓨터정보학과 ]</cp:lastModifiedBy>
  <cp:revision>22</cp:revision>
  <dcterms:created xsi:type="dcterms:W3CDTF">2024-02-24T04:58:00Z</dcterms:created>
  <dcterms:modified xsi:type="dcterms:W3CDTF">2024-05-09T14:56:00Z</dcterms:modified>
</cp:coreProperties>
</file>