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SUPPLEMENTARY MATERIAL: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Bdr>
          <w:bottom w:color="000000" w:space="1" w:sz="4" w:val="single"/>
        </w:pBdr>
        <w:spacing w:line="480" w:lineRule="auto"/>
        <w:jc w:val="both"/>
        <w:rPr>
          <w:b w:val="1"/>
          <w:sz w:val="24"/>
          <w:szCs w:val="24"/>
        </w:rPr>
      </w:pPr>
      <w:r w:rsidDel="00000000" w:rsidR="00000000" w:rsidRPr="00000000">
        <w:rPr>
          <w:b w:val="1"/>
          <w:sz w:val="24"/>
          <w:szCs w:val="24"/>
          <w:rtl w:val="0"/>
        </w:rPr>
        <w:t xml:space="preserve">1. Radiologic Definitions for Thoracic Imaging Findings</w:t>
      </w:r>
    </w:p>
    <w:p w:rsidR="00000000" w:rsidDel="00000000" w:rsidP="00000000" w:rsidRDefault="00000000" w:rsidRPr="00000000" w14:paraId="00000004">
      <w:pPr>
        <w:numPr>
          <w:ilvl w:val="0"/>
          <w:numId w:val="1"/>
        </w:numPr>
        <w:spacing w:line="480" w:lineRule="auto"/>
        <w:ind w:left="720" w:hanging="360"/>
        <w:jc w:val="both"/>
        <w:rPr>
          <w:rFonts w:ascii="Calibri" w:cs="Calibri" w:eastAsia="Calibri" w:hAnsi="Calibri"/>
          <w:sz w:val="24"/>
          <w:szCs w:val="24"/>
        </w:rPr>
      </w:pPr>
      <w:r w:rsidDel="00000000" w:rsidR="00000000" w:rsidRPr="00000000">
        <w:rPr>
          <w:b w:val="1"/>
          <w:sz w:val="24"/>
          <w:szCs w:val="24"/>
          <w:rtl w:val="0"/>
        </w:rPr>
        <w:t xml:space="preserve">Adenopathy:</w:t>
      </w:r>
      <w:r w:rsidDel="00000000" w:rsidR="00000000" w:rsidRPr="00000000">
        <w:rPr>
          <w:sz w:val="24"/>
          <w:szCs w:val="24"/>
          <w:rtl w:val="0"/>
        </w:rPr>
        <w:t xml:space="preserve"> Node enlargement &gt;10 mm along the short axis (1). </w:t>
      </w:r>
      <w:r w:rsidDel="00000000" w:rsidR="00000000" w:rsidRPr="00000000">
        <w:rPr>
          <w:rtl w:val="0"/>
        </w:rPr>
      </w:r>
    </w:p>
    <w:p w:rsidR="00000000" w:rsidDel="00000000" w:rsidP="00000000" w:rsidRDefault="00000000" w:rsidRPr="00000000" w14:paraId="00000005">
      <w:pPr>
        <w:numPr>
          <w:ilvl w:val="0"/>
          <w:numId w:val="1"/>
        </w:numPr>
        <w:spacing w:line="480" w:lineRule="auto"/>
        <w:ind w:left="720" w:hanging="360"/>
        <w:jc w:val="both"/>
        <w:rPr>
          <w:rFonts w:ascii="Calibri" w:cs="Calibri" w:eastAsia="Calibri" w:hAnsi="Calibri"/>
          <w:sz w:val="24"/>
          <w:szCs w:val="24"/>
        </w:rPr>
      </w:pPr>
      <w:r w:rsidDel="00000000" w:rsidR="00000000" w:rsidRPr="00000000">
        <w:rPr>
          <w:b w:val="1"/>
          <w:sz w:val="24"/>
          <w:szCs w:val="24"/>
          <w:rtl w:val="0"/>
        </w:rPr>
        <w:t xml:space="preserve">Ground-glass opacity:</w:t>
      </w:r>
      <w:r w:rsidDel="00000000" w:rsidR="00000000" w:rsidRPr="00000000">
        <w:rPr>
          <w:sz w:val="24"/>
          <w:szCs w:val="24"/>
          <w:rtl w:val="0"/>
        </w:rPr>
        <w:t xml:space="preserve"> Hazy increased attenuation of lung, but with preservation of bronchial and vascular margins; caused by partial filling of air spaces, interstitial thickening, partial collapse of alveoli, normal expiration, or increased capillary blood volume (2). </w:t>
      </w:r>
      <w:r w:rsidDel="00000000" w:rsidR="00000000" w:rsidRPr="00000000">
        <w:rPr>
          <w:rtl w:val="0"/>
        </w:rPr>
      </w:r>
    </w:p>
    <w:p w:rsidR="00000000" w:rsidDel="00000000" w:rsidP="00000000" w:rsidRDefault="00000000" w:rsidRPr="00000000" w14:paraId="00000006">
      <w:pPr>
        <w:numPr>
          <w:ilvl w:val="0"/>
          <w:numId w:val="1"/>
        </w:numPr>
        <w:spacing w:line="480" w:lineRule="auto"/>
        <w:ind w:left="720" w:hanging="360"/>
        <w:jc w:val="both"/>
        <w:rPr>
          <w:rFonts w:ascii="Calibri" w:cs="Calibri" w:eastAsia="Calibri" w:hAnsi="Calibri"/>
          <w:sz w:val="24"/>
          <w:szCs w:val="24"/>
        </w:rPr>
      </w:pPr>
      <w:r w:rsidDel="00000000" w:rsidR="00000000" w:rsidRPr="00000000">
        <w:rPr>
          <w:b w:val="1"/>
          <w:sz w:val="24"/>
          <w:szCs w:val="24"/>
          <w:rtl w:val="0"/>
        </w:rPr>
        <w:t xml:space="preserve">Consolidation: </w:t>
      </w:r>
      <w:r w:rsidDel="00000000" w:rsidR="00000000" w:rsidRPr="00000000">
        <w:rPr>
          <w:sz w:val="24"/>
          <w:szCs w:val="24"/>
          <w:rtl w:val="0"/>
        </w:rPr>
        <w:t xml:space="preserve">Homogeneous increase in pulmonary parenchymal attenuation that obscures the margins of vessels and airway walls. An air bronchogram may be present (2). </w:t>
      </w:r>
      <w:r w:rsidDel="00000000" w:rsidR="00000000" w:rsidRPr="00000000">
        <w:rPr>
          <w:rtl w:val="0"/>
        </w:rPr>
      </w:r>
    </w:p>
    <w:p w:rsidR="00000000" w:rsidDel="00000000" w:rsidP="00000000" w:rsidRDefault="00000000" w:rsidRPr="00000000" w14:paraId="00000007">
      <w:pPr>
        <w:numPr>
          <w:ilvl w:val="0"/>
          <w:numId w:val="1"/>
        </w:numPr>
        <w:spacing w:line="480" w:lineRule="auto"/>
        <w:ind w:left="720" w:hanging="360"/>
        <w:jc w:val="both"/>
        <w:rPr>
          <w:rFonts w:ascii="Calibri" w:cs="Calibri" w:eastAsia="Calibri" w:hAnsi="Calibri"/>
          <w:sz w:val="24"/>
          <w:szCs w:val="24"/>
        </w:rPr>
      </w:pPr>
      <w:r w:rsidDel="00000000" w:rsidR="00000000" w:rsidRPr="00000000">
        <w:rPr>
          <w:b w:val="1"/>
          <w:sz w:val="24"/>
          <w:szCs w:val="24"/>
          <w:rtl w:val="0"/>
        </w:rPr>
        <w:t xml:space="preserve">Reticular Pattern</w:t>
      </w:r>
      <w:r w:rsidDel="00000000" w:rsidR="00000000" w:rsidRPr="00000000">
        <w:rPr>
          <w:sz w:val="24"/>
          <w:szCs w:val="24"/>
          <w:rtl w:val="0"/>
        </w:rPr>
        <w:t xml:space="preserve">: Innumerable, interlacing line shadows that suggest a mesh (2).</w:t>
      </w:r>
      <w:r w:rsidDel="00000000" w:rsidR="00000000" w:rsidRPr="00000000">
        <w:rPr>
          <w:rtl w:val="0"/>
        </w:rPr>
      </w:r>
    </w:p>
    <w:p w:rsidR="00000000" w:rsidDel="00000000" w:rsidP="00000000" w:rsidRDefault="00000000" w:rsidRPr="00000000" w14:paraId="00000008">
      <w:pPr>
        <w:numPr>
          <w:ilvl w:val="0"/>
          <w:numId w:val="1"/>
        </w:numPr>
        <w:spacing w:line="480" w:lineRule="auto"/>
        <w:ind w:left="720" w:hanging="360"/>
        <w:jc w:val="both"/>
        <w:rPr>
          <w:rFonts w:ascii="Calibri" w:cs="Calibri" w:eastAsia="Calibri" w:hAnsi="Calibri"/>
          <w:sz w:val="24"/>
          <w:szCs w:val="24"/>
        </w:rPr>
      </w:pPr>
      <w:r w:rsidDel="00000000" w:rsidR="00000000" w:rsidRPr="00000000">
        <w:rPr>
          <w:b w:val="1"/>
          <w:sz w:val="24"/>
          <w:szCs w:val="24"/>
          <w:rtl w:val="0"/>
        </w:rPr>
        <w:t xml:space="preserve">Pleural effusion:</w:t>
      </w:r>
      <w:r w:rsidDel="00000000" w:rsidR="00000000" w:rsidRPr="00000000">
        <w:rPr>
          <w:sz w:val="24"/>
          <w:szCs w:val="24"/>
          <w:rtl w:val="0"/>
        </w:rPr>
        <w:t xml:space="preserve"> An excess of fluid in the pleural cavity, the space that surrounds the lungs and lies underneath the chest wall (2). </w:t>
      </w:r>
      <w:r w:rsidDel="00000000" w:rsidR="00000000" w:rsidRPr="00000000">
        <w:rPr>
          <w:rtl w:val="0"/>
        </w:rPr>
      </w:r>
    </w:p>
    <w:p w:rsidR="00000000" w:rsidDel="00000000" w:rsidP="00000000" w:rsidRDefault="00000000" w:rsidRPr="00000000" w14:paraId="00000009">
      <w:pPr>
        <w:numPr>
          <w:ilvl w:val="0"/>
          <w:numId w:val="1"/>
        </w:numPr>
        <w:spacing w:line="480" w:lineRule="auto"/>
        <w:ind w:left="720" w:hanging="360"/>
        <w:jc w:val="both"/>
        <w:rPr>
          <w:rFonts w:ascii="Calibri" w:cs="Calibri" w:eastAsia="Calibri" w:hAnsi="Calibri"/>
          <w:sz w:val="24"/>
          <w:szCs w:val="24"/>
        </w:rPr>
      </w:pPr>
      <w:r w:rsidDel="00000000" w:rsidR="00000000" w:rsidRPr="00000000">
        <w:rPr>
          <w:b w:val="1"/>
          <w:sz w:val="24"/>
          <w:szCs w:val="24"/>
          <w:rtl w:val="0"/>
        </w:rPr>
        <w:t xml:space="preserve">Nodule or mass: </w:t>
      </w:r>
      <w:r w:rsidDel="00000000" w:rsidR="00000000" w:rsidRPr="00000000">
        <w:rPr>
          <w:sz w:val="24"/>
          <w:szCs w:val="24"/>
          <w:rtl w:val="0"/>
        </w:rPr>
        <w:t xml:space="preserve">Round opacity, at least moderately well marginated and no greater than 3 cm in maximum diameter (2). </w:t>
      </w:r>
      <w:r w:rsidDel="00000000" w:rsidR="00000000" w:rsidRPr="00000000">
        <w:rPr>
          <w:rtl w:val="0"/>
        </w:rPr>
      </w:r>
    </w:p>
    <w:p w:rsidR="00000000" w:rsidDel="00000000" w:rsidP="00000000" w:rsidRDefault="00000000" w:rsidRPr="00000000" w14:paraId="0000000A">
      <w:pPr>
        <w:numPr>
          <w:ilvl w:val="0"/>
          <w:numId w:val="1"/>
        </w:numPr>
        <w:spacing w:line="480" w:lineRule="auto"/>
        <w:ind w:left="720" w:hanging="360"/>
        <w:jc w:val="both"/>
        <w:rPr>
          <w:rFonts w:ascii="Calibri" w:cs="Calibri" w:eastAsia="Calibri" w:hAnsi="Calibri"/>
          <w:sz w:val="24"/>
          <w:szCs w:val="24"/>
        </w:rPr>
      </w:pPr>
      <w:r w:rsidDel="00000000" w:rsidR="00000000" w:rsidRPr="00000000">
        <w:rPr>
          <w:b w:val="1"/>
          <w:sz w:val="24"/>
          <w:szCs w:val="24"/>
          <w:rtl w:val="0"/>
        </w:rPr>
        <w:t xml:space="preserve">Cavitation:</w:t>
      </w:r>
      <w:r w:rsidDel="00000000" w:rsidR="00000000" w:rsidRPr="00000000">
        <w:rPr>
          <w:sz w:val="24"/>
          <w:szCs w:val="24"/>
          <w:rtl w:val="0"/>
        </w:rPr>
        <w:t xml:space="preserve"> lung lesion containing gas and surrounded by a wall of a variable thickness (3). </w:t>
      </w:r>
      <w:r w:rsidDel="00000000" w:rsidR="00000000" w:rsidRPr="00000000">
        <w:rPr>
          <w:rtl w:val="0"/>
        </w:rPr>
      </w:r>
    </w:p>
    <w:p w:rsidR="00000000" w:rsidDel="00000000" w:rsidP="00000000" w:rsidRDefault="00000000" w:rsidRPr="00000000" w14:paraId="0000000B">
      <w:pPr>
        <w:numPr>
          <w:ilvl w:val="0"/>
          <w:numId w:val="1"/>
        </w:numPr>
        <w:spacing w:line="480" w:lineRule="auto"/>
        <w:ind w:left="720" w:hanging="360"/>
        <w:jc w:val="both"/>
        <w:rPr>
          <w:rFonts w:ascii="Calibri" w:cs="Calibri" w:eastAsia="Calibri" w:hAnsi="Calibri"/>
          <w:sz w:val="24"/>
          <w:szCs w:val="24"/>
        </w:rPr>
      </w:pPr>
      <w:r w:rsidDel="00000000" w:rsidR="00000000" w:rsidRPr="00000000">
        <w:rPr>
          <w:b w:val="1"/>
          <w:sz w:val="24"/>
          <w:szCs w:val="24"/>
          <w:rtl w:val="0"/>
        </w:rPr>
        <w:t xml:space="preserve">Interlobular septal thickening:</w:t>
      </w:r>
      <w:r w:rsidDel="00000000" w:rsidR="00000000" w:rsidRPr="00000000">
        <w:rPr>
          <w:sz w:val="24"/>
          <w:szCs w:val="24"/>
          <w:rtl w:val="0"/>
        </w:rPr>
        <w:t xml:space="preserve"> Thin linear opacity that corresponds to an interlobular septum; to be distinguished from centrilobular structures (2). </w:t>
      </w:r>
      <w:r w:rsidDel="00000000" w:rsidR="00000000" w:rsidRPr="00000000">
        <w:rPr>
          <w:rtl w:val="0"/>
        </w:rPr>
      </w:r>
    </w:p>
    <w:p w:rsidR="00000000" w:rsidDel="00000000" w:rsidP="00000000" w:rsidRDefault="00000000" w:rsidRPr="00000000" w14:paraId="0000000C">
      <w:pPr>
        <w:numPr>
          <w:ilvl w:val="0"/>
          <w:numId w:val="1"/>
        </w:numPr>
        <w:spacing w:line="480" w:lineRule="auto"/>
        <w:ind w:left="720" w:hanging="360"/>
        <w:jc w:val="both"/>
        <w:rPr>
          <w:rFonts w:ascii="Calibri" w:cs="Calibri" w:eastAsia="Calibri" w:hAnsi="Calibri"/>
          <w:sz w:val="24"/>
          <w:szCs w:val="24"/>
        </w:rPr>
      </w:pPr>
      <w:r w:rsidDel="00000000" w:rsidR="00000000" w:rsidRPr="00000000">
        <w:rPr>
          <w:b w:val="1"/>
          <w:sz w:val="24"/>
          <w:szCs w:val="24"/>
          <w:rtl w:val="0"/>
        </w:rPr>
        <w:t xml:space="preserve">Honeycombing pattern:</w:t>
      </w:r>
      <w:r w:rsidDel="00000000" w:rsidR="00000000" w:rsidRPr="00000000">
        <w:rPr>
          <w:sz w:val="24"/>
          <w:szCs w:val="24"/>
          <w:rtl w:val="0"/>
        </w:rPr>
        <w:t xml:space="preserve"> Clustered cystic air spaces, usually of comparable diameters on the order of 0.3 - 1 cm but as much as 2.5 cm, usually subpleural and characterized by well-defined walls, which are often thick (2). </w:t>
      </w:r>
      <w:r w:rsidDel="00000000" w:rsidR="00000000" w:rsidRPr="00000000">
        <w:rPr>
          <w:rtl w:val="0"/>
        </w:rPr>
      </w:r>
    </w:p>
    <w:p w:rsidR="00000000" w:rsidDel="00000000" w:rsidP="00000000" w:rsidRDefault="00000000" w:rsidRPr="00000000" w14:paraId="0000000D">
      <w:pPr>
        <w:numPr>
          <w:ilvl w:val="0"/>
          <w:numId w:val="1"/>
        </w:numPr>
        <w:spacing w:line="480" w:lineRule="auto"/>
        <w:ind w:left="720" w:hanging="360"/>
        <w:jc w:val="both"/>
        <w:rPr>
          <w:rFonts w:ascii="Calibri" w:cs="Calibri" w:eastAsia="Calibri" w:hAnsi="Calibri"/>
          <w:sz w:val="24"/>
          <w:szCs w:val="24"/>
        </w:rPr>
      </w:pPr>
      <w:r w:rsidDel="00000000" w:rsidR="00000000" w:rsidRPr="00000000">
        <w:rPr>
          <w:b w:val="1"/>
          <w:sz w:val="24"/>
          <w:szCs w:val="24"/>
          <w:rtl w:val="0"/>
        </w:rPr>
        <w:t xml:space="preserve">Micronodule:</w:t>
      </w:r>
      <w:r w:rsidDel="00000000" w:rsidR="00000000" w:rsidRPr="00000000">
        <w:rPr>
          <w:sz w:val="24"/>
          <w:szCs w:val="24"/>
          <w:rtl w:val="0"/>
        </w:rPr>
        <w:t xml:space="preserve"> Discrete, small, round, focal opacity of at least soft-tissue attenuation and with diameter no greater than 7 mm (2). </w:t>
      </w:r>
      <w:r w:rsidDel="00000000" w:rsidR="00000000" w:rsidRPr="00000000">
        <w:rPr>
          <w:rtl w:val="0"/>
        </w:rPr>
      </w:r>
    </w:p>
    <w:p w:rsidR="00000000" w:rsidDel="00000000" w:rsidP="00000000" w:rsidRDefault="00000000" w:rsidRPr="00000000" w14:paraId="0000000E">
      <w:pPr>
        <w:spacing w:line="480" w:lineRule="auto"/>
        <w:rPr>
          <w:sz w:val="24"/>
          <w:szCs w:val="24"/>
        </w:rPr>
      </w:pPr>
      <w:r w:rsidDel="00000000" w:rsidR="00000000" w:rsidRPr="00000000">
        <w:rPr>
          <w:rtl w:val="0"/>
        </w:rPr>
      </w:r>
    </w:p>
    <w:p w:rsidR="00000000" w:rsidDel="00000000" w:rsidP="00000000" w:rsidRDefault="00000000" w:rsidRPr="00000000" w14:paraId="0000000F">
      <w:pPr>
        <w:spacing w:line="480" w:lineRule="auto"/>
        <w:rPr>
          <w:b w:val="1"/>
          <w:sz w:val="24"/>
          <w:szCs w:val="24"/>
        </w:rPr>
      </w:pPr>
      <w:r w:rsidDel="00000000" w:rsidR="00000000" w:rsidRPr="00000000">
        <w:rPr>
          <w:b w:val="1"/>
          <w:sz w:val="24"/>
          <w:szCs w:val="24"/>
          <w:rtl w:val="0"/>
        </w:rPr>
        <w:t xml:space="preserve">References</w:t>
      </w:r>
    </w:p>
    <w:p w:rsidR="00000000" w:rsidDel="00000000" w:rsidP="00000000" w:rsidRDefault="00000000" w:rsidRPr="00000000" w14:paraId="00000010">
      <w:pPr>
        <w:numPr>
          <w:ilvl w:val="0"/>
          <w:numId w:val="2"/>
        </w:numPr>
        <w:spacing w:line="480" w:lineRule="auto"/>
        <w:ind w:left="720" w:hanging="360"/>
        <w:jc w:val="both"/>
        <w:rPr>
          <w:sz w:val="24"/>
          <w:szCs w:val="24"/>
        </w:rPr>
      </w:pPr>
      <w:r w:rsidDel="00000000" w:rsidR="00000000" w:rsidRPr="00000000">
        <w:rPr>
          <w:sz w:val="24"/>
          <w:szCs w:val="24"/>
          <w:rtl w:val="0"/>
        </w:rPr>
        <w:t xml:space="preserve">Nin CS, de Souza VV, do Amaral RH, Schuhmacher Neto R, Alves GR, Marchiori E, Irion KL, Balbinot F, Meirelles GS, Santana P, Gomes AC, Hochhegger B. Thoracic lymphadenopathy in benign diseases: A state of the art review. Respir Med. 2016;112:10-7. doi: 10.1016/j.rmed.2016.01.021.</w:t>
      </w:r>
    </w:p>
    <w:p w:rsidR="00000000" w:rsidDel="00000000" w:rsidP="00000000" w:rsidRDefault="00000000" w:rsidRPr="00000000" w14:paraId="00000011">
      <w:pPr>
        <w:numPr>
          <w:ilvl w:val="0"/>
          <w:numId w:val="2"/>
        </w:numPr>
        <w:spacing w:line="480" w:lineRule="auto"/>
        <w:ind w:left="720" w:hanging="360"/>
        <w:jc w:val="both"/>
        <w:rPr>
          <w:sz w:val="24"/>
          <w:szCs w:val="24"/>
        </w:rPr>
      </w:pPr>
      <w:r w:rsidDel="00000000" w:rsidR="00000000" w:rsidRPr="00000000">
        <w:rPr>
          <w:sz w:val="24"/>
          <w:szCs w:val="24"/>
          <w:rtl w:val="0"/>
        </w:rPr>
        <w:t xml:space="preserve">Austin J, Müller NL, Friedman PJ, Hansell DV, Naidich DP, Remy-Jardin M, Webb WRm Zerhouni EA. Glossary of terms for CT of the lungs: Recommendations of the Nomenclature Committee of the Fleischner Society. Radiology.1996;200:327-331. </w:t>
      </w:r>
    </w:p>
    <w:p w:rsidR="00000000" w:rsidDel="00000000" w:rsidP="00000000" w:rsidRDefault="00000000" w:rsidRPr="00000000" w14:paraId="00000012">
      <w:pPr>
        <w:numPr>
          <w:ilvl w:val="0"/>
          <w:numId w:val="2"/>
        </w:numPr>
        <w:spacing w:line="480" w:lineRule="auto"/>
        <w:ind w:left="720" w:hanging="360"/>
        <w:jc w:val="both"/>
        <w:rPr>
          <w:sz w:val="24"/>
          <w:szCs w:val="24"/>
        </w:rPr>
      </w:pPr>
      <w:r w:rsidDel="00000000" w:rsidR="00000000" w:rsidRPr="00000000">
        <w:rPr>
          <w:sz w:val="24"/>
          <w:szCs w:val="24"/>
          <w:rtl w:val="0"/>
        </w:rPr>
        <w:t xml:space="preserve">Naggar, A., Laasri, K., Berrada, K. et al. Differential </w:t>
      </w:r>
      <w:r w:rsidDel="00000000" w:rsidR="00000000" w:rsidRPr="00000000">
        <w:rPr>
          <w:sz w:val="24"/>
          <w:szCs w:val="24"/>
          <w:rtl w:val="0"/>
        </w:rPr>
        <w:t xml:space="preserve">diagnoses</w:t>
      </w:r>
      <w:r w:rsidDel="00000000" w:rsidR="00000000" w:rsidRPr="00000000">
        <w:rPr>
          <w:sz w:val="24"/>
          <w:szCs w:val="24"/>
          <w:rtl w:val="0"/>
        </w:rPr>
        <w:t xml:space="preserve"> of cavitary lung lesions on computed tomography: a pictorial essay. Egypt J Radiol Nucl Med. 2023;54:149 </w:t>
      </w:r>
      <w:hyperlink r:id="rId6">
        <w:r w:rsidDel="00000000" w:rsidR="00000000" w:rsidRPr="00000000">
          <w:rPr>
            <w:sz w:val="24"/>
            <w:szCs w:val="24"/>
            <w:rtl w:val="0"/>
          </w:rPr>
          <w:t xml:space="preserve">https://doi.org/10.1186/s43055-023-01098-7</w:t>
        </w:r>
      </w:hyperlink>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i.org/10.1186/s43055-023-0109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