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E808FD" w14:textId="77777777" w:rsidR="00F15E4F" w:rsidRPr="0086508A" w:rsidRDefault="00F15E4F" w:rsidP="00F15E4F">
      <w:pPr>
        <w:pStyle w:val="Title2"/>
        <w:jc w:val="both"/>
        <w:rPr>
          <w:b w:val="0"/>
          <w:color w:val="000000"/>
          <w:sz w:val="32"/>
          <w:szCs w:val="32"/>
          <w:lang w:val="en-GB"/>
        </w:rPr>
      </w:pPr>
      <w:r>
        <w:rPr>
          <w:b w:val="0"/>
          <w:color w:val="000000"/>
          <w:sz w:val="32"/>
          <w:szCs w:val="32"/>
          <w:lang w:val="en-GB"/>
        </w:rPr>
        <w:t>Supplementary</w:t>
      </w:r>
      <w:r w:rsidRPr="0086508A">
        <w:rPr>
          <w:b w:val="0"/>
          <w:color w:val="000000"/>
          <w:sz w:val="32"/>
          <w:szCs w:val="32"/>
          <w:lang w:val="en-GB"/>
        </w:rPr>
        <w:t xml:space="preserve"> Information </w:t>
      </w:r>
    </w:p>
    <w:p w14:paraId="12ADB2B8" w14:textId="77777777" w:rsidR="00F15E4F" w:rsidRPr="0086508A" w:rsidRDefault="00F15E4F" w:rsidP="00F15E4F">
      <w:pPr>
        <w:spacing w:line="360" w:lineRule="auto"/>
        <w:jc w:val="both"/>
        <w:rPr>
          <w:b/>
          <w:bCs/>
          <w:lang w:val="en-GB"/>
        </w:rPr>
      </w:pPr>
      <w:r>
        <w:rPr>
          <w:b/>
          <w:bCs/>
          <w:lang w:val="en-GB"/>
        </w:rPr>
        <w:t>Supplementary</w:t>
      </w:r>
      <w:r w:rsidRPr="0086508A">
        <w:rPr>
          <w:b/>
          <w:bCs/>
          <w:lang w:val="en-GB"/>
        </w:rPr>
        <w:t xml:space="preserve"> Information </w:t>
      </w:r>
    </w:p>
    <w:p w14:paraId="2CAE0A65" w14:textId="7753B674" w:rsidR="00F15E4F" w:rsidRDefault="00F15E4F" w:rsidP="00F15E4F">
      <w:pPr>
        <w:spacing w:line="360" w:lineRule="auto"/>
        <w:jc w:val="both"/>
        <w:rPr>
          <w:b/>
          <w:bCs/>
          <w:lang w:val="en-GB"/>
        </w:rPr>
      </w:pPr>
    </w:p>
    <w:p w14:paraId="2BD19E75" w14:textId="618B7999" w:rsidR="00F15E4F" w:rsidRDefault="00F15E4F" w:rsidP="00F15E4F">
      <w:pPr>
        <w:spacing w:line="360" w:lineRule="auto"/>
        <w:jc w:val="both"/>
        <w:rPr>
          <w:b/>
          <w:bCs/>
          <w:lang w:val="en-GB"/>
        </w:rPr>
      </w:pPr>
      <w:r>
        <w:rPr>
          <w:b/>
          <w:bCs/>
          <w:lang w:val="en-GB"/>
        </w:rPr>
        <w:t>Supplementary</w:t>
      </w:r>
      <w:r w:rsidRPr="0086508A">
        <w:rPr>
          <w:b/>
          <w:bCs/>
          <w:lang w:val="en-GB"/>
        </w:rPr>
        <w:t xml:space="preserve"> material 1. ((CD44 expression in Endometrial cancer models. </w:t>
      </w:r>
      <w:r w:rsidRPr="0086508A">
        <w:rPr>
          <w:lang w:val="en-GB"/>
        </w:rPr>
        <w:t>(</w:t>
      </w:r>
      <w:r>
        <w:rPr>
          <w:b/>
          <w:bCs/>
          <w:lang w:val="en-GB"/>
        </w:rPr>
        <w:t>a</w:t>
      </w:r>
      <w:r w:rsidRPr="0086508A">
        <w:rPr>
          <w:lang w:val="en-GB"/>
        </w:rPr>
        <w:t>) representative immunofluorescence images showing CD44 expression (FITC, green) in Ishikawa and Hec50 cells. Nuclei where stained with DAPI (blue). (</w:t>
      </w:r>
      <w:r>
        <w:rPr>
          <w:b/>
          <w:bCs/>
          <w:lang w:val="en-GB"/>
        </w:rPr>
        <w:t>b</w:t>
      </w:r>
      <w:r w:rsidRPr="0086508A">
        <w:rPr>
          <w:lang w:val="en-GB"/>
        </w:rPr>
        <w:t>) Relative fluorescence units (RFU) values obtained from ImageJ analysis of immunofluorescence images.))</w:t>
      </w:r>
      <w:r w:rsidRPr="0086508A">
        <w:rPr>
          <w:b/>
          <w:bCs/>
          <w:lang w:val="en-GB"/>
        </w:rPr>
        <w:t xml:space="preserve"> </w:t>
      </w:r>
    </w:p>
    <w:p w14:paraId="3EC4CD5B" w14:textId="38A892E4" w:rsidR="00EF643B" w:rsidRPr="0086508A" w:rsidRDefault="00EF643B" w:rsidP="00F15E4F">
      <w:pPr>
        <w:spacing w:line="360" w:lineRule="auto"/>
        <w:jc w:val="both"/>
        <w:rPr>
          <w:b/>
          <w:bCs/>
          <w:lang w:val="en-GB"/>
        </w:rPr>
      </w:pPr>
      <w:r>
        <w:rPr>
          <w:b/>
          <w:bCs/>
          <w:noProof/>
          <w:lang w:val="en-GB"/>
        </w:rPr>
        <w:drawing>
          <wp:inline distT="0" distB="0" distL="0" distR="0" wp14:anchorId="08C11D22" wp14:editId="4BCDE28C">
            <wp:extent cx="6122180" cy="291420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37420" cy="2921459"/>
                    </a:xfrm>
                    <a:prstGeom prst="rect">
                      <a:avLst/>
                    </a:prstGeom>
                    <a:noFill/>
                  </pic:spPr>
                </pic:pic>
              </a:graphicData>
            </a:graphic>
          </wp:inline>
        </w:drawing>
      </w:r>
    </w:p>
    <w:p w14:paraId="23B8B936" w14:textId="77777777" w:rsidR="00F15E4F" w:rsidRPr="0086508A" w:rsidRDefault="00F15E4F" w:rsidP="00F15E4F">
      <w:pPr>
        <w:spacing w:line="360" w:lineRule="auto"/>
        <w:jc w:val="both"/>
        <w:rPr>
          <w:b/>
          <w:bCs/>
          <w:lang w:val="en-GB"/>
        </w:rPr>
      </w:pPr>
      <w:r w:rsidRPr="0086508A">
        <w:rPr>
          <w:b/>
          <w:bCs/>
          <w:lang w:val="en-GB"/>
        </w:rPr>
        <w:t>Confocal laser microscopy analysis</w:t>
      </w:r>
    </w:p>
    <w:p w14:paraId="00A603C5" w14:textId="77777777" w:rsidR="00F15E4F" w:rsidRPr="0086508A" w:rsidRDefault="00F15E4F" w:rsidP="00F15E4F">
      <w:pPr>
        <w:spacing w:line="360" w:lineRule="auto"/>
        <w:jc w:val="both"/>
        <w:rPr>
          <w:lang w:val="en-GB"/>
        </w:rPr>
      </w:pPr>
      <w:r w:rsidRPr="0086508A">
        <w:rPr>
          <w:lang w:val="en-GB"/>
        </w:rPr>
        <w:t>Cells (2x10</w:t>
      </w:r>
      <w:r w:rsidRPr="0086508A">
        <w:rPr>
          <w:vertAlign w:val="superscript"/>
          <w:lang w:val="en-GB"/>
        </w:rPr>
        <w:t>4</w:t>
      </w:r>
      <w:r w:rsidRPr="0086508A">
        <w:rPr>
          <w:lang w:val="en-GB"/>
        </w:rPr>
        <w:t xml:space="preserve"> cells per well) were grown in 8 wells imaging chamber with microscope slides (Labtek) </w:t>
      </w:r>
      <w:bookmarkStart w:id="0" w:name="_GoBack"/>
      <w:r w:rsidRPr="0086508A">
        <w:rPr>
          <w:lang w:val="en-GB"/>
        </w:rPr>
        <w:t xml:space="preserve">and grown to 80% confluency. Cells were washed with PBS and fixed with 4% paraformaldehyde </w:t>
      </w:r>
      <w:bookmarkEnd w:id="0"/>
      <w:r w:rsidRPr="0086508A">
        <w:rPr>
          <w:lang w:val="en-GB"/>
        </w:rPr>
        <w:t xml:space="preserve">(PFA) for 20 min at 4°C. Fixing solution was extensively washed out with PBS and 0.1% of Triton-X100 was added to the well and incubated for 5 min at 4°C. After a wash step with PBS, a block buffer (3% BSA in PBS) was added and the plate incubated for 30 min. Wells were washed with PBS and then the primary antibody, which is diluted in block buffer was added to the plate and incubated 1 h or overnight at 4°C. The primary antibody used was a rat anti-human monoclonal antibody CD44/H-Cam (Cat-No MA4400, Thermo Fisher Scientific, UK)(1:300 dilution). Primary antibody was washed out with 4 washes with PBS, then the secondary antibody was added and incubated for 1 h at room temperature. For the secondary antibody Goat anti-Rat IgG-FITC (Cat-N0 sc-2011, Santa Cruz, UK) was used. Following 4 washes with PBS, DAPI (Cat-No R37606, Thermo Fisher Scientific, UK) was added to the well and the plate </w:t>
      </w:r>
      <w:r w:rsidRPr="006214B9">
        <w:rPr>
          <w:lang w:val="en-US"/>
        </w:rPr>
        <w:t>analyzed</w:t>
      </w:r>
      <w:r w:rsidRPr="0086508A">
        <w:rPr>
          <w:lang w:val="en-GB"/>
        </w:rPr>
        <w:t xml:space="preserve"> using a Zeiss LSM 710 confocal microscope. Zen lite 2012 imaging software (Carl Zeiss Ltd, UK) was used for imaging analysis. For each antibody used in the experiments, specific parameters were set in the confocal microscopy, such </w:t>
      </w:r>
      <w:r w:rsidRPr="0086508A">
        <w:rPr>
          <w:lang w:val="en-GB"/>
        </w:rPr>
        <w:lastRenderedPageBreak/>
        <w:t xml:space="preserve">as time of exposure and gain, to ensure that each slide were </w:t>
      </w:r>
      <w:r w:rsidRPr="006214B9">
        <w:rPr>
          <w:lang w:val="en-US"/>
        </w:rPr>
        <w:t>analyzed</w:t>
      </w:r>
      <w:r w:rsidRPr="0086508A">
        <w:rPr>
          <w:lang w:val="en-GB"/>
        </w:rPr>
        <w:t xml:space="preserve"> in the same way. Confocal quantification was performed using ImageJ software.</w:t>
      </w:r>
    </w:p>
    <w:p w14:paraId="7BEB440D" w14:textId="77777777" w:rsidR="00F15E4F" w:rsidRPr="0086508A" w:rsidRDefault="00F15E4F" w:rsidP="00F15E4F">
      <w:pPr>
        <w:spacing w:line="360" w:lineRule="auto"/>
        <w:jc w:val="both"/>
        <w:rPr>
          <w:lang w:val="en-GB"/>
        </w:rPr>
      </w:pPr>
      <w:r w:rsidRPr="0086508A">
        <w:rPr>
          <w:color w:val="000000"/>
          <w:lang w:val="en-GB"/>
        </w:rPr>
        <w:t xml:space="preserve">Ishikawa and Hec50 cell lines were used as </w:t>
      </w:r>
      <w:r w:rsidRPr="0086508A">
        <w:rPr>
          <w:i/>
          <w:color w:val="000000"/>
          <w:lang w:val="en-GB"/>
        </w:rPr>
        <w:t>in vitro</w:t>
      </w:r>
      <w:r w:rsidRPr="0086508A">
        <w:rPr>
          <w:color w:val="000000"/>
          <w:lang w:val="en-GB"/>
        </w:rPr>
        <w:t xml:space="preserve"> models of EC subtypes I and II respectively.</w:t>
      </w:r>
      <w:r w:rsidRPr="0086508A">
        <w:rPr>
          <w:color w:val="000000"/>
          <w:lang w:val="en-GB"/>
        </w:rPr>
        <w:fldChar w:fldCharType="begin" w:fldLock="1"/>
      </w:r>
      <w:r w:rsidRPr="0086508A">
        <w:rPr>
          <w:color w:val="000000"/>
          <w:lang w:val="en-GB"/>
        </w:rPr>
        <w:instrText>ADDIN CSL_CITATION {"citationItems":[{"id":"ITEM-1","itemData":{"DOI":"10.1007/s10616-017-0149-5","ISSN":"0920-9069","PMID":"28988392","abstract":"Endometrial cancer cell lines are critical tools to investigate the molecular mechanism of tumorigenesis using the end point cell-based assay such as proliferation, cytotoxicity, apoptosis, anoikis or migration and invasion. The proper assay optimization and performance is essential for physiologically relevant results interpretation. In this study we use label-free real-time cell analysis platform (xCELLigence) to optimize growing conditions for proliferation and migration experiments of two types of endometrial cancer cell lines HEC-1-B, HEC-1-A, KLE, and Ishikawa. Profiling of cell lines by cell index measurement in proliferation and migration experiments was performed. Our experimental approach allowed us to monitor particular stage of the cell growth, to see the relation between seeding density and dynamic cell growth as well as to choose the optimal serum concentration as chemoattractant in migration experiment. The highest rate of proliferation was shown for Ishikawa cells. The rapid pace of cellular migration was observed in case of KLE and HEC-1-B cells as compared to weak migratory activity of Ishikawa cells. The cell index that reflects the cell status characterized real-time cytological profile of each analyzed cell line. These cell profiles were crucial for better planning the classical end-point assays used in further research.","author":[{"dropping-particle":"","family":"Kozak","given":"Joanna","non-dropping-particle":"","parse-names":false,"suffix":""},{"dropping-particle":"","family":"Wdowiak","given":"Paulina","non-dropping-particle":"","parse-names":false,"suffix":""},{"dropping-particle":"","family":"Maciejewski","given":"Ryszard","non-dropping-particle":"","parse-names":false,"suffix":""},{"dropping-particle":"","family":"Torres","given":"Anna","non-dropping-particle":"","parse-names":false,"suffix":""}],"container-title":"Cytotechnology","id":"ITEM-1","issue":"1","issued":{"date-parts":[["2018","2","7"]]},"page":"339-350","title":"A guide for endometrial cancer cell lines functional assays using the measurements of electronic impedance","type":"article-journal","volume":"70"},"uris":["http://www.mendeley.com/documents/?uuid=f0829eaa-93f6-38c1-903d-83ff679a4a0d"]}],"mendeley":{"formattedCitation":"&lt;sup&gt;[49]&lt;/sup&gt;","plainTextFormattedCitation":"[49]","previouslyFormattedCitation":"&lt;sup&gt;[49]&lt;/sup&gt;"},"properties":{"noteIndex":0},"schema":"https://github.com/citation-style-language/schema/raw/master/csl-citation.json"}</w:instrText>
      </w:r>
      <w:r w:rsidRPr="0086508A">
        <w:rPr>
          <w:color w:val="000000"/>
          <w:lang w:val="en-GB"/>
        </w:rPr>
        <w:fldChar w:fldCharType="separate"/>
      </w:r>
      <w:r w:rsidRPr="0086508A">
        <w:rPr>
          <w:noProof/>
          <w:color w:val="000000"/>
          <w:vertAlign w:val="superscript"/>
          <w:lang w:val="en-GB"/>
        </w:rPr>
        <w:t>[49]</w:t>
      </w:r>
      <w:r w:rsidRPr="0086508A">
        <w:rPr>
          <w:color w:val="000000"/>
          <w:lang w:val="en-GB"/>
        </w:rPr>
        <w:fldChar w:fldCharType="end"/>
      </w:r>
      <w:r w:rsidRPr="0086508A">
        <w:rPr>
          <w:lang w:val="en-GB"/>
        </w:rPr>
        <w:t xml:space="preserve"> ER negative, Type II endometrial carcinomas often present as high-grade serous or clear cell histology, with poor outcome, accounting for 40% of all endometrial cancer associated mortality.</w:t>
      </w:r>
      <w:r w:rsidRPr="0086508A">
        <w:rPr>
          <w:lang w:val="en-GB"/>
        </w:rPr>
        <w:fldChar w:fldCharType="begin" w:fldLock="1"/>
      </w:r>
      <w:r w:rsidRPr="0086508A">
        <w:rPr>
          <w:lang w:val="en-GB"/>
        </w:rPr>
        <w:instrText>ADDIN CSL_CITATION {"citationItems":[{"id":"ITEM-1","itemData":{"author":[{"dropping-particle":"","family":"Lodish H, Berk A, Zipursky SL","given":"et al.","non-dropping-particle":"","parse-names":false,"suffix":""}],"editor":[{"dropping-particle":"","family":"Freeman","given":"W. H.","non-dropping-particle":"","parse-names":false,"suffix":""}],"id":"ITEM-1","issued":{"date-parts":[["2000"]]},"publisher-place":"New York","title":"DNA Damage and Repair and Their Role in Carcinogenesis. Molecular Cell Biology. 4th edition","type":"book"},"uris":["http://www.mendeley.com/documents/?uuid=2449c73c-f8e2-4ab4-9e06-6f1cfb1d2063","http://www.mendeley.com/documents/?uuid=e3ed4659-6ae3-41b1-a42b-d19d57a56dd9"]},{"id":"ITEM-2","itemData":{"author":[{"dropping-particle":"","family":"cancer research UK","given":"","non-dropping-particle":"","parse-names":false,"suffix":""}],"id":"ITEM-2","issued":{"date-parts":[["2016"]]},"title":"Uterine cancer statistics","type":"webpage"},"uris":["http://www.mendeley.com/documents/?uuid=93755653-838a-4e8f-83e9-05fe9ea157b2","http://www.mendeley.com/documents/?uuid=64c6c38b-e14d-41f7-b61b-59c42dc1881c"]}],"mendeley":{"formattedCitation":"&lt;sup&gt;[5,11]&lt;/sup&gt;","plainTextFormattedCitation":"[5,11]","previouslyFormattedCitation":"&lt;sup&gt;[5,11]&lt;/sup&gt;"},"properties":{"noteIndex":0},"schema":"https://github.com/citation-style-language/schema/raw/master/csl-citation.json"}</w:instrText>
      </w:r>
      <w:r w:rsidRPr="0086508A">
        <w:rPr>
          <w:lang w:val="en-GB"/>
        </w:rPr>
        <w:fldChar w:fldCharType="separate"/>
      </w:r>
      <w:r w:rsidRPr="0086508A">
        <w:rPr>
          <w:noProof/>
          <w:vertAlign w:val="superscript"/>
          <w:lang w:val="en-GB"/>
        </w:rPr>
        <w:t>[5,11]</w:t>
      </w:r>
      <w:r w:rsidRPr="0086508A">
        <w:rPr>
          <w:lang w:val="en-GB"/>
        </w:rPr>
        <w:fldChar w:fldCharType="end"/>
      </w:r>
      <w:r w:rsidRPr="0086508A">
        <w:rPr>
          <w:lang w:val="en-GB"/>
        </w:rPr>
        <w:t xml:space="preserve"> We therefore explored whether cell-specific targeting could improve the effectiveness of Pluronic NPs in Hec50 cells. CD44 protein expression was characterized in both Ishikawa and Hec50 cell lines, using confocal laser scanning microscopy (CSLM; see </w:t>
      </w:r>
      <w:r w:rsidRPr="0086508A">
        <w:rPr>
          <w:b/>
          <w:bCs/>
          <w:lang w:val="en-GB"/>
        </w:rPr>
        <w:t>Figure S1</w:t>
      </w:r>
      <w:r w:rsidRPr="0086508A">
        <w:rPr>
          <w:lang w:val="en-GB"/>
        </w:rPr>
        <w:t>). CD44 expression was shown to be consistent throughout the Hec50 population with a relative fluorescence units (RFU) of 0.375 or a cellular RFU of 7.5x10</w:t>
      </w:r>
      <w:r w:rsidRPr="0086508A">
        <w:rPr>
          <w:vertAlign w:val="superscript"/>
          <w:lang w:val="en-GB"/>
        </w:rPr>
        <w:t>-3</w:t>
      </w:r>
      <w:r w:rsidRPr="0086508A">
        <w:rPr>
          <w:lang w:val="en-GB"/>
        </w:rPr>
        <w:t>, demonstrating its potential for NP-HA targeting (</w:t>
      </w:r>
      <w:r w:rsidRPr="0086508A">
        <w:rPr>
          <w:b/>
          <w:lang w:val="en-GB"/>
        </w:rPr>
        <w:t>SF1</w:t>
      </w:r>
      <w:r w:rsidRPr="0086508A">
        <w:rPr>
          <w:lang w:val="en-GB"/>
        </w:rPr>
        <w:t>). In comparison only 43% of Ishikawa cells assessed were shown to be CD44+, with a whole population RFU of 0.204.Notably, this heterogenous expression is highlighted by the increased RFU per cell (10.7x10</w:t>
      </w:r>
      <w:r w:rsidRPr="0086508A">
        <w:rPr>
          <w:vertAlign w:val="superscript"/>
          <w:lang w:val="en-GB"/>
        </w:rPr>
        <w:t>-3</w:t>
      </w:r>
      <w:r w:rsidRPr="0086508A">
        <w:rPr>
          <w:lang w:val="en-GB"/>
        </w:rPr>
        <w:t>).</w:t>
      </w:r>
    </w:p>
    <w:p w14:paraId="0B9E9C5D" w14:textId="77777777" w:rsidR="00F15E4F" w:rsidRPr="0086508A" w:rsidRDefault="00F15E4F" w:rsidP="00F15E4F">
      <w:pPr>
        <w:spacing w:line="360" w:lineRule="auto"/>
        <w:jc w:val="both"/>
        <w:rPr>
          <w:lang w:val="en-GB"/>
        </w:rPr>
      </w:pPr>
    </w:p>
    <w:p w14:paraId="5EE1618B" w14:textId="77777777" w:rsidR="00F15E4F" w:rsidRDefault="00F15E4F" w:rsidP="00F15E4F">
      <w:pPr>
        <w:rPr>
          <w:b/>
          <w:bCs/>
          <w:lang w:val="en-GB"/>
        </w:rPr>
      </w:pPr>
      <w:r>
        <w:rPr>
          <w:b/>
          <w:bCs/>
          <w:lang w:val="en-GB"/>
        </w:rPr>
        <w:br w:type="page"/>
      </w:r>
    </w:p>
    <w:p w14:paraId="0767EF76" w14:textId="1ABCC6E2" w:rsidR="00F15E4F" w:rsidRDefault="00F15E4F" w:rsidP="00F15E4F">
      <w:pPr>
        <w:spacing w:line="360" w:lineRule="auto"/>
        <w:jc w:val="both"/>
        <w:rPr>
          <w:b/>
          <w:bCs/>
          <w:lang w:val="en-GB"/>
        </w:rPr>
      </w:pPr>
    </w:p>
    <w:p w14:paraId="395A2CCD" w14:textId="77777777" w:rsidR="00F15E4F" w:rsidRPr="0086508A" w:rsidRDefault="00F15E4F" w:rsidP="00F15E4F">
      <w:pPr>
        <w:spacing w:line="360" w:lineRule="auto"/>
        <w:jc w:val="both"/>
        <w:rPr>
          <w:lang w:val="en-GB"/>
        </w:rPr>
      </w:pPr>
      <w:r>
        <w:rPr>
          <w:b/>
          <w:bCs/>
          <w:lang w:val="en-GB"/>
        </w:rPr>
        <w:t>Supplementary</w:t>
      </w:r>
      <w:r w:rsidRPr="0086508A">
        <w:rPr>
          <w:b/>
          <w:bCs/>
          <w:lang w:val="en-GB"/>
        </w:rPr>
        <w:t xml:space="preserve"> material 2. </w:t>
      </w:r>
      <w:r w:rsidRPr="0086508A">
        <w:rPr>
          <w:lang w:val="en-GB"/>
        </w:rPr>
        <w:t>((</w:t>
      </w:r>
      <w:r w:rsidRPr="0086508A">
        <w:rPr>
          <w:b/>
          <w:bCs/>
          <w:lang w:val="en-GB"/>
        </w:rPr>
        <w:t xml:space="preserve">Propidium Iodide (PI) - NP uptake by Ishikawa cell line. </w:t>
      </w:r>
    </w:p>
    <w:p w14:paraId="53759162" w14:textId="4D4999F8" w:rsidR="00F15E4F" w:rsidRDefault="00F15E4F" w:rsidP="00F15E4F">
      <w:pPr>
        <w:spacing w:line="360" w:lineRule="auto"/>
        <w:jc w:val="both"/>
        <w:rPr>
          <w:lang w:val="en-GB"/>
        </w:rPr>
      </w:pPr>
      <w:r w:rsidRPr="0086508A">
        <w:rPr>
          <w:lang w:val="en-GB"/>
        </w:rPr>
        <w:t xml:space="preserve">Z stack images taken using confocal microscopy </w:t>
      </w:r>
      <w:r w:rsidRPr="0086508A">
        <w:rPr>
          <w:b/>
          <w:bCs/>
          <w:lang w:val="en-GB"/>
        </w:rPr>
        <w:t>(</w:t>
      </w:r>
      <w:r>
        <w:rPr>
          <w:b/>
          <w:bCs/>
          <w:lang w:val="en-GB"/>
        </w:rPr>
        <w:t>a</w:t>
      </w:r>
      <w:r w:rsidRPr="0086508A">
        <w:rPr>
          <w:b/>
          <w:bCs/>
          <w:lang w:val="en-GB"/>
        </w:rPr>
        <w:t xml:space="preserve">) </w:t>
      </w:r>
      <w:r w:rsidRPr="0086508A">
        <w:rPr>
          <w:lang w:val="en-GB"/>
        </w:rPr>
        <w:t xml:space="preserve">Individual channels and merge showing presence of intercellular PI </w:t>
      </w:r>
      <w:r w:rsidRPr="0086508A">
        <w:rPr>
          <w:b/>
          <w:bCs/>
          <w:lang w:val="en-GB"/>
        </w:rPr>
        <w:t>(</w:t>
      </w:r>
      <w:r>
        <w:rPr>
          <w:b/>
          <w:bCs/>
          <w:lang w:val="en-GB"/>
        </w:rPr>
        <w:t>b</w:t>
      </w:r>
      <w:r w:rsidRPr="0086508A">
        <w:rPr>
          <w:b/>
          <w:bCs/>
          <w:lang w:val="en-GB"/>
        </w:rPr>
        <w:t xml:space="preserve">) </w:t>
      </w:r>
      <w:r w:rsidRPr="0086508A">
        <w:rPr>
          <w:lang w:val="en-GB"/>
        </w:rPr>
        <w:t>PI localization, images are all channels merged. Images of Ishikawa cells</w:t>
      </w:r>
      <w:r w:rsidRPr="0086508A">
        <w:rPr>
          <w:b/>
          <w:bCs/>
          <w:lang w:val="en-GB"/>
        </w:rPr>
        <w:t xml:space="preserve"> (</w:t>
      </w:r>
      <w:r>
        <w:rPr>
          <w:b/>
          <w:bCs/>
          <w:lang w:val="en-GB"/>
        </w:rPr>
        <w:t>c</w:t>
      </w:r>
      <w:r w:rsidRPr="0086508A">
        <w:rPr>
          <w:b/>
          <w:bCs/>
          <w:lang w:val="en-GB"/>
        </w:rPr>
        <w:t>)</w:t>
      </w:r>
      <w:r w:rsidRPr="0086508A">
        <w:rPr>
          <w:lang w:val="en-GB"/>
        </w:rPr>
        <w:t xml:space="preserve"> treated with 0.4μM PI following permeabilization, 0.4μM PI, 0.4μM PI nanoparticles. DAPI = Blue, Red = Propidium Iodide. Scale bar 50μm. Frequency of Propidium Iodide presence in Ishikawa cell line model treated with 70% methanol followed with free PI (permeabilized positive control; PC – black); free PI (control; PI – grey) and PI </w:t>
      </w:r>
      <w:proofErr w:type="spellStart"/>
      <w:r w:rsidRPr="0086508A">
        <w:rPr>
          <w:lang w:val="en-GB"/>
        </w:rPr>
        <w:t>en</w:t>
      </w:r>
      <w:proofErr w:type="spellEnd"/>
      <w:r w:rsidR="00EF643B">
        <w:rPr>
          <w:noProof/>
          <w:lang w:val="en-GB"/>
        </w:rPr>
        <w:drawing>
          <wp:inline distT="0" distB="0" distL="0" distR="0" wp14:anchorId="75D7F0C6" wp14:editId="3C671F5C">
            <wp:extent cx="6460518" cy="27882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85204" cy="2798939"/>
                    </a:xfrm>
                    <a:prstGeom prst="rect">
                      <a:avLst/>
                    </a:prstGeom>
                    <a:noFill/>
                  </pic:spPr>
                </pic:pic>
              </a:graphicData>
            </a:graphic>
          </wp:inline>
        </w:drawing>
      </w:r>
      <w:r w:rsidRPr="0086508A">
        <w:rPr>
          <w:lang w:val="en-GB"/>
        </w:rPr>
        <w:t>capsulated (NP PI – white).))</w:t>
      </w:r>
    </w:p>
    <w:p w14:paraId="7F295232" w14:textId="77777777" w:rsidR="00EF643B" w:rsidRPr="0086508A" w:rsidRDefault="00EF643B" w:rsidP="00F15E4F">
      <w:pPr>
        <w:spacing w:line="360" w:lineRule="auto"/>
        <w:jc w:val="both"/>
        <w:rPr>
          <w:lang w:val="en-GB"/>
        </w:rPr>
      </w:pPr>
    </w:p>
    <w:p w14:paraId="60573F6E" w14:textId="77777777" w:rsidR="00F15E4F" w:rsidRPr="0086508A" w:rsidRDefault="00F15E4F" w:rsidP="00F15E4F">
      <w:pPr>
        <w:pStyle w:val="Heading3"/>
        <w:numPr>
          <w:ilvl w:val="0"/>
          <w:numId w:val="0"/>
        </w:numPr>
        <w:spacing w:before="0"/>
        <w:ind w:left="720" w:hanging="720"/>
        <w:rPr>
          <w:rFonts w:ascii="Times New Roman" w:eastAsia="Times New Roman" w:hAnsi="Times New Roman" w:cs="Times New Roman"/>
          <w:b/>
          <w:color w:val="auto"/>
        </w:rPr>
      </w:pPr>
      <w:r w:rsidRPr="0086508A">
        <w:rPr>
          <w:rFonts w:ascii="Times New Roman" w:eastAsia="Times New Roman" w:hAnsi="Times New Roman" w:cs="Times New Roman"/>
          <w:b/>
          <w:color w:val="auto"/>
        </w:rPr>
        <w:t>Immunofluorescence analysis</w:t>
      </w:r>
    </w:p>
    <w:p w14:paraId="0E294F35" w14:textId="77777777" w:rsidR="00F15E4F" w:rsidRPr="0086508A" w:rsidRDefault="00F15E4F" w:rsidP="00F15E4F">
      <w:pPr>
        <w:spacing w:line="360" w:lineRule="auto"/>
        <w:jc w:val="both"/>
        <w:rPr>
          <w:lang w:val="en-GB"/>
        </w:rPr>
      </w:pPr>
      <w:r w:rsidRPr="0086508A">
        <w:rPr>
          <w:lang w:val="en-GB"/>
        </w:rPr>
        <w:t>Cells (2x10</w:t>
      </w:r>
      <w:r w:rsidRPr="0086508A">
        <w:rPr>
          <w:vertAlign w:val="superscript"/>
          <w:lang w:val="en-GB"/>
        </w:rPr>
        <w:t>4</w:t>
      </w:r>
      <w:r w:rsidRPr="0086508A">
        <w:rPr>
          <w:lang w:val="en-GB"/>
        </w:rPr>
        <w:t xml:space="preserve"> cells per well) were grown in 8 wells imaging chamber with microscope slides (Labtek) and </w:t>
      </w:r>
      <w:proofErr w:type="spellStart"/>
      <w:r>
        <w:rPr>
          <w:lang w:val="en-GB"/>
        </w:rPr>
        <w:t>analyze</w:t>
      </w:r>
      <w:r w:rsidRPr="0086508A">
        <w:rPr>
          <w:lang w:val="en-GB"/>
        </w:rPr>
        <w:t>d</w:t>
      </w:r>
      <w:proofErr w:type="spellEnd"/>
      <w:r w:rsidRPr="0086508A">
        <w:rPr>
          <w:lang w:val="en-GB"/>
        </w:rPr>
        <w:t xml:space="preserve"> using a Zeiss LSM 710 confocal microscope or IN CELL </w:t>
      </w:r>
      <w:proofErr w:type="spellStart"/>
      <w:r>
        <w:rPr>
          <w:lang w:val="en-GB"/>
        </w:rPr>
        <w:t>analyze</w:t>
      </w:r>
      <w:r w:rsidRPr="0086508A">
        <w:rPr>
          <w:lang w:val="en-GB"/>
        </w:rPr>
        <w:t>r</w:t>
      </w:r>
      <w:proofErr w:type="spellEnd"/>
      <w:r w:rsidRPr="0086508A">
        <w:rPr>
          <w:lang w:val="en-GB"/>
        </w:rPr>
        <w:t xml:space="preserve"> 2200 (GE Healthcare, UK). Propidium iodide (Sigma-Aldrich) free and encapsulated in the micelle were used as treatments at a concentration of 0.4 mg/mL. After 48 h incubation at 37°C, 70% methanol were added for 5 mins to a well containing only cells and used as a positive control. After treatment, the wells were washed with PBS and fixed with 4% PFA (paraformaldehyde) for 10 min at 4°C. All fixative was removed, and the cells stained with DAPI (Life Technologies; 0.5 μg/ml) for 10 min before analysis. Image data was recorded in two emission spectra channels; DAPI nuclear (Channel 1 ʎ 470 nm) and Texas Red for propidium iodide (Channel 2 ʎ 620nm). A total of 3x10</w:t>
      </w:r>
      <w:r w:rsidRPr="0086508A">
        <w:rPr>
          <w:vertAlign w:val="superscript"/>
          <w:lang w:val="en-GB"/>
        </w:rPr>
        <w:t>4</w:t>
      </w:r>
      <w:r w:rsidRPr="0086508A">
        <w:rPr>
          <w:lang w:val="en-GB"/>
        </w:rPr>
        <w:t>cells (30 images of approx. 1x10</w:t>
      </w:r>
      <w:r w:rsidRPr="0086508A">
        <w:rPr>
          <w:vertAlign w:val="superscript"/>
          <w:lang w:val="en-GB"/>
        </w:rPr>
        <w:t>3</w:t>
      </w:r>
      <w:r w:rsidRPr="0086508A">
        <w:rPr>
          <w:lang w:val="en-GB"/>
        </w:rPr>
        <w:t xml:space="preserve"> cells) were obtained using a 20x objective, across a random distribution of the fields, excluding regions of the centre or edge of the well. Image analysis was performed using IN Cell Analyzer Workstation 3.5 software (IN Cell Investigator, GE Healthcare, UK). Briefly, an object segmentation feature masked the nuclei by segmenting on the basis of intensity in the DAPI </w:t>
      </w:r>
      <w:r w:rsidRPr="0086508A">
        <w:rPr>
          <w:lang w:val="en-GB"/>
        </w:rPr>
        <w:lastRenderedPageBreak/>
        <w:t xml:space="preserve">channel. The high contrast in fluorescence output between the nuclear material and background facilitated efficient separation of nuclei against background. The masked bitmap was eroded in order to separate clumped nuclei prevalent in the monolayer and initial segmentation repeated as above, to separate nuclei in close proximity as individual objects using the eroded mask from the previous step. A 10 μm collar drawn around the nuclear mask isolated the cytoplasmic region of each cell. Fluorescence output in absolute grey levels was recorded pixel by pixel across the cell area mask and each cell was assigned a value for the propidium iodide expression based upon the average pixel fluorescence in the area. The software allows for calculation of total cellular fluorescence and the frequency of appearance was plotted for each treatment. </w:t>
      </w:r>
    </w:p>
    <w:p w14:paraId="61D05B79" w14:textId="77777777" w:rsidR="00F15E4F" w:rsidRPr="0086508A" w:rsidRDefault="00F15E4F" w:rsidP="00F15E4F">
      <w:pPr>
        <w:spacing w:line="360" w:lineRule="auto"/>
        <w:jc w:val="both"/>
        <w:rPr>
          <w:b/>
          <w:bCs/>
          <w:lang w:val="en-GB"/>
        </w:rPr>
      </w:pPr>
      <w:r w:rsidRPr="0086508A">
        <w:rPr>
          <w:b/>
          <w:bCs/>
          <w:lang w:val="en-GB"/>
        </w:rPr>
        <w:t>Confocal laser microscopy analysis</w:t>
      </w:r>
    </w:p>
    <w:p w14:paraId="11522C24" w14:textId="77777777" w:rsidR="00F15E4F" w:rsidRPr="0086508A" w:rsidRDefault="00F15E4F" w:rsidP="00F15E4F">
      <w:pPr>
        <w:spacing w:line="360" w:lineRule="auto"/>
        <w:jc w:val="both"/>
        <w:rPr>
          <w:lang w:val="en-GB"/>
        </w:rPr>
      </w:pPr>
      <w:r w:rsidRPr="0086508A">
        <w:rPr>
          <w:lang w:val="en-GB"/>
        </w:rPr>
        <w:t xml:space="preserve">Cell samples were prepared and treated as above. The plate </w:t>
      </w:r>
      <w:proofErr w:type="spellStart"/>
      <w:r>
        <w:rPr>
          <w:lang w:val="en-GB"/>
        </w:rPr>
        <w:t>analyze</w:t>
      </w:r>
      <w:r w:rsidRPr="0086508A">
        <w:rPr>
          <w:lang w:val="en-GB"/>
        </w:rPr>
        <w:t>d</w:t>
      </w:r>
      <w:proofErr w:type="spellEnd"/>
      <w:r w:rsidRPr="0086508A">
        <w:rPr>
          <w:lang w:val="en-GB"/>
        </w:rPr>
        <w:t xml:space="preserve"> using a Zeiss LSM 710 confocal microscope. Zen lite 2012 imaging software (Carl Zeiss Ltd, UK) was used for imaging analysis. Confocal quantification was performed using ImageJ software.</w:t>
      </w:r>
    </w:p>
    <w:p w14:paraId="18742C3C" w14:textId="77777777" w:rsidR="00F15E4F" w:rsidRPr="0086508A" w:rsidRDefault="00F15E4F" w:rsidP="00F15E4F">
      <w:pPr>
        <w:spacing w:line="360" w:lineRule="auto"/>
        <w:jc w:val="both"/>
        <w:rPr>
          <w:lang w:val="en-GB"/>
        </w:rPr>
      </w:pPr>
      <w:r w:rsidRPr="0086508A">
        <w:rPr>
          <w:i/>
          <w:lang w:val="en-GB"/>
        </w:rPr>
        <w:t xml:space="preserve">In vitro </w:t>
      </w:r>
      <w:r w:rsidRPr="0086508A">
        <w:rPr>
          <w:lang w:val="en-GB"/>
        </w:rPr>
        <w:t xml:space="preserve">stability and uptake of NP- F-127 was assessed using propidium iodide uptake assays. Propidium iodide was encapsulated to the F-127 micelle during fabrication, and these fluorescent micelles used to quantify cellular internalisation. Propidium iodide cannot penetrate intact membranes without the F-127 carrier therefore the fluorescence is only observed following NPs were fabricated as described, substituting SAHA for propidium iodide to enable NP tracking, cellular internalisation and uptake. </w:t>
      </w:r>
    </w:p>
    <w:p w14:paraId="3BD1B464" w14:textId="4080248A" w:rsidR="00F15E4F" w:rsidRPr="0086508A" w:rsidRDefault="00F15E4F" w:rsidP="00F15E4F">
      <w:pPr>
        <w:spacing w:line="360" w:lineRule="auto"/>
        <w:jc w:val="both"/>
        <w:rPr>
          <w:lang w:val="en-GB"/>
        </w:rPr>
      </w:pPr>
      <w:r w:rsidRPr="0086508A">
        <w:rPr>
          <w:lang w:val="en-GB"/>
        </w:rPr>
        <w:t>The presence of propidium iodide across the whole cell was initially determined by confocal microscopy (</w:t>
      </w:r>
      <w:r w:rsidRPr="0086508A">
        <w:rPr>
          <w:b/>
          <w:lang w:val="en-GB"/>
        </w:rPr>
        <w:t>Figure S2</w:t>
      </w:r>
      <w:r>
        <w:rPr>
          <w:b/>
          <w:lang w:val="en-GB"/>
        </w:rPr>
        <w:t>a</w:t>
      </w:r>
      <w:r w:rsidRPr="0086508A">
        <w:rPr>
          <w:lang w:val="en-GB"/>
        </w:rPr>
        <w:t xml:space="preserve">), and clearly demonstrated the effective internalisation of NPs, with staining observed in both nuclear (counter stained with DAPI) and cytoplasmic areas. While single cell analysis is important for monitoring particle sub cellular localisation, cancer cells in culture demonstrate cross population heterogeneity in terms of cell cycle progression, levels of viability/apoptosis </w:t>
      </w:r>
      <w:r w:rsidRPr="0086508A">
        <w:rPr>
          <w:lang w:val="en-GB"/>
        </w:rPr>
        <w:fldChar w:fldCharType="begin" w:fldLock="1"/>
      </w:r>
      <w:r w:rsidRPr="0086508A">
        <w:rPr>
          <w:lang w:val="en-GB"/>
        </w:rPr>
        <w:instrText>ADDIN CSL_CITATION {"citationItems":[{"id":"ITEM-1","itemData":{"DOI":"10.1073/pnas.1409797111","ISSN":"10916490","abstract":"Phenotypic heterogeneity within a population of genetically identical cells is emerging as a common theme in multiple biological systems, including human cell biology and cancer. Using live-cell imaging, flow cytometry, and kinetic modeling, we showed that two states - quiescence and cell cycling-can coexist within an isogenic population of human cells and resulted from low basal expression levels of p21, a Cyclin - dependent kinase (CDK) inhibitor (CKI). We attribute the p21-dependent heterogeneity in cell cycle activity to double-negative feedback regulation involving CDK2, p21, and E3 ubiquitin ligases. In support of this mechanism, analysis of cells at a point before cell cycle entry (i.e., before the G1/S transition) revealed a p21-CDK2 axis that determines quiescent and cycling cell states. Our findings suggest a mechanistic role for p21 in generating heterogeneity in both normal tissues and tumors.","author":[{"dropping-particle":"","family":"Wesley Overton","given":"K.","non-dropping-particle":"","parse-names":false,"suffix":""},{"dropping-particle":"","family":"Spencer","given":"Sabrina L.","non-dropping-particle":"","parse-names":false,"suffix":""},{"dropping-particle":"","family":"Noderer","given":"William L.","non-dropping-particle":"","parse-names":false,"suffix":""},{"dropping-particle":"","family":"Meyer","given":"Tobias","non-dropping-particle":"","parse-names":false,"suffix":""},{"dropping-particle":"","family":"Wang","given":"Clifford L.","non-dropping-particle":"","parse-names":false,"suffix":""}],"container-title":"Proceedings of the National Academy of Sciences of the United States of America","id":"ITEM-1","issue":"41","issued":{"date-parts":[["2014","10","14"]]},"page":"E4386-E4393","publisher":"National Academy of Sciences","title":"Basal p21 controls population heterogeneity in cycling and quiescent cell cycle states","type":"article-journal","volume":"111"},"uris":["http://www.mendeley.com/documents/?uuid=73054795-fb8b-311d-9d54-6ac5363b39ad"]}],"mendeley":{"formattedCitation":"&lt;sup&gt;[96]&lt;/sup&gt;","plainTextFormattedCitation":"[96]","previouslyFormattedCitation":"&lt;sup&gt;[96]&lt;/sup&gt;"},"properties":{"noteIndex":0},"schema":"https://github.com/citation-style-language/schema/raw/master/csl-citation.json"}</w:instrText>
      </w:r>
      <w:r w:rsidRPr="0086508A">
        <w:rPr>
          <w:lang w:val="en-GB"/>
        </w:rPr>
        <w:fldChar w:fldCharType="separate"/>
      </w:r>
      <w:r w:rsidRPr="0086508A">
        <w:rPr>
          <w:noProof/>
          <w:vertAlign w:val="superscript"/>
          <w:lang w:val="en-GB"/>
        </w:rPr>
        <w:t>[96]</w:t>
      </w:r>
      <w:r w:rsidRPr="0086508A">
        <w:rPr>
          <w:lang w:val="en-GB"/>
        </w:rPr>
        <w:fldChar w:fldCharType="end"/>
      </w:r>
      <w:r w:rsidRPr="0086508A">
        <w:rPr>
          <w:lang w:val="en-GB"/>
        </w:rPr>
        <w:t xml:space="preserve">. High content </w:t>
      </w:r>
      <w:r>
        <w:rPr>
          <w:lang w:val="en-GB"/>
        </w:rPr>
        <w:t>analyse</w:t>
      </w:r>
      <w:r w:rsidRPr="0086508A">
        <w:rPr>
          <w:lang w:val="en-GB"/>
        </w:rPr>
        <w:t xml:space="preserve">s was used to monitor F-127 internalisation across the cellular population using the automated multiple field of view capabilities of the In Cell 2000 microscope </w:t>
      </w:r>
      <w:r w:rsidRPr="0086508A">
        <w:rPr>
          <w:lang w:val="en-GB"/>
        </w:rPr>
        <w:fldChar w:fldCharType="begin" w:fldLock="1"/>
      </w:r>
      <w:r w:rsidRPr="0086508A">
        <w:rPr>
          <w:lang w:val="en-GB"/>
        </w:rPr>
        <w:instrText>ADDIN CSL_CITATION {"citationItems":[{"id":"ITEM-1","itemData":{"DOI":"10.1371/journal.pone.0201747","ISSN":"19326203","abstract":"Leishmania parasites cause a set of neglected tropical diseases with considerable public health impact, the leishmaniases, which are often fatal if left untreated. Since current treatments for the leishmaniases exhibit high toxicity, low efficacy and prohibitive prices, many laboratories throughout the world are engaged in research for the discovery of novel chemotherapeutics. This entails the necessity of screening large numbers of compounds against the clinically relevant form of the parasite, the obligatory intracellular amastigote, a procedure that in many laboratories is still carried out by manual inspection. To overcome this well-known bottleneck in Leishmania drug development, several studies have recently attempted to automate this process. Here we implemented an image-based high content triage assay for Leishmania which has the added advantages of using primary macrophages instead of macrophage cell lines and of enabling identification of active compounds against parasite species developing both in small individual phagolysosomes (such as L. infantum) and in large communal vacuoles (such as L. amazonensis). The automated image analysis protocol is made available for IN Cell Analyzer systems, and, importantly, also for the open-source CellProfiler software, in this way extending its implementation to any laboratory involved in drug development as well as in other aspects of Leishmania research requiring analysis of in vitro infected macrophages.","author":[{"dropping-particle":"","family":"Gomes-Alves","given":"Ana G.","non-dropping-particle":"","parse-names":false,"suffix":""},{"dropping-particle":"","family":"Maia","given":"André F.","non-dropping-particle":"","parse-names":false,"suffix":""},{"dropping-particle":"","family":"Cruz","given":"Tânia","non-dropping-particle":"","parse-names":false,"suffix":""},{"dropping-particle":"","family":"Castro","given":"Helena","non-dropping-particle":"","parse-names":false,"suffix":""},{"dropping-particle":"","family":"Tomás","given":"Ana M.","non-dropping-particle":"","parse-names":false,"suffix":""}],"container-title":"PLoS ONE","id":"ITEM-1","issued":{"date-parts":[["2018"]]},"title":"Development of an automated image analysis protocol for quantification of intracellular forms of Leishmania spp.","type":"article-journal"},"uris":["http://www.mendeley.com/documents/?uuid=243bbeea-80de-45d3-a943-411db385b3d2","http://www.mendeley.com/documents/?uuid=46b539a6-50ac-4684-88c0-dcae821a6801"]}],"mendeley":{"formattedCitation":"&lt;sup&gt;[61]&lt;/sup&gt;","plainTextFormattedCitation":"[61]","previouslyFormattedCitation":"&lt;sup&gt;[61]&lt;/sup&gt;"},"properties":{"noteIndex":0},"schema":"https://github.com/citation-style-language/schema/raw/master/csl-citation.json"}</w:instrText>
      </w:r>
      <w:r w:rsidRPr="0086508A">
        <w:rPr>
          <w:lang w:val="en-GB"/>
        </w:rPr>
        <w:fldChar w:fldCharType="separate"/>
      </w:r>
      <w:r w:rsidRPr="0086508A">
        <w:rPr>
          <w:noProof/>
          <w:vertAlign w:val="superscript"/>
          <w:lang w:val="en-GB"/>
        </w:rPr>
        <w:t>[61]</w:t>
      </w:r>
      <w:r w:rsidRPr="0086508A">
        <w:rPr>
          <w:lang w:val="en-GB"/>
        </w:rPr>
        <w:fldChar w:fldCharType="end"/>
      </w:r>
      <w:r w:rsidRPr="0086508A">
        <w:rPr>
          <w:lang w:val="en-GB"/>
        </w:rPr>
        <w:t>. Akin to an adherent tumour cell FACS analysis, the In Cell 2000 enabling the analysis of a minimum of 1x10</w:t>
      </w:r>
      <w:r w:rsidRPr="0086508A">
        <w:rPr>
          <w:vertAlign w:val="superscript"/>
          <w:lang w:val="en-GB"/>
        </w:rPr>
        <w:t>5</w:t>
      </w:r>
      <w:r w:rsidRPr="0086508A">
        <w:rPr>
          <w:lang w:val="en-GB"/>
        </w:rPr>
        <w:t xml:space="preserve"> cells/condition, while bypassing the need to disrupt the adherent tumour cell model </w:t>
      </w:r>
      <w:r w:rsidRPr="0086508A">
        <w:rPr>
          <w:lang w:val="en-GB"/>
        </w:rPr>
        <w:fldChar w:fldCharType="begin" w:fldLock="1"/>
      </w:r>
      <w:r w:rsidRPr="0086508A">
        <w:rPr>
          <w:lang w:val="en-GB"/>
        </w:rPr>
        <w:instrText>ADDIN CSL_CITATION {"citationItems":[{"id":"ITEM-1","itemData":{"DOI":"10.1017/S1431927612014067","ISSN":"14319276","abstract":"We report the development of a method to analyze receptor and β-arrestin2 mobilization between Class A and B GPCRs via time-resolved fluorescent microscopy coupled with semiautomated high-content multiparametric analysis. Using transiently expressed, tagged β2-adrenergic receptor (β₂-AR) or parathyroid hormone receptor type 1 (PTH₁R), we quantified trafficking of the receptors along with the mobilization and colocalization of coexpressed tagged β-arrestin2. This classification system allows for exclusion of cells with nonoptimal characteristics and calculation of multiple morphological and spatial parameters including receptor endosome formation, β-arrestin mobilization, colocalization, areas, and shape. Stimulated Class A and B receptors demonstrate dramatically different patterns with regard to β-arrestin interactions. The method provides high kinetic resolution measurement of receptor translocation, which allows for the identification of the fleeting β-arrestin interaction found with β₂-AR agonist stimulation, in contrast to stronger mobilization and receptor colocalization with agonist stimulation of the PTH₁R. Though especially appropriate for receptor kinetic studies, this method is generalizable to any dual fluorescence probe system in which quantification of object formation and movement is desired. These methodologies allow for quantitative, unbiased measurement of microscopy data and are further enhanced by providing real-time kinetics.","author":[{"dropping-particle":"","family":"Leonard","given":"Anthony P.","non-dropping-particle":"","parse-names":false,"suffix":""},{"dropping-particle":"","family":"Appleton","given":"Kathryn M.","non-dropping-particle":"","parse-names":false,"suffix":""},{"dropping-particle":"","family":"Luttrell","given":"Louis M.","non-dropping-particle":"","parse-names":false,"suffix":""},{"dropping-particle":"","family":"Peterson","given":"Yuri K.","non-dropping-particle":"","parse-names":false,"suffix":""}],"container-title":"Microscopy and Microanalysis","id":"ITEM-1","issued":{"date-parts":[["2013"]]},"title":"A high-content, live-cell, and real-time approach to the quantitation of ligand-induced β-arrestin2 and class a/class b GPCR mobilization","type":"article-journal"},"uris":["http://www.mendeley.com/documents/?uuid=35914bbb-5750-48f4-a3c8-d004fa49951b","http://www.mendeley.com/documents/?uuid=a5646213-fb8c-4ba7-b14f-1a66cc061b6e"]},{"id":"ITEM-2","itemData":{"DOI":"10.1371/journal.pone.0201747","ISSN":"19326203","abstract":"Leishmania parasites cause a set of neglected tropical diseases with considerable public health impact, the leishmaniases, which are often fatal if left untreated. Since current treatments for the leishmaniases exhibit high toxicity, low efficacy and prohibitive prices, many laboratories throughout the world are engaged in research for the discovery of novel chemotherapeutics. This entails the necessity of screening large numbers of compounds against the clinically relevant form of the parasite, the obligatory intracellular amastigote, a procedure that in many laboratories is still carried out by manual inspection. To overcome this well-known bottleneck in Leishmania drug development, several studies have recently attempted to automate this process. Here we implemented an image-based high content triage assay for Leishmania which has the added advantages of using primary macrophages instead of macrophage cell lines and of enabling identification of active compounds against parasite species developing both in small individual phagolysosomes (such as L. infantum) and in large communal vacuoles (such as L. amazonensis). The automated image analysis protocol is made available for IN Cell Analyzer systems, and, importantly, also for the open-source CellProfiler software, in this way extending its implementation to any laboratory involved in drug development as well as in other aspects of Leishmania research requiring analysis of in vitro infected macrophages.","author":[{"dropping-particle":"","family":"Gomes-Alves","given":"Ana G.","non-dropping-particle":"","parse-names":false,"suffix":""},{"dropping-particle":"","family":"Maia","given":"André F.","non-dropping-particle":"","parse-names":false,"suffix":""},{"dropping-particle":"","family":"Cruz","given":"Tânia","non-dropping-particle":"","parse-names":false,"suffix":""},{"dropping-particle":"","family":"Castro","given":"Helena","non-dropping-particle":"","parse-names":false,"suffix":""},{"dropping-particle":"","family":"Tomás","given":"Ana M.","non-dropping-particle":"","parse-names":false,"suffix":""}],"container-title":"PLoS ONE","id":"ITEM-2","issued":{"date-parts":[["2018"]]},"title":"Development of an automated image analysis protocol for quantification of intracellular forms of Leishmania spp.","type":"article-journal"},"uris":["http://www.mendeley.com/documents/?uuid=46b539a6-50ac-4684-88c0-dcae821a6801","http://www.mendeley.com/documents/?uuid=243bbeea-80de-45d3-a943-411db385b3d2"]}],"mendeley":{"formattedCitation":"&lt;sup&gt;[61,63]&lt;/sup&gt;","plainTextFormattedCitation":"[61,63]","previouslyFormattedCitation":"&lt;sup&gt;[61,63]&lt;/sup&gt;"},"properties":{"noteIndex":0},"schema":"https://github.com/citation-style-language/schema/raw/master/csl-citation.json"}</w:instrText>
      </w:r>
      <w:r w:rsidRPr="0086508A">
        <w:rPr>
          <w:lang w:val="en-GB"/>
        </w:rPr>
        <w:fldChar w:fldCharType="separate"/>
      </w:r>
      <w:r w:rsidRPr="0086508A">
        <w:rPr>
          <w:noProof/>
          <w:vertAlign w:val="superscript"/>
          <w:lang w:val="en-GB"/>
        </w:rPr>
        <w:t>[61,63]</w:t>
      </w:r>
      <w:r w:rsidRPr="0086508A">
        <w:rPr>
          <w:lang w:val="en-GB"/>
        </w:rPr>
        <w:fldChar w:fldCharType="end"/>
      </w:r>
      <w:r w:rsidRPr="0086508A">
        <w:rPr>
          <w:lang w:val="en-GB"/>
        </w:rPr>
        <w:t>.  Propidium iodide fluorescence was observed in 22% NP treated cells; a four-fold increase in frequency of fluorescence compared to propidium iodide alone (5%) (</w:t>
      </w:r>
      <w:r w:rsidRPr="0086508A">
        <w:rPr>
          <w:b/>
          <w:lang w:val="en-GB"/>
        </w:rPr>
        <w:t>Figure 2</w:t>
      </w:r>
      <w:r>
        <w:rPr>
          <w:b/>
          <w:lang w:val="en-GB"/>
        </w:rPr>
        <w:t>b</w:t>
      </w:r>
      <w:r w:rsidRPr="0086508A">
        <w:rPr>
          <w:b/>
          <w:lang w:val="en-GB"/>
        </w:rPr>
        <w:t>)</w:t>
      </w:r>
      <w:r w:rsidRPr="0086508A">
        <w:rPr>
          <w:lang w:val="en-GB"/>
        </w:rPr>
        <w:t>, demonstrating NP internalisation and retention.</w:t>
      </w:r>
    </w:p>
    <w:p w14:paraId="77023BD0" w14:textId="77777777" w:rsidR="00F15E4F" w:rsidRPr="0086508A" w:rsidRDefault="00F15E4F" w:rsidP="00F15E4F">
      <w:pPr>
        <w:spacing w:line="360" w:lineRule="auto"/>
        <w:jc w:val="both"/>
        <w:rPr>
          <w:lang w:val="en-GB"/>
        </w:rPr>
      </w:pPr>
    </w:p>
    <w:p w14:paraId="2BBD9273" w14:textId="77777777" w:rsidR="00F15E4F" w:rsidRDefault="00F15E4F" w:rsidP="00F15E4F">
      <w:pPr>
        <w:rPr>
          <w:b/>
          <w:bCs/>
          <w:lang w:val="en-GB"/>
        </w:rPr>
      </w:pPr>
      <w:r>
        <w:rPr>
          <w:b/>
          <w:bCs/>
          <w:lang w:val="en-GB"/>
        </w:rPr>
        <w:br w:type="page"/>
      </w:r>
    </w:p>
    <w:p w14:paraId="22A8113B" w14:textId="0B0161A4" w:rsidR="00F15E4F" w:rsidRDefault="00F15E4F" w:rsidP="00F15E4F">
      <w:pPr>
        <w:spacing w:line="360" w:lineRule="auto"/>
        <w:jc w:val="center"/>
        <w:rPr>
          <w:b/>
          <w:bCs/>
          <w:lang w:val="en-GB"/>
        </w:rPr>
      </w:pPr>
    </w:p>
    <w:p w14:paraId="24A9DAE7" w14:textId="7A343AC4" w:rsidR="00F15E4F" w:rsidRPr="0086508A" w:rsidRDefault="00F15E4F" w:rsidP="00F15E4F">
      <w:pPr>
        <w:spacing w:line="360" w:lineRule="auto"/>
        <w:jc w:val="both"/>
        <w:rPr>
          <w:lang w:val="en-GB"/>
        </w:rPr>
      </w:pPr>
      <w:r>
        <w:rPr>
          <w:b/>
          <w:bCs/>
          <w:lang w:val="en-GB"/>
        </w:rPr>
        <w:t>Supplementary</w:t>
      </w:r>
      <w:r w:rsidRPr="0086508A">
        <w:rPr>
          <w:b/>
          <w:bCs/>
          <w:lang w:val="en-GB"/>
        </w:rPr>
        <w:t xml:space="preserve"> Information 3. </w:t>
      </w:r>
      <w:r w:rsidRPr="0086508A">
        <w:rPr>
          <w:lang w:val="en-GB"/>
        </w:rPr>
        <w:t>((</w:t>
      </w:r>
      <w:r w:rsidRPr="0086508A">
        <w:rPr>
          <w:b/>
          <w:bCs/>
          <w:lang w:val="en-GB"/>
        </w:rPr>
        <w:t xml:space="preserve">Assessment of mechanism of action of SAHA encapsulated vs free SAHA drug in </w:t>
      </w:r>
      <w:r w:rsidRPr="0086508A">
        <w:rPr>
          <w:b/>
          <w:bCs/>
          <w:i/>
          <w:iCs/>
          <w:lang w:val="en-GB"/>
        </w:rPr>
        <w:t xml:space="preserve">in vitro </w:t>
      </w:r>
      <w:r w:rsidRPr="0086508A">
        <w:rPr>
          <w:b/>
          <w:bCs/>
          <w:lang w:val="en-GB"/>
        </w:rPr>
        <w:t xml:space="preserve">EC models. </w:t>
      </w:r>
      <w:r w:rsidRPr="0086508A">
        <w:rPr>
          <w:lang w:val="en-GB"/>
        </w:rPr>
        <w:t xml:space="preserve">Representative example of Western Blot protein analysis (AcH3 and H3) to access SAHA mechanism of action in Ishikawa </w:t>
      </w:r>
      <w:r w:rsidRPr="0086508A">
        <w:rPr>
          <w:b/>
          <w:bCs/>
          <w:lang w:val="en-GB"/>
        </w:rPr>
        <w:t>(</w:t>
      </w:r>
      <w:r>
        <w:rPr>
          <w:b/>
          <w:bCs/>
          <w:lang w:val="en-GB"/>
        </w:rPr>
        <w:t>a</w:t>
      </w:r>
      <w:r w:rsidRPr="0086508A">
        <w:rPr>
          <w:b/>
          <w:bCs/>
          <w:lang w:val="en-GB"/>
        </w:rPr>
        <w:t>)</w:t>
      </w:r>
      <w:r w:rsidRPr="0086508A">
        <w:rPr>
          <w:lang w:val="en-GB"/>
        </w:rPr>
        <w:t xml:space="preserve"> and Hec50 cells (</w:t>
      </w:r>
      <w:r>
        <w:rPr>
          <w:b/>
          <w:bCs/>
          <w:lang w:val="en-GB"/>
        </w:rPr>
        <w:t>b</w:t>
      </w:r>
      <w:r w:rsidRPr="0086508A">
        <w:rPr>
          <w:lang w:val="en-GB"/>
        </w:rPr>
        <w:t>), followed by protein density analysis of AcH3 (</w:t>
      </w:r>
      <w:r>
        <w:rPr>
          <w:b/>
          <w:bCs/>
          <w:lang w:val="en-GB"/>
        </w:rPr>
        <w:t>c</w:t>
      </w:r>
      <w:r w:rsidRPr="0086508A">
        <w:rPr>
          <w:lang w:val="en-GB"/>
        </w:rPr>
        <w:t xml:space="preserve">) following 48hr treatments (N=3). The different treatments tested were empty nanoparticle (black), free SAHA (light grey) and SAHA-NP (dark grey), all at the concentration of 2.5uM.  All data are </w:t>
      </w:r>
      <w:r>
        <w:rPr>
          <w:lang w:val="en-GB"/>
        </w:rPr>
        <w:t xml:space="preserve">normalized </w:t>
      </w:r>
      <w:r w:rsidRPr="0086508A">
        <w:rPr>
          <w:lang w:val="en-GB"/>
        </w:rPr>
        <w:t>to the untreated control cells.</w:t>
      </w:r>
    </w:p>
    <w:p w14:paraId="233F9AEC" w14:textId="4F0B9643" w:rsidR="00F15E4F" w:rsidRDefault="00F15E4F" w:rsidP="00F15E4F">
      <w:pPr>
        <w:spacing w:line="360" w:lineRule="auto"/>
        <w:jc w:val="both"/>
        <w:rPr>
          <w:b/>
          <w:bCs/>
          <w:lang w:val="en-GB"/>
        </w:rPr>
      </w:pPr>
      <w:r w:rsidRPr="0086508A">
        <w:rPr>
          <w:b/>
          <w:bCs/>
          <w:lang w:val="en-GB"/>
        </w:rPr>
        <w:t>Effect of SAHA on AcH3 binding to the P21 promoter (</w:t>
      </w:r>
      <w:r>
        <w:rPr>
          <w:b/>
          <w:bCs/>
          <w:lang w:val="en-GB"/>
        </w:rPr>
        <w:t>d</w:t>
      </w:r>
      <w:r w:rsidRPr="0086508A">
        <w:rPr>
          <w:b/>
          <w:bCs/>
          <w:lang w:val="en-GB"/>
        </w:rPr>
        <w:t>) and P53 promoter (</w:t>
      </w:r>
      <w:r>
        <w:rPr>
          <w:b/>
          <w:bCs/>
          <w:lang w:val="en-GB"/>
        </w:rPr>
        <w:t>e</w:t>
      </w:r>
      <w:r w:rsidRPr="0086508A">
        <w:rPr>
          <w:b/>
          <w:bCs/>
          <w:lang w:val="en-GB"/>
        </w:rPr>
        <w:t xml:space="preserve">) in EC cells and promoter methylation. </w:t>
      </w:r>
      <w:r w:rsidRPr="0086508A">
        <w:rPr>
          <w:lang w:val="en-GB"/>
        </w:rPr>
        <w:t>ChIP experiments, SAHA effect on binding of AcH3 antibody to the p21 and to the p53 promoter. Hec50 and Ishikawa cells were treated with empty nanoparticle (black), free SAHA (light grey) and SAHA-NP (dark grey) N=3. All ‘%real signal’ values are calculated from the average of triplicate antibody and negative IgG signals.))</w:t>
      </w:r>
      <w:r w:rsidRPr="0086508A">
        <w:rPr>
          <w:b/>
          <w:bCs/>
          <w:lang w:val="en-GB"/>
        </w:rPr>
        <w:t xml:space="preserve"> </w:t>
      </w:r>
    </w:p>
    <w:p w14:paraId="0A905F56" w14:textId="424D39DD" w:rsidR="00EF643B" w:rsidRPr="0086508A" w:rsidRDefault="00EF643B" w:rsidP="00F15E4F">
      <w:pPr>
        <w:spacing w:line="360" w:lineRule="auto"/>
        <w:jc w:val="both"/>
        <w:rPr>
          <w:lang w:val="en-GB"/>
        </w:rPr>
      </w:pPr>
      <w:r>
        <w:rPr>
          <w:noProof/>
          <w:lang w:val="en-GB"/>
        </w:rPr>
        <w:drawing>
          <wp:inline distT="0" distB="0" distL="0" distR="0" wp14:anchorId="0895003C" wp14:editId="5B7CAAB7">
            <wp:extent cx="3526625" cy="33224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31959" cy="3327505"/>
                    </a:xfrm>
                    <a:prstGeom prst="rect">
                      <a:avLst/>
                    </a:prstGeom>
                    <a:noFill/>
                  </pic:spPr>
                </pic:pic>
              </a:graphicData>
            </a:graphic>
          </wp:inline>
        </w:drawing>
      </w:r>
    </w:p>
    <w:p w14:paraId="5A2722C1" w14:textId="77777777" w:rsidR="00F15E4F" w:rsidRPr="0086508A" w:rsidRDefault="00F15E4F" w:rsidP="00F15E4F">
      <w:pPr>
        <w:spacing w:line="360" w:lineRule="auto"/>
        <w:jc w:val="both"/>
        <w:rPr>
          <w:b/>
          <w:bCs/>
          <w:lang w:val="en-GB"/>
        </w:rPr>
      </w:pPr>
      <w:r w:rsidRPr="0086508A">
        <w:rPr>
          <w:b/>
          <w:bCs/>
          <w:lang w:val="en-GB"/>
        </w:rPr>
        <w:t>Chromatin immunoprecipitation (ChIP)</w:t>
      </w:r>
    </w:p>
    <w:p w14:paraId="2A6D29D8" w14:textId="77777777" w:rsidR="00F15E4F" w:rsidRPr="0086508A" w:rsidRDefault="00F15E4F" w:rsidP="00F15E4F">
      <w:pPr>
        <w:spacing w:line="360" w:lineRule="auto"/>
        <w:jc w:val="both"/>
        <w:rPr>
          <w:lang w:val="en-GB"/>
        </w:rPr>
      </w:pPr>
      <w:r w:rsidRPr="0086508A">
        <w:rPr>
          <w:lang w:val="en-GB"/>
        </w:rPr>
        <w:t>Ishikawa and Hec50 cells were grown with stripped media for 24h in T25 flask. SAHA treatments at 2.5μM were added for 48 h. Following that time, approximatively 5x10</w:t>
      </w:r>
      <w:r w:rsidRPr="0086508A">
        <w:rPr>
          <w:vertAlign w:val="superscript"/>
          <w:lang w:val="en-GB"/>
        </w:rPr>
        <w:t xml:space="preserve">6 </w:t>
      </w:r>
      <w:r w:rsidRPr="0086508A">
        <w:rPr>
          <w:lang w:val="en-GB"/>
        </w:rPr>
        <w:t xml:space="preserve">cells for each cell line were processed for ChIP </w:t>
      </w:r>
      <w:r>
        <w:rPr>
          <w:lang w:val="en-GB"/>
        </w:rPr>
        <w:t>analyse</w:t>
      </w:r>
      <w:r w:rsidRPr="0086508A">
        <w:rPr>
          <w:lang w:val="en-GB"/>
        </w:rPr>
        <w:t>s following manufacturer’s instructions. (Chromatrap® ChIP-seq).</w:t>
      </w:r>
      <w:r w:rsidRPr="0086508A">
        <w:rPr>
          <w:lang w:val="en-GB"/>
        </w:rPr>
        <w:fldChar w:fldCharType="begin" w:fldLock="1"/>
      </w:r>
      <w:r w:rsidRPr="0086508A">
        <w:rPr>
          <w:lang w:val="en-GB"/>
        </w:rPr>
        <w:instrText>ADDIN CSL_CITATION {"citationItems":[{"id":"ITEM-1","itemData":{"DOI":"10.1007/978-1-4939-3127-9_8","ISSN":"10643745","abstract":"Chromatin immunoprecipitation-sequencing (ChIP-Seq) is a powerful tool which combines the established method of ChIP with next-generation sequencing (NGS) to determine DNA-binding sites of a protein of interest on a genome-wide level, importantly, allowing for de novo discovery of binding events. Here we describe ChIP-seq using the well-established example of estrogen receptor-alpha mapping in the MCF7 breast cancer cell line.","author":[{"dropping-particle":"","family":"Holmes","given":"Kelly A.","non-dropping-particle":"","parse-names":false,"suffix":""},{"dropping-particle":"","family":"Brown","given":"Gordon D.","non-dropping-particle":"","parse-names":false,"suffix":""},{"dropping-particle":"","family":"Carroll","given":"Jason S.","non-dropping-particle":"","parse-names":false,"suffix":""}],"container-title":"Methods in Molecular Biology","id":"ITEM-1","issued":{"date-parts":[["2016"]]},"title":"Chromatin immunoprecipitation-sequencing (ChLP-seq) for mapping of estrogen receptor-chromatin interactions in breast cancer","type":"chapter"},"uris":["http://www.mendeley.com/documents/?uuid=fe88543f-5afe-4227-b391-02d662bb0646","http://www.mendeley.com/documents/?uuid=d3b404a7-703f-4460-b871-ecb930083290"]}],"mendeley":{"formattedCitation":"&lt;sup&gt;[97]&lt;/sup&gt;","plainTextFormattedCitation":"[97]","previouslyFormattedCitation":"&lt;sup&gt;[97]&lt;/sup&gt;"},"properties":{"noteIndex":0},"schema":"https://github.com/citation-style-language/schema/raw/master/csl-citation.json"}</w:instrText>
      </w:r>
      <w:r w:rsidRPr="0086508A">
        <w:rPr>
          <w:lang w:val="en-GB"/>
        </w:rPr>
        <w:fldChar w:fldCharType="separate"/>
      </w:r>
      <w:r w:rsidRPr="0086508A">
        <w:rPr>
          <w:noProof/>
          <w:vertAlign w:val="superscript"/>
          <w:lang w:val="en-GB"/>
        </w:rPr>
        <w:t>[97]</w:t>
      </w:r>
      <w:r w:rsidRPr="0086508A">
        <w:rPr>
          <w:lang w:val="en-GB"/>
        </w:rPr>
        <w:fldChar w:fldCharType="end"/>
      </w:r>
      <w:r w:rsidRPr="0086508A">
        <w:rPr>
          <w:lang w:val="en-GB"/>
        </w:rPr>
        <w:t xml:space="preserve"> The following antibodies were used; Active Motif, AcH3 (#39140, ChIP-seq); Sigma-Aldrich, IgG Rabbit (#12-370, ChIP-seq), IgG Mouse (#12-371, ChIP). PCR was used as the endpoint assay to </w:t>
      </w:r>
      <w:proofErr w:type="spellStart"/>
      <w:r>
        <w:rPr>
          <w:lang w:val="en-GB"/>
        </w:rPr>
        <w:t>analyze</w:t>
      </w:r>
      <w:proofErr w:type="spellEnd"/>
      <w:r w:rsidRPr="0086508A">
        <w:rPr>
          <w:lang w:val="en-GB"/>
        </w:rPr>
        <w:t xml:space="preserve"> the ChIP DNA, using a BioRad CFX real time PCR machine (BioRad, UK).  The primers sequences used were P21 Forward 5’-CCCACAGCAGAGGAGAAAGAA-3’, P21 Reverse 5’-CTGGAAATCTCTGCCAGACA-3’; P53 Forward 5’-AGACCAGCCTGACCAATA-3’, P53 Reverse 5’-GCTCCCGGAAACATCTCAC-3’. The human GAPDH primers present in the </w:t>
      </w:r>
      <w:r w:rsidRPr="0086508A">
        <w:rPr>
          <w:lang w:val="en-GB"/>
        </w:rPr>
        <w:lastRenderedPageBreak/>
        <w:t>Chromatrap® ChIP-seq kit was used as a positive control. The ratios of the signals in immunoprecipitated DNA versus input DNA was calculated as previously shown.</w:t>
      </w:r>
      <w:r w:rsidRPr="0086508A">
        <w:rPr>
          <w:lang w:val="en-GB"/>
        </w:rPr>
        <w:fldChar w:fldCharType="begin" w:fldLock="1"/>
      </w:r>
      <w:r w:rsidRPr="0086508A">
        <w:rPr>
          <w:lang w:val="en-GB"/>
        </w:rPr>
        <w:instrText>ADDIN CSL_CITATION {"citationItems":[{"id":"ITEM-1","itemData":{"DOI":"10.1530/JME-18-0243","ISSN":"14796813","abstract":"Chromatin immunoprecipitation (ChIP) is a valuable tool for the endocrine researcher, providing a means to measure the recruitment of hormone-activated nuclear receptors, for example. However, the technique can be challenging to perform and has multiple experimental steps, risking introduction of error at each. The data produced can be challenging to interpret; several different methods are commonly used for normalising data and thus comparing between conditions. Absolute, sensitive quantification of protein-bound DNA is important for correct interpretation of the data. In addition, such quantification can help the investigator in troubleshooting experiments. Here, we outlina ChIP strategy combining droplet digital PCR for accurate quantification with an internaspike-in control for normalisation. This combination strengthens the reliability of ChIP data and allows the operator to optimise their protocol with greater confidence.","author":[{"dropping-particle":"","family":"Hunter","given":"Ann Louise","non-dropping-particle":"","parse-names":false,"suffix":""},{"dropping-particle":"","family":"Narang","given":"Natasha","non-dropping-particle":"","parse-names":false,"suffix":""},{"dropping-particle":"","family":"Baxter","given":"Matthew","non-dropping-particle":"","parse-names":false,"suffix":""},{"dropping-particle":"","family":"Ray","given":"David W.","non-dropping-particle":"","parse-names":false,"suffix":""},{"dropping-particle":"","family":"Poolman","given":"Toryn M.","non-dropping-particle":"","parse-names":false,"suffix":""}],"container-title":"Journal of Molecular Endocrinology","id":"ITEM-1","issue":"4","issued":{"date-parts":[["2019","5","1"]]},"page":"169-177","publisher":"BioScientifica Ltd.","title":"An improved method for quantitative ChIP studies of nuclear receptor function","type":"article-journal","volume":"62"},"uris":["http://www.mendeley.com/documents/?uuid=b7a174d3-d306-3eae-b6f4-c2967355c8c0"]}],"mendeley":{"formattedCitation":"&lt;sup&gt;[98]&lt;/sup&gt;","plainTextFormattedCitation":"[98]","previouslyFormattedCitation":"&lt;sup&gt;[98]&lt;/sup&gt;"},"properties":{"noteIndex":0},"schema":"https://github.com/citation-style-language/schema/raw/master/csl-citation.json"}</w:instrText>
      </w:r>
      <w:r w:rsidRPr="0086508A">
        <w:rPr>
          <w:lang w:val="en-GB"/>
        </w:rPr>
        <w:fldChar w:fldCharType="separate"/>
      </w:r>
      <w:r w:rsidRPr="0086508A">
        <w:rPr>
          <w:noProof/>
          <w:vertAlign w:val="superscript"/>
          <w:lang w:val="en-GB"/>
        </w:rPr>
        <w:t>[98]</w:t>
      </w:r>
      <w:r w:rsidRPr="0086508A">
        <w:rPr>
          <w:lang w:val="en-GB"/>
        </w:rPr>
        <w:fldChar w:fldCharType="end"/>
      </w:r>
      <w:r w:rsidRPr="0086508A">
        <w:rPr>
          <w:lang w:val="en-GB"/>
        </w:rPr>
        <w:t xml:space="preserve"> </w:t>
      </w:r>
    </w:p>
    <w:p w14:paraId="38EB143E" w14:textId="0ABD3D65" w:rsidR="00F15E4F" w:rsidRPr="0086508A" w:rsidRDefault="00F15E4F" w:rsidP="00F15E4F">
      <w:pPr>
        <w:spacing w:line="360" w:lineRule="auto"/>
        <w:jc w:val="both"/>
        <w:rPr>
          <w:lang w:val="en-GB"/>
        </w:rPr>
      </w:pPr>
      <w:r w:rsidRPr="0086508A">
        <w:rPr>
          <w:lang w:val="en-GB"/>
        </w:rPr>
        <w:t xml:space="preserve">SAHA has been shown to affect Ishikawa and Hec50 cell cycle progression  through restoration of p21 expression </w:t>
      </w:r>
      <w:r w:rsidRPr="0086508A">
        <w:rPr>
          <w:lang w:val="en-GB"/>
        </w:rPr>
        <w:fldChar w:fldCharType="begin" w:fldLock="1"/>
      </w:r>
      <w:r w:rsidRPr="0086508A">
        <w:rPr>
          <w:lang w:val="en-GB"/>
        </w:rPr>
        <w:instrText>ADDIN CSL_CITATION {"citationItems":[{"id":"ITEM-1","itemData":{"DOI":"10.2174/092986707782023299","ISSN":"09298673","abstract":"Because epigenetic alterations are believed to be involved in the repression of tumor suppressor genes and promotion of tu-morigenesis in endometrial cancers and ovarian cancers, novel compounds endowed with a histone deacetylase (HDAC) inhibitory activity are an attractive therapeutic approach. Clonogenic assay in soft agar and 3-(4,5-dimethylthiazol-2-yl)-2,5-diphenyltetrazolium bromide assays showed that many endometrial and ovarian cancer cell lines were sensitive to the growth inhibitory effect of HDAC inhibi-tors (HDACIs), although normal endometrial epithelial cells were viable after the treatment with the same doses of HDACIs that induced growth inhibition of endometrial and ovarian cancer cells. Cell cycle analysis indicated that their exposure to HDACIs decreased the proportion of cells in the S-phase and increased the proportion in the G0/G1 phases and/or G2/M phases of the cell cycle. Induction of apop-tosis was confirmed by TUNEL assay, annexin V staining of externalized phosphatidylserine, and loss of the transmembrane potential of mitochondria. This induction occurred in concert with altered expression of genes related to cell growth, malignant phenotype, and apop-tosis. In nude mice experiments, valproic acid significantly inhibited human endometrial and ovarian tumor growth without toxic side-effects. Although there are few clinical trials on these cancers, some clinical trials showed that HDACIs in well tolerated doses have significant antitumoral activities in another cancers. These results raise the possibility that HDACIs may prove particularly effective in the treatment of endometrial cancers and ovarian cancers.","author":[{"dropping-particle":"","family":"Takai","given":"Noriyuki","non-dropping-particle":"","parse-names":false,"suffix":""},{"dropping-particle":"","family":"Narahara","given":"Hisashi","non-dropping-particle":"","parse-names":false,"suffix":""},{"dropping-particle":"","family":"Takai","given":"Noriyuki","non-dropping-particle":"","parse-names":false,"suffix":""},{"dropping-particle":"","family":"Narahara","given":"Hisashi","non-dropping-particle":"","parse-names":false,"suffix":""}],"container-title":"Current Medicinal Chemistry","id":"ITEM-1","issued":{"date-parts":[["2007"]]},"title":"Human Endometrial and Ovarian Cancer Cells: Histone Deacetylase Inhibitors Exhibit Antiproliferative Activity, Potently Induce Cell Cycle Arrest, and Stimulate Apoptosis","type":"article-journal"},"uris":["http://www.mendeley.com/documents/?uuid=888ed1a8-3bab-46b2-b4f2-43040c9b04ea"]}],"mendeley":{"formattedCitation":"&lt;sup&gt;[24]&lt;/sup&gt;","plainTextFormattedCitation":"[24]","previouslyFormattedCitation":"&lt;sup&gt;[24]&lt;/sup&gt;"},"properties":{"noteIndex":0},"schema":"https://github.com/citation-style-language/schema/raw/master/csl-citation.json"}</w:instrText>
      </w:r>
      <w:r w:rsidRPr="0086508A">
        <w:rPr>
          <w:lang w:val="en-GB"/>
        </w:rPr>
        <w:fldChar w:fldCharType="separate"/>
      </w:r>
      <w:r w:rsidRPr="0086508A">
        <w:rPr>
          <w:noProof/>
          <w:vertAlign w:val="superscript"/>
          <w:lang w:val="en-GB"/>
        </w:rPr>
        <w:t>[24]</w:t>
      </w:r>
      <w:r w:rsidRPr="0086508A">
        <w:rPr>
          <w:lang w:val="en-GB"/>
        </w:rPr>
        <w:fldChar w:fldCharType="end"/>
      </w:r>
      <w:r w:rsidRPr="0086508A">
        <w:rPr>
          <w:lang w:val="en-GB"/>
        </w:rPr>
        <w:t xml:space="preserve">. Similarly SAHA treatment results in the reduction of p53 expression in type I Ishikawa cells </w:t>
      </w:r>
      <w:r w:rsidRPr="0086508A">
        <w:rPr>
          <w:lang w:val="en-GB"/>
        </w:rPr>
        <w:fldChar w:fldCharType="begin" w:fldLock="1"/>
      </w:r>
      <w:r w:rsidRPr="0086508A">
        <w:rPr>
          <w:lang w:val="en-GB"/>
        </w:rPr>
        <w:instrText>ADDIN CSL_CITATION {"citationItems":[{"id":"ITEM-1","itemData":{"DOI":"10.1038/cdd.2011.71","ISSN":"13509047","abstract":"Mutant p53 (mutp53) cancers are surprisingly dependent on their hyperstable mutp53 protein for survival, identifying mutp53 as a potentially significant clinical target. However, exploration of effective small molecule therapies targeting mutp53 has barely begun. Mutp53 hyperstabilization, a hallmark of p53 mutation, is cancer cell-specific and due to massive upregulation of the HSP90 chaperone machinery during malignant transformation. We recently showed that stable complex formation between HSP90 and its mutp53 client inhibits E3 ligases MDM2 and CHIP, causing mutp53 stabilization. Histone deacetylase (HDAC) inhibitors (HDACi) are a new class of promising anti-cancer drugs, hyperacetylating histone and non-histone targets. Currently, suberoylanilide hydroxamic acid (SAHA) is the only FDA-approved HDACi. We show that SAHA exhibits preferential cytotoxicity for mutant, rather than wild-type and null p53 human cancer cells. Loss/gain-of-function experiments revealed that although able to exert multiple cellular effects, SAHA's cytotoxicity is caused to a significant degree by its ability to strongly destabilize mutp53 at the level of protein degradation. The underlying mechanism is SAHA's inhibition of HDAC6, an essential positive regulator of HSP90. This releases mutp53 and enables its MDM2-and CHIP-mediated degradation. SAHA also strongly chemosensitizes mutp53 cancer cells for chemotherapy due to its ability to degrade mutp53. This identifies a novel action of SAHA with the prospect of SAHA becoming a centerpiece in mutp53-specific anticancer strategies. © 2011 Macmillan Publishers Limited All rights reserved.","author":[{"dropping-particle":"","family":"Li","given":"D.","non-dropping-particle":"","parse-names":false,"suffix":""},{"dropping-particle":"","family":"Marchenko","given":"N. D.","non-dropping-particle":"","parse-names":false,"suffix":""},{"dropping-particle":"","family":"Moll","given":"U. M.","non-dropping-particle":"","parse-names":false,"suffix":""}],"container-title":"Cell Death and Differentiation","id":"ITEM-1","issued":{"date-parts":[["2011"]]},"title":"SAHA shows preferential cytotoxicity in mutant p53 cancer cells by destabilizing mutant p53 through inhibition of the HDAC6-Hsp90 chaperone axis","type":"article-journal"},"uris":["http://www.mendeley.com/documents/?uuid=ef2f937f-61c5-4d1d-bb3b-9792c0c86a95","http://www.mendeley.com/documents/?uuid=782d7c80-4dcc-4b94-91e8-efa3a96e0d62"]},{"id":"ITEM-2","itemData":{"DOI":"10.1074/jbc.M111.286138","ISSN":"00219258","abstract":"Human embryo implantation is a critical multistep process consisting of embryo apposition/adhesion, followed by penetration and invasion. Through embryo penetration, the endometrial epithelial cell barrier is disrupted and remodeled by an unknown mechanism. We have previously developed an in vitro model for human embryo implantation employing the human choriocarcinoma cell line JAR and the human endometrial adenocarcinoma cell line Ishikawa. Using this model we have shown that stimulation with ovarian steroid hormones (17β-estradiol and progesterone, E2P4) and suberoylanilide hydroxamic acid (SAHA), a histone deacetylase inhibitor, enhances the attachment and adhesion of JAR spheroids to Ishikawa. In the present study we showed that the attachment and adhesion of JAR spheroids and treatment with E2P4 or SAHA individually induce the epithelial-mesenchymal transition (EMT) in Ishikawa cells. This was evident by up-regulation of N-cadherin and vimentin, a mesenchymal cell marker, and concomitant down-regulation of E-cadherin in Ishikawa cells. Stimulation with E2P4 or SAHA accelerated Ishikawa cell motility, increased JAR spheroid outgrowth, and enhanced the unique redistribution of N-cadherin, which was most prominent in proximity to the adhered spheroids. Moreover, an N-cadherin functional blocking antibody attenuated all events but not JAR spheroid adhesion. These results collectively provide evidence suggesting that E2P4- and implanting embryo-induced EMT of endometrial epithelial cells may play a pivotal role in the subsequent processes of human embryo implantation with functional control of N-cadherin.","author":[{"dropping-particle":"","family":"Uchida","given":"Hiroshi","non-dropping-particle":"","parse-names":false,"suffix":""},{"dropping-particle":"","family":"Maruyama","given":"Tetsuo","non-dropping-particle":"","parse-names":false,"suffix":""},{"dropping-particle":"","family":"Nishikawa-Uchida","given":"Sayaka","non-dropping-particle":"","parse-names":false,"suffix":""},{"dropping-particle":"","family":"Oda","given":"Hideyuki","non-dropping-particle":"","parse-names":false,"suffix":""},{"dropping-particle":"","family":"Miyazaki","given":"Kaoru","non-dropping-particle":"","parse-names":false,"suffix":""},{"dropping-particle":"","family":"Yamasaki","given":"Akiko","non-dropping-particle":"","parse-names":false,"suffix":""},{"dropping-particle":"","family":"Yoshimura","given":"Yasunori","non-dropping-particle":"","parse-names":false,"suffix":""}],"container-title":"Journal of Biological Chemistry","id":"ITEM-2","issued":{"date-parts":[["2012"]]},"title":"Studies using an in vitro model show evidence of involvement of epithelial-mesenchymal transition of human endometrial epithelial cells in human embryo implantation","type":"article-journal"},"uris":["http://www.mendeley.com/documents/?uuid=5f54efe6-40a3-42e4-91f2-09fdf553b0db","http://www.mendeley.com/documents/?uuid=f60fa96c-6bdc-4005-bd84-f79736fc23a7"]}],"mendeley":{"formattedCitation":"&lt;sup&gt;[66,67]&lt;/sup&gt;","plainTextFormattedCitation":"[66,67]","previouslyFormattedCitation":"&lt;sup&gt;[66,67]&lt;/sup&gt;"},"properties":{"noteIndex":0},"schema":"https://github.com/citation-style-language/schema/raw/master/csl-citation.json"}</w:instrText>
      </w:r>
      <w:r w:rsidRPr="0086508A">
        <w:rPr>
          <w:lang w:val="en-GB"/>
        </w:rPr>
        <w:fldChar w:fldCharType="separate"/>
      </w:r>
      <w:r w:rsidRPr="0086508A">
        <w:rPr>
          <w:noProof/>
          <w:vertAlign w:val="superscript"/>
          <w:lang w:val="en-GB"/>
        </w:rPr>
        <w:t>[66,67]</w:t>
      </w:r>
      <w:r w:rsidRPr="0086508A">
        <w:rPr>
          <w:lang w:val="en-GB"/>
        </w:rPr>
        <w:fldChar w:fldCharType="end"/>
      </w:r>
      <w:r w:rsidRPr="0086508A">
        <w:rPr>
          <w:lang w:val="en-GB"/>
        </w:rPr>
        <w:t xml:space="preserve">. Type II Hec50 cells are known to be p53 null in </w:t>
      </w:r>
      <w:r w:rsidRPr="0086508A">
        <w:rPr>
          <w:lang w:val="en-GB"/>
        </w:rPr>
        <w:fldChar w:fldCharType="begin" w:fldLock="1"/>
      </w:r>
      <w:r w:rsidRPr="0086508A">
        <w:rPr>
          <w:lang w:val="en-GB"/>
        </w:rPr>
        <w:instrText>ADDIN CSL_CITATION {"citationItems":[{"id":"ITEM-1","itemData":{"DOI":"10.3390/molecules20033898","ISBN":"1420-3049","ISSN":"14203049","PMID":"25738536","abstract":"Histone dacetylases (HDACs) are a group of enzymes that remove acetyl groups from histones and regulate expression of tumor suppressor genes. They are implicated in many human diseases, especially cancer, making them a promising therapeutic target for treatment of the latter by developing a wide variety of inhibitors. HDAC inhibitors interfere with HDAC activity and regulate biological events, such as cell cycle, differentiation and apoptosis in cancer cells. As a result, HDAC inhibitor-based therapies have gained much attention for cancer treatment. To date, the FDA has approved three HDAC inhibitors for cutaneous/peripheral T-cell lymphoma and many more HDAC inhibitors are in different stages of clinical development for the treatment of hematological malignancies as well as solid tumors. In the intensifying efforts to discover new, hopefully more therapeutically efficacious HDAC inhibitors, molecular modeling-based rational drug design has played an important role in identifying potential inhibitors that vary in molecular structures and properties. In this review, we summarize four major structural classes of HDAC inhibitors that are in clinical trials and different computer modeling tools available for their structural modifications as a guide to discover additional HDAC inhibitors with greater therapeutic utility.","author":[{"dropping-particle":"","family":"Mottamal","given":"Madhusoodanan","non-dropping-particle":"","parse-names":false,"suffix":""},{"dropping-particle":"","family":"Zheng","given":"Shilong","non-dropping-particle":"","parse-names":false,"suffix":""},{"dropping-particle":"","family":"Huang","given":"Tien L.","non-dropping-particle":"","parse-names":false,"suffix":""},{"dropping-particle":"","family":"Wang","given":"Guangdi","non-dropping-particle":"","parse-names":false,"suffix":""}],"container-title":"Molecules","id":"ITEM-1","issued":{"date-parts":[["2015"]]},"title":"Histone deacetylase inhibitors in clinical studies as templates for new anticancer agents","type":"article"},"uris":["http://www.mendeley.com/documents/?uuid=5da87786-cf97-4d2d-87a0-871e7ad2ea6f","http://www.mendeley.com/documents/?uuid=f20de447-a472-4121-b481-bc60dc5aa740"]}],"mendeley":{"formattedCitation":"&lt;sup&gt;[99]&lt;/sup&gt;","plainTextFormattedCitation":"[99]","previouslyFormattedCitation":"&lt;sup&gt;[99]&lt;/sup&gt;"},"properties":{"noteIndex":0},"schema":"https://github.com/citation-style-language/schema/raw/master/csl-citation.json"}</w:instrText>
      </w:r>
      <w:r w:rsidRPr="0086508A">
        <w:rPr>
          <w:lang w:val="en-GB"/>
        </w:rPr>
        <w:fldChar w:fldCharType="separate"/>
      </w:r>
      <w:r w:rsidRPr="0086508A">
        <w:rPr>
          <w:noProof/>
          <w:vertAlign w:val="superscript"/>
          <w:lang w:val="en-GB"/>
        </w:rPr>
        <w:t>[99]</w:t>
      </w:r>
      <w:r w:rsidRPr="0086508A">
        <w:rPr>
          <w:lang w:val="en-GB"/>
        </w:rPr>
        <w:fldChar w:fldCharType="end"/>
      </w:r>
      <w:r w:rsidRPr="0086508A">
        <w:rPr>
          <w:lang w:val="en-GB"/>
        </w:rPr>
        <w:t>. Locus specific epigenetic analysis revealed that SAHA-NP treatment resulted in five-fold increased H3 acetylation levels at the p21 gene promoter when compared to the free drug control (</w:t>
      </w:r>
      <w:r w:rsidRPr="0086508A">
        <w:rPr>
          <w:b/>
          <w:lang w:val="en-GB"/>
        </w:rPr>
        <w:t>Figure S3</w:t>
      </w:r>
      <w:r>
        <w:rPr>
          <w:b/>
          <w:lang w:val="en-GB"/>
        </w:rPr>
        <w:t>e</w:t>
      </w:r>
      <w:r w:rsidRPr="0086508A">
        <w:rPr>
          <w:lang w:val="en-GB"/>
        </w:rPr>
        <w:t xml:space="preserve">), indicative of increased SAHA exposure following encapsulation. No significant alterations in acH3 signal were observed at the p21 gene locus in Hec50 cells treated with SAHA-NP (p&gt;0.05). H3 acetylation at the p21 locus was not altered following exposure to the empty F-127 NPs, when compared to the untreated control. </w:t>
      </w:r>
    </w:p>
    <w:p w14:paraId="2D746105" w14:textId="2FE2FE86" w:rsidR="00F15E4F" w:rsidRPr="0086508A" w:rsidRDefault="00F15E4F" w:rsidP="00F15E4F">
      <w:pPr>
        <w:spacing w:line="360" w:lineRule="auto"/>
        <w:jc w:val="both"/>
        <w:rPr>
          <w:lang w:val="en-GB"/>
        </w:rPr>
      </w:pPr>
      <w:r w:rsidRPr="0086508A">
        <w:rPr>
          <w:lang w:val="en-GB"/>
        </w:rPr>
        <w:t>Similarly, SAHA-NP treatment resulted in a significant 15-fold increase in acH3 signal at the p53 promoter in Ishikawa cells compared to free SAHA (p&lt;0.001). This again is supportive of encapsulation increasing the cellular exposure to SAHA, with free drug SAHA only resulting in a 1.3-fold increase in acH3 signal at the p53 locus (</w:t>
      </w:r>
      <w:r w:rsidRPr="0086508A">
        <w:rPr>
          <w:b/>
          <w:lang w:val="en-GB"/>
        </w:rPr>
        <w:t>Figure 4</w:t>
      </w:r>
      <w:r>
        <w:rPr>
          <w:b/>
          <w:lang w:val="en-GB"/>
        </w:rPr>
        <w:t>f</w:t>
      </w:r>
      <w:r w:rsidRPr="0086508A">
        <w:rPr>
          <w:lang w:val="en-GB"/>
        </w:rPr>
        <w:t xml:space="preserve">). As expected, significantly lower acH3 signal was observed at the p53 locus in the p53 null Hec50 cells when compared to Ishikawa (p&lt;0.05). Treatment with SAHA-NP and free drug SAHA resulted in 4-fold (p&lt;0.05) and 3-fold increased acH3 signal compared to the untreated control. </w:t>
      </w:r>
    </w:p>
    <w:p w14:paraId="64BAD621" w14:textId="77777777" w:rsidR="00F15E4F" w:rsidRPr="0086508A" w:rsidRDefault="00F15E4F" w:rsidP="00F15E4F">
      <w:pPr>
        <w:spacing w:line="360" w:lineRule="auto"/>
        <w:jc w:val="both"/>
        <w:rPr>
          <w:lang w:val="en-GB"/>
        </w:rPr>
      </w:pPr>
    </w:p>
    <w:p w14:paraId="6EB59D9B" w14:textId="77777777" w:rsidR="00F15E4F" w:rsidRDefault="00F15E4F" w:rsidP="00F15E4F">
      <w:pPr>
        <w:rPr>
          <w:b/>
          <w:bCs/>
          <w:lang w:val="en-GB"/>
        </w:rPr>
      </w:pPr>
      <w:r>
        <w:br w:type="page"/>
      </w:r>
    </w:p>
    <w:p w14:paraId="486C398C" w14:textId="58AE26D0" w:rsidR="00F15E4F" w:rsidRDefault="00F15E4F" w:rsidP="00F15E4F">
      <w:pPr>
        <w:pStyle w:val="Head1"/>
        <w:jc w:val="center"/>
      </w:pPr>
    </w:p>
    <w:p w14:paraId="58822163" w14:textId="77777777" w:rsidR="00EF643B" w:rsidRDefault="00F15E4F" w:rsidP="00F15E4F">
      <w:pPr>
        <w:pStyle w:val="Head1"/>
        <w:rPr>
          <w:b w:val="0"/>
          <w:bCs w:val="0"/>
        </w:rPr>
      </w:pPr>
      <w:r>
        <w:t>Supplementary</w:t>
      </w:r>
      <w:r w:rsidRPr="0086508A">
        <w:t xml:space="preserve"> Information 4. ((Images of Endometrial cancer model spheroids taken at 40X magnification. </w:t>
      </w:r>
      <w:r w:rsidRPr="00101103">
        <w:rPr>
          <w:b w:val="0"/>
          <w:bCs w:val="0"/>
        </w:rPr>
        <w:t>Time series images of Ishikawa (</w:t>
      </w:r>
      <w:r>
        <w:t>a</w:t>
      </w:r>
      <w:r w:rsidRPr="00101103">
        <w:rPr>
          <w:b w:val="0"/>
          <w:bCs w:val="0"/>
        </w:rPr>
        <w:t>) and Hec50 (</w:t>
      </w:r>
      <w:r>
        <w:t>b</w:t>
      </w:r>
      <w:r w:rsidRPr="00101103">
        <w:rPr>
          <w:b w:val="0"/>
          <w:bCs w:val="0"/>
        </w:rPr>
        <w:t>) spheroids formed using 2x10</w:t>
      </w:r>
      <w:r w:rsidRPr="00101103">
        <w:rPr>
          <w:b w:val="0"/>
          <w:bCs w:val="0"/>
          <w:vertAlign w:val="superscript"/>
        </w:rPr>
        <w:t>3</w:t>
      </w:r>
      <w:r w:rsidRPr="00101103">
        <w:rPr>
          <w:b w:val="0"/>
          <w:bCs w:val="0"/>
        </w:rPr>
        <w:t>, 4x10</w:t>
      </w:r>
      <w:r w:rsidRPr="00101103">
        <w:rPr>
          <w:b w:val="0"/>
          <w:bCs w:val="0"/>
          <w:vertAlign w:val="superscript"/>
        </w:rPr>
        <w:t xml:space="preserve">3 </w:t>
      </w:r>
      <w:r w:rsidRPr="00101103">
        <w:rPr>
          <w:b w:val="0"/>
          <w:bCs w:val="0"/>
        </w:rPr>
        <w:t>and 6x10</w:t>
      </w:r>
      <w:r w:rsidRPr="00101103">
        <w:rPr>
          <w:b w:val="0"/>
          <w:bCs w:val="0"/>
          <w:vertAlign w:val="superscript"/>
        </w:rPr>
        <w:t xml:space="preserve">3 </w:t>
      </w:r>
      <w:r w:rsidRPr="00101103">
        <w:rPr>
          <w:b w:val="0"/>
          <w:bCs w:val="0"/>
        </w:rPr>
        <w:t>cells in ultra-low adhesion (ULA) plates over a 72h time period. Images include a 50µm scale bar.))</w:t>
      </w:r>
    </w:p>
    <w:p w14:paraId="7AE87B9C" w14:textId="0F5C06EB" w:rsidR="00F15E4F" w:rsidRPr="0086508A" w:rsidRDefault="00EF643B" w:rsidP="00F15E4F">
      <w:pPr>
        <w:pStyle w:val="Head1"/>
      </w:pPr>
      <w:r>
        <w:rPr>
          <w:b w:val="0"/>
          <w:bCs w:val="0"/>
        </w:rPr>
        <w:t xml:space="preserve"> </w:t>
      </w:r>
      <w:r>
        <w:rPr>
          <w:b w:val="0"/>
          <w:bCs w:val="0"/>
          <w:noProof/>
        </w:rPr>
        <w:drawing>
          <wp:inline distT="0" distB="0" distL="0" distR="0" wp14:anchorId="3290C88C" wp14:editId="11EB6A5C">
            <wp:extent cx="4704892" cy="6671228"/>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06977" cy="6674184"/>
                    </a:xfrm>
                    <a:prstGeom prst="rect">
                      <a:avLst/>
                    </a:prstGeom>
                    <a:noFill/>
                  </pic:spPr>
                </pic:pic>
              </a:graphicData>
            </a:graphic>
          </wp:inline>
        </w:drawing>
      </w:r>
    </w:p>
    <w:p w14:paraId="43DB0203" w14:textId="77777777" w:rsidR="00F15E4F" w:rsidRPr="00101103" w:rsidRDefault="00F15E4F" w:rsidP="00F15E4F">
      <w:pPr>
        <w:pStyle w:val="Head1"/>
        <w:rPr>
          <w:b w:val="0"/>
          <w:bCs w:val="0"/>
        </w:rPr>
      </w:pPr>
      <w:r w:rsidRPr="00F547A6">
        <w:t xml:space="preserve">Ishikawa and hec50 Spheroid culture optimisation. </w:t>
      </w:r>
      <w:r w:rsidRPr="00101103">
        <w:rPr>
          <w:b w:val="0"/>
          <w:bCs w:val="0"/>
        </w:rPr>
        <w:t xml:space="preserve">Spheroid optimization was conducted to determine an appropriate seeding density that would allow spheroid formation with the desired shape </w:t>
      </w:r>
      <w:r w:rsidRPr="00101103">
        <w:rPr>
          <w:b w:val="0"/>
          <w:bCs w:val="0"/>
        </w:rPr>
        <w:lastRenderedPageBreak/>
        <w:t>and mass (Figure S4). Spheroids grown from 2x10</w:t>
      </w:r>
      <w:r w:rsidRPr="00101103">
        <w:rPr>
          <w:b w:val="0"/>
          <w:bCs w:val="0"/>
          <w:vertAlign w:val="superscript"/>
        </w:rPr>
        <w:t>3</w:t>
      </w:r>
      <w:r w:rsidRPr="00101103">
        <w:rPr>
          <w:b w:val="0"/>
          <w:bCs w:val="0"/>
        </w:rPr>
        <w:t xml:space="preserve"> gave poor initial association, did not show any change in shape or size between 24h and 72h. Hec50 spheroids grown from 6x10</w:t>
      </w:r>
      <w:r w:rsidRPr="00101103">
        <w:rPr>
          <w:b w:val="0"/>
          <w:bCs w:val="0"/>
          <w:vertAlign w:val="superscript"/>
        </w:rPr>
        <w:t>3</w:t>
      </w:r>
      <w:r w:rsidRPr="00101103">
        <w:rPr>
          <w:b w:val="0"/>
          <w:bCs w:val="0"/>
        </w:rPr>
        <w:t>cells resembled cellular agglomerates and did not follow the same radial growth or morphology as that seen in Ishikawa. As both these densities gave unfavourable spheroids, 4x10</w:t>
      </w:r>
      <w:r w:rsidRPr="00101103">
        <w:rPr>
          <w:b w:val="0"/>
          <w:bCs w:val="0"/>
          <w:vertAlign w:val="superscript"/>
        </w:rPr>
        <w:t>3</w:t>
      </w:r>
      <w:r w:rsidRPr="00101103">
        <w:rPr>
          <w:b w:val="0"/>
          <w:bCs w:val="0"/>
        </w:rPr>
        <w:t xml:space="preserve"> cells were used for all spheroids. </w:t>
      </w:r>
    </w:p>
    <w:p w14:paraId="43E90E1F" w14:textId="77777777" w:rsidR="00F15E4F" w:rsidRPr="0086508A" w:rsidRDefault="00F15E4F" w:rsidP="00F15E4F">
      <w:pPr>
        <w:spacing w:line="360" w:lineRule="auto"/>
        <w:jc w:val="both"/>
        <w:rPr>
          <w:b/>
          <w:bCs/>
          <w:lang w:val="en-GB"/>
        </w:rPr>
      </w:pPr>
    </w:p>
    <w:p w14:paraId="5ECF9DB7" w14:textId="77777777" w:rsidR="00F15E4F" w:rsidRDefault="00F15E4F" w:rsidP="00F15E4F">
      <w:pPr>
        <w:rPr>
          <w:b/>
          <w:bCs/>
          <w:lang w:val="en-GB"/>
        </w:rPr>
      </w:pPr>
      <w:r>
        <w:rPr>
          <w:b/>
          <w:bCs/>
          <w:lang w:val="en-GB"/>
        </w:rPr>
        <w:br w:type="page"/>
      </w:r>
    </w:p>
    <w:p w14:paraId="5DE2693E" w14:textId="1347BFC4" w:rsidR="00F15E4F" w:rsidRDefault="00F15E4F" w:rsidP="00F15E4F">
      <w:pPr>
        <w:spacing w:line="360" w:lineRule="auto"/>
        <w:jc w:val="both"/>
        <w:rPr>
          <w:b/>
          <w:bCs/>
          <w:lang w:val="en-GB"/>
        </w:rPr>
      </w:pPr>
    </w:p>
    <w:p w14:paraId="51EC61B7" w14:textId="2BE13CF5" w:rsidR="00F15E4F" w:rsidRPr="0086508A" w:rsidRDefault="00F15E4F" w:rsidP="00F15E4F">
      <w:pPr>
        <w:spacing w:line="360" w:lineRule="auto"/>
        <w:jc w:val="both"/>
        <w:rPr>
          <w:b/>
          <w:bCs/>
          <w:lang w:val="en-GB"/>
        </w:rPr>
      </w:pPr>
      <w:r>
        <w:rPr>
          <w:b/>
          <w:bCs/>
          <w:lang w:val="en-GB"/>
        </w:rPr>
        <w:t>Supplementary</w:t>
      </w:r>
      <w:r w:rsidRPr="0086508A">
        <w:rPr>
          <w:b/>
          <w:bCs/>
          <w:lang w:val="en-GB"/>
        </w:rPr>
        <w:t xml:space="preserve"> Information 5. </w:t>
      </w:r>
      <w:r w:rsidRPr="0086508A">
        <w:rPr>
          <w:lang w:val="en-GB"/>
        </w:rPr>
        <w:t>((</w:t>
      </w:r>
      <w:r w:rsidRPr="0086508A">
        <w:rPr>
          <w:b/>
          <w:bCs/>
          <w:lang w:val="en-GB"/>
        </w:rPr>
        <w:t>Images of Endometrial cancer model spheroids following treatment taken at 40X magnification.</w:t>
      </w:r>
      <w:r w:rsidRPr="0086508A">
        <w:rPr>
          <w:rFonts w:eastAsiaTheme="minorEastAsia"/>
          <w:color w:val="000000" w:themeColor="text1"/>
          <w:kern w:val="24"/>
          <w:sz w:val="56"/>
          <w:szCs w:val="56"/>
          <w:lang w:val="en-GB" w:eastAsia="en-GB"/>
        </w:rPr>
        <w:t xml:space="preserve"> </w:t>
      </w:r>
      <w:r w:rsidRPr="0086508A">
        <w:rPr>
          <w:lang w:val="en-GB"/>
        </w:rPr>
        <w:t>Images of Ishikawa (</w:t>
      </w:r>
      <w:r>
        <w:rPr>
          <w:b/>
          <w:bCs/>
          <w:lang w:val="en-GB"/>
        </w:rPr>
        <w:t>a</w:t>
      </w:r>
      <w:r w:rsidRPr="0086508A">
        <w:rPr>
          <w:lang w:val="en-GB"/>
        </w:rPr>
        <w:t>) and Hec50 (</w:t>
      </w:r>
      <w:r>
        <w:rPr>
          <w:b/>
          <w:bCs/>
          <w:lang w:val="en-GB"/>
        </w:rPr>
        <w:t>b</w:t>
      </w:r>
      <w:r w:rsidRPr="0086508A">
        <w:rPr>
          <w:lang w:val="en-GB"/>
        </w:rPr>
        <w:t>) spheroids treated with SAHA free, SAHA-NP and SAHA-NP-HA, at both 48 and 72h timepoints.))</w:t>
      </w:r>
      <w:r w:rsidRPr="0086508A">
        <w:rPr>
          <w:b/>
          <w:bCs/>
          <w:lang w:val="en-GB"/>
        </w:rPr>
        <w:t xml:space="preserve"> </w:t>
      </w:r>
    </w:p>
    <w:p w14:paraId="746D7C6C" w14:textId="21D78513" w:rsidR="00F15E4F" w:rsidRPr="0086508A" w:rsidRDefault="00F15E4F" w:rsidP="00F15E4F">
      <w:pPr>
        <w:spacing w:line="360" w:lineRule="auto"/>
        <w:jc w:val="both"/>
        <w:rPr>
          <w:lang w:val="en-GB"/>
        </w:rPr>
      </w:pPr>
      <w:r w:rsidRPr="0086508A">
        <w:rPr>
          <w:lang w:val="en-GB"/>
        </w:rPr>
        <w:t>Brightfield images of Ishikawa (</w:t>
      </w:r>
      <w:r>
        <w:rPr>
          <w:b/>
          <w:bCs/>
          <w:lang w:val="en-GB"/>
        </w:rPr>
        <w:t>a</w:t>
      </w:r>
      <w:r w:rsidRPr="0086508A">
        <w:rPr>
          <w:lang w:val="en-GB"/>
        </w:rPr>
        <w:t>) and Hec50 (</w:t>
      </w:r>
      <w:r>
        <w:rPr>
          <w:b/>
          <w:bCs/>
          <w:lang w:val="en-GB"/>
        </w:rPr>
        <w:t>b</w:t>
      </w:r>
      <w:r w:rsidRPr="0086508A">
        <w:rPr>
          <w:lang w:val="en-GB"/>
        </w:rPr>
        <w:t>) spheroids treated with SAHA free, SAHA-NP and SAHA-NP-HA, at both 48 and 72h timepoints. Images were used for spheroid metric assessments.</w:t>
      </w:r>
    </w:p>
    <w:p w14:paraId="274B3E5C" w14:textId="77777777" w:rsidR="00F15E4F" w:rsidRPr="0086508A" w:rsidRDefault="00F15E4F" w:rsidP="00F15E4F">
      <w:pPr>
        <w:spacing w:line="360" w:lineRule="auto"/>
        <w:jc w:val="both"/>
        <w:rPr>
          <w:lang w:val="en-GB"/>
        </w:rPr>
      </w:pPr>
    </w:p>
    <w:p w14:paraId="0CA42478" w14:textId="0106D848" w:rsidR="00F15E4F" w:rsidRDefault="00EF643B" w:rsidP="00F15E4F">
      <w:pPr>
        <w:rPr>
          <w:b/>
          <w:bCs/>
          <w:lang w:val="en-GB"/>
        </w:rPr>
      </w:pPr>
      <w:r>
        <w:rPr>
          <w:b/>
          <w:bCs/>
          <w:noProof/>
          <w:lang w:val="en-GB"/>
        </w:rPr>
        <w:drawing>
          <wp:inline distT="0" distB="0" distL="0" distR="0" wp14:anchorId="7EA3F421" wp14:editId="5BD6C2F8">
            <wp:extent cx="6120130" cy="448661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4486615"/>
                    </a:xfrm>
                    <a:prstGeom prst="rect">
                      <a:avLst/>
                    </a:prstGeom>
                    <a:noFill/>
                  </pic:spPr>
                </pic:pic>
              </a:graphicData>
            </a:graphic>
          </wp:inline>
        </w:drawing>
      </w:r>
      <w:r w:rsidR="00F15E4F">
        <w:rPr>
          <w:b/>
          <w:bCs/>
          <w:lang w:val="en-GB"/>
        </w:rPr>
        <w:br w:type="page"/>
      </w:r>
    </w:p>
    <w:p w14:paraId="1017C94B" w14:textId="59028102" w:rsidR="00F15E4F" w:rsidRDefault="00F15E4F" w:rsidP="00F15E4F">
      <w:pPr>
        <w:spacing w:line="360" w:lineRule="auto"/>
        <w:jc w:val="center"/>
        <w:rPr>
          <w:b/>
          <w:bCs/>
          <w:lang w:val="en-GB"/>
        </w:rPr>
      </w:pPr>
    </w:p>
    <w:p w14:paraId="7B91F079" w14:textId="12D15B67" w:rsidR="00F15E4F" w:rsidRPr="0086508A" w:rsidRDefault="00F15E4F" w:rsidP="00F15E4F">
      <w:pPr>
        <w:spacing w:line="360" w:lineRule="auto"/>
        <w:jc w:val="both"/>
        <w:rPr>
          <w:rFonts w:eastAsiaTheme="minorHAnsi"/>
          <w:lang w:val="en-GB"/>
        </w:rPr>
      </w:pPr>
      <w:r>
        <w:rPr>
          <w:b/>
          <w:bCs/>
          <w:lang w:val="en-GB"/>
        </w:rPr>
        <w:t>Supplementary</w:t>
      </w:r>
      <w:r w:rsidRPr="0086508A">
        <w:rPr>
          <w:b/>
          <w:bCs/>
          <w:lang w:val="en-GB"/>
        </w:rPr>
        <w:t xml:space="preserve"> Information 6. </w:t>
      </w:r>
      <w:r w:rsidRPr="0086508A">
        <w:rPr>
          <w:lang w:val="en-GB"/>
        </w:rPr>
        <w:t>((</w:t>
      </w:r>
      <w:r w:rsidRPr="0086508A">
        <w:rPr>
          <w:rFonts w:eastAsiaTheme="minorHAnsi"/>
          <w:b/>
          <w:bCs/>
          <w:lang w:val="en-GB" w:eastAsia="en-US"/>
        </w:rPr>
        <w:t>Effect of SAHA, SAHA-NP and SAHA-NP-HA drug systems on cell cycle progression and molecular phenotype from endometrial cancer cell line models in 3D.</w:t>
      </w:r>
      <w:r w:rsidRPr="0086508A">
        <w:rPr>
          <w:rFonts w:eastAsiaTheme="minorHAnsi"/>
          <w:lang w:val="en-GB" w:eastAsia="en-US"/>
        </w:rPr>
        <w:t xml:space="preserve"> </w:t>
      </w:r>
      <w:r w:rsidRPr="0086508A">
        <w:rPr>
          <w:rFonts w:eastAsiaTheme="minorHAnsi"/>
          <w:lang w:val="en-GB"/>
        </w:rPr>
        <w:t xml:space="preserve">Representative example of Western Blots taken from Ishikawa </w:t>
      </w:r>
      <w:r w:rsidRPr="0086508A">
        <w:rPr>
          <w:rFonts w:eastAsiaTheme="minorHAnsi"/>
          <w:b/>
          <w:bCs/>
          <w:lang w:val="en-GB"/>
        </w:rPr>
        <w:t>(</w:t>
      </w:r>
      <w:r>
        <w:rPr>
          <w:rFonts w:eastAsiaTheme="minorHAnsi"/>
          <w:b/>
          <w:bCs/>
          <w:lang w:val="en-GB"/>
        </w:rPr>
        <w:t>a</w:t>
      </w:r>
      <w:r w:rsidRPr="0086508A">
        <w:rPr>
          <w:rFonts w:eastAsiaTheme="minorHAnsi"/>
          <w:b/>
          <w:bCs/>
          <w:lang w:val="en-GB"/>
        </w:rPr>
        <w:t>)</w:t>
      </w:r>
      <w:r w:rsidRPr="0086508A">
        <w:rPr>
          <w:rFonts w:eastAsiaTheme="minorHAnsi"/>
          <w:lang w:val="en-GB"/>
        </w:rPr>
        <w:t xml:space="preserve"> and Hec50 </w:t>
      </w:r>
      <w:r w:rsidRPr="0086508A">
        <w:rPr>
          <w:rFonts w:eastAsiaTheme="minorHAnsi"/>
          <w:b/>
          <w:bCs/>
          <w:lang w:val="en-GB"/>
        </w:rPr>
        <w:t>(</w:t>
      </w:r>
      <w:r>
        <w:rPr>
          <w:rFonts w:eastAsiaTheme="minorHAnsi"/>
          <w:b/>
          <w:bCs/>
          <w:lang w:val="en-GB"/>
        </w:rPr>
        <w:t>b</w:t>
      </w:r>
      <w:r w:rsidRPr="0086508A">
        <w:rPr>
          <w:rFonts w:eastAsiaTheme="minorHAnsi"/>
          <w:b/>
          <w:bCs/>
          <w:lang w:val="en-GB"/>
        </w:rPr>
        <w:t xml:space="preserve">) </w:t>
      </w:r>
      <w:r w:rsidRPr="0086508A">
        <w:rPr>
          <w:rFonts w:eastAsiaTheme="minorHAnsi"/>
          <w:lang w:val="en-GB"/>
        </w:rPr>
        <w:t>spheroid protein isolates.))</w:t>
      </w:r>
    </w:p>
    <w:p w14:paraId="28C354EF" w14:textId="5CCD4E57" w:rsidR="00F15E4F" w:rsidRDefault="00F15E4F" w:rsidP="00EF643B">
      <w:pPr>
        <w:tabs>
          <w:tab w:val="left" w:pos="8902"/>
        </w:tabs>
        <w:spacing w:line="360" w:lineRule="auto"/>
        <w:jc w:val="both"/>
        <w:rPr>
          <w:lang w:val="en-GB"/>
        </w:rPr>
      </w:pPr>
      <w:r w:rsidRPr="0086508A">
        <w:rPr>
          <w:lang w:val="en-GB"/>
        </w:rPr>
        <w:t xml:space="preserve">Representative example of Western Blots used for densitometry work in </w:t>
      </w:r>
      <w:r w:rsidRPr="0086508A">
        <w:rPr>
          <w:b/>
          <w:bCs/>
          <w:lang w:val="en-GB"/>
        </w:rPr>
        <w:t>Figure 7</w:t>
      </w:r>
      <w:r w:rsidRPr="0086508A">
        <w:rPr>
          <w:lang w:val="en-GB"/>
        </w:rPr>
        <w:t>.</w:t>
      </w:r>
      <w:r w:rsidR="00EF643B">
        <w:rPr>
          <w:lang w:val="en-GB"/>
        </w:rPr>
        <w:tab/>
      </w:r>
    </w:p>
    <w:p w14:paraId="4B433E04" w14:textId="77777777" w:rsidR="00EF643B" w:rsidRPr="0086508A" w:rsidRDefault="00EF643B" w:rsidP="00EF643B">
      <w:pPr>
        <w:tabs>
          <w:tab w:val="left" w:pos="8902"/>
        </w:tabs>
        <w:spacing w:line="360" w:lineRule="auto"/>
        <w:jc w:val="both"/>
        <w:rPr>
          <w:lang w:val="en-GB"/>
        </w:rPr>
      </w:pPr>
    </w:p>
    <w:p w14:paraId="689E1BC7" w14:textId="1EFD08A0" w:rsidR="00F15E4F" w:rsidRPr="0086508A" w:rsidRDefault="00EF643B" w:rsidP="00F15E4F">
      <w:pPr>
        <w:jc w:val="both"/>
        <w:rPr>
          <w:lang w:val="en-GB"/>
        </w:rPr>
      </w:pPr>
      <w:r>
        <w:rPr>
          <w:noProof/>
          <w:lang w:val="en-GB"/>
        </w:rPr>
        <w:drawing>
          <wp:inline distT="0" distB="0" distL="0" distR="0" wp14:anchorId="6BDB0CB6" wp14:editId="0D26A7B8">
            <wp:extent cx="4547870" cy="25177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47870" cy="2517775"/>
                    </a:xfrm>
                    <a:prstGeom prst="rect">
                      <a:avLst/>
                    </a:prstGeom>
                    <a:noFill/>
                  </pic:spPr>
                </pic:pic>
              </a:graphicData>
            </a:graphic>
          </wp:inline>
        </w:drawing>
      </w:r>
    </w:p>
    <w:p w14:paraId="01E606DB" w14:textId="77777777" w:rsidR="00033457" w:rsidRDefault="00033457"/>
    <w:sectPr w:rsidR="00033457" w:rsidSect="00835BC8">
      <w:headerReference w:type="default" r:id="rId11"/>
      <w:footerReference w:type="default" r:id="rId12"/>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8730618"/>
      <w:docPartObj>
        <w:docPartGallery w:val="Page Numbers (Bottom of Page)"/>
        <w:docPartUnique/>
      </w:docPartObj>
    </w:sdtPr>
    <w:sdtEndPr>
      <w:rPr>
        <w:noProof/>
      </w:rPr>
    </w:sdtEndPr>
    <w:sdtContent>
      <w:p w14:paraId="4ADE59CC" w14:textId="77777777" w:rsidR="000A351A" w:rsidRDefault="0078417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F27CFC9" w14:textId="77777777" w:rsidR="00562E2B" w:rsidRDefault="0078417D" w:rsidP="00881456">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C97B95" w14:textId="77777777" w:rsidR="00562E2B" w:rsidRPr="009B44CC" w:rsidRDefault="0078417D" w:rsidP="009B44CC">
    <w:pPr>
      <w:pStyle w:val="Header"/>
      <w:tabs>
        <w:tab w:val="left" w:pos="5003"/>
      </w:tabs>
      <w:jc w:val="right"/>
      <w:rPr>
        <w:lang w:val="en-US"/>
      </w:rP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8C5B1F"/>
    <w:multiLevelType w:val="multilevel"/>
    <w:tmpl w:val="E942373E"/>
    <w:lvl w:ilvl="0">
      <w:start w:val="1"/>
      <w:numFmt w:val="decimal"/>
      <w:pStyle w:val="Heading1"/>
      <w:lvlText w:val="%1"/>
      <w:lvlJc w:val="left"/>
      <w:pPr>
        <w:ind w:left="432" w:hanging="432"/>
      </w:pPr>
    </w:lvl>
    <w:lvl w:ilvl="1">
      <w:start w:val="1"/>
      <w:numFmt w:val="decimal"/>
      <w:pStyle w:val="Heading2"/>
      <w:lvlText w:val="%1.%2"/>
      <w:lvlJc w:val="left"/>
      <w:pPr>
        <w:ind w:left="859" w:hanging="576"/>
      </w:pPr>
      <w:rPr>
        <w:sz w:val="26"/>
        <w:szCs w:val="26"/>
      </w:rPr>
    </w:lvl>
    <w:lvl w:ilvl="2">
      <w:start w:val="1"/>
      <w:numFmt w:val="decimal"/>
      <w:pStyle w:val="Heading3"/>
      <w:lvlText w:val="%1.%2.%3"/>
      <w:lvlJc w:val="left"/>
      <w:pPr>
        <w:ind w:left="1004" w:hanging="72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cene3d>
          <w14:camera w14:prst="orthographicFront"/>
          <w14:lightRig w14:rig="threePt" w14:dir="t">
            <w14:rot w14:lat="0" w14:lon="0" w14:rev="0"/>
          </w14:lightRig>
        </w14:scene3d>
        <w14:ligatures w14:val="none"/>
        <w14:numForm w14:val="default"/>
        <w14:numSpacing w14:val="default"/>
        <w14:stylisticSets/>
        <w14:cntxtAlts w14:val="0"/>
      </w:rPr>
    </w:lvl>
    <w:lvl w:ilvl="3">
      <w:start w:val="1"/>
      <w:numFmt w:val="decimal"/>
      <w:pStyle w:val="Heading4"/>
      <w:lvlText w:val="%1.%2.%3.%4"/>
      <w:lvlJc w:val="left"/>
      <w:pPr>
        <w:ind w:left="3132"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4C7"/>
    <w:rsid w:val="00033457"/>
    <w:rsid w:val="005104C7"/>
    <w:rsid w:val="0078417D"/>
    <w:rsid w:val="00EF643B"/>
    <w:rsid w:val="00F15E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47438"/>
  <w15:chartTrackingRefBased/>
  <w15:docId w15:val="{87FC08A5-03C8-4E53-A5C3-D4D0C93A8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15E4F"/>
    <w:pPr>
      <w:spacing w:after="0" w:line="240" w:lineRule="auto"/>
    </w:pPr>
    <w:rPr>
      <w:rFonts w:ascii="Times New Roman" w:eastAsia="MS Mincho" w:hAnsi="Times New Roman" w:cs="Times New Roman"/>
      <w:sz w:val="24"/>
      <w:szCs w:val="24"/>
      <w:lang w:val="de-DE" w:eastAsia="ja-JP"/>
    </w:rPr>
  </w:style>
  <w:style w:type="paragraph" w:styleId="Heading1">
    <w:name w:val="heading 1"/>
    <w:basedOn w:val="Normal"/>
    <w:next w:val="Normal"/>
    <w:link w:val="Heading1Char"/>
    <w:uiPriority w:val="9"/>
    <w:qFormat/>
    <w:rsid w:val="00F15E4F"/>
    <w:pPr>
      <w:keepNext/>
      <w:keepLines/>
      <w:numPr>
        <w:numId w:val="1"/>
      </w:numPr>
      <w:spacing w:before="240" w:line="360" w:lineRule="auto"/>
      <w:jc w:val="both"/>
      <w:outlineLvl w:val="0"/>
    </w:pPr>
    <w:rPr>
      <w:rFonts w:ascii="Arial" w:eastAsiaTheme="majorEastAsia" w:hAnsi="Arial" w:cstheme="majorBidi"/>
      <w:i/>
      <w:sz w:val="32"/>
      <w:szCs w:val="32"/>
      <w:lang w:val="en-GB" w:eastAsia="en-US"/>
    </w:rPr>
  </w:style>
  <w:style w:type="paragraph" w:styleId="Heading2">
    <w:name w:val="heading 2"/>
    <w:basedOn w:val="Normal"/>
    <w:next w:val="Normal"/>
    <w:link w:val="Heading2Char"/>
    <w:uiPriority w:val="9"/>
    <w:unhideWhenUsed/>
    <w:qFormat/>
    <w:rsid w:val="00F15E4F"/>
    <w:pPr>
      <w:keepNext/>
      <w:keepLines/>
      <w:numPr>
        <w:ilvl w:val="1"/>
        <w:numId w:val="1"/>
      </w:numPr>
      <w:spacing w:before="40" w:line="360" w:lineRule="auto"/>
      <w:jc w:val="both"/>
      <w:outlineLvl w:val="1"/>
    </w:pPr>
    <w:rPr>
      <w:rFonts w:ascii="Arial" w:eastAsiaTheme="majorEastAsia" w:hAnsi="Arial" w:cstheme="majorBidi"/>
      <w:color w:val="2F5496" w:themeColor="accent1" w:themeShade="BF"/>
      <w:sz w:val="26"/>
      <w:szCs w:val="26"/>
      <w:lang w:val="en-GB" w:eastAsia="en-US"/>
    </w:rPr>
  </w:style>
  <w:style w:type="paragraph" w:styleId="Heading3">
    <w:name w:val="heading 3"/>
    <w:basedOn w:val="Normal"/>
    <w:next w:val="Normal"/>
    <w:link w:val="Heading3Char"/>
    <w:uiPriority w:val="9"/>
    <w:unhideWhenUsed/>
    <w:qFormat/>
    <w:rsid w:val="00F15E4F"/>
    <w:pPr>
      <w:keepNext/>
      <w:keepLines/>
      <w:numPr>
        <w:ilvl w:val="2"/>
        <w:numId w:val="1"/>
      </w:numPr>
      <w:spacing w:before="40" w:line="360" w:lineRule="auto"/>
      <w:jc w:val="both"/>
      <w:outlineLvl w:val="2"/>
    </w:pPr>
    <w:rPr>
      <w:rFonts w:ascii="Arial" w:eastAsiaTheme="majorEastAsia" w:hAnsi="Arial" w:cstheme="majorBidi"/>
      <w:color w:val="1F3763" w:themeColor="accent1" w:themeShade="7F"/>
      <w:lang w:val="en-GB" w:eastAsia="en-US"/>
    </w:rPr>
  </w:style>
  <w:style w:type="paragraph" w:styleId="Heading4">
    <w:name w:val="heading 4"/>
    <w:basedOn w:val="Normal"/>
    <w:next w:val="Normal"/>
    <w:link w:val="Heading4Char"/>
    <w:uiPriority w:val="9"/>
    <w:unhideWhenUsed/>
    <w:qFormat/>
    <w:rsid w:val="00F15E4F"/>
    <w:pPr>
      <w:keepNext/>
      <w:keepLines/>
      <w:numPr>
        <w:ilvl w:val="3"/>
        <w:numId w:val="1"/>
      </w:numPr>
      <w:spacing w:before="40" w:line="360" w:lineRule="auto"/>
      <w:jc w:val="both"/>
      <w:outlineLvl w:val="3"/>
    </w:pPr>
    <w:rPr>
      <w:rFonts w:ascii="Arial" w:eastAsiaTheme="majorEastAsia" w:hAnsi="Arial" w:cstheme="majorBidi"/>
      <w:i/>
      <w:iCs/>
      <w:color w:val="2F5496" w:themeColor="accent1" w:themeShade="BF"/>
      <w:szCs w:val="22"/>
      <w:lang w:val="en-GB" w:eastAsia="en-US"/>
    </w:rPr>
  </w:style>
  <w:style w:type="paragraph" w:styleId="Heading5">
    <w:name w:val="heading 5"/>
    <w:basedOn w:val="Normal"/>
    <w:next w:val="Normal"/>
    <w:link w:val="Heading5Char"/>
    <w:uiPriority w:val="9"/>
    <w:unhideWhenUsed/>
    <w:qFormat/>
    <w:rsid w:val="00F15E4F"/>
    <w:pPr>
      <w:keepNext/>
      <w:keepLines/>
      <w:numPr>
        <w:ilvl w:val="4"/>
        <w:numId w:val="1"/>
      </w:numPr>
      <w:spacing w:before="40" w:line="360" w:lineRule="auto"/>
      <w:jc w:val="both"/>
      <w:outlineLvl w:val="4"/>
    </w:pPr>
    <w:rPr>
      <w:rFonts w:ascii="Arial" w:eastAsiaTheme="majorEastAsia" w:hAnsi="Arial" w:cstheme="majorBidi"/>
      <w:color w:val="2F5496" w:themeColor="accent1" w:themeShade="BF"/>
      <w:szCs w:val="22"/>
      <w:lang w:val="en-GB" w:eastAsia="en-US"/>
    </w:rPr>
  </w:style>
  <w:style w:type="paragraph" w:styleId="Heading6">
    <w:name w:val="heading 6"/>
    <w:basedOn w:val="Normal"/>
    <w:next w:val="Normal"/>
    <w:link w:val="Heading6Char"/>
    <w:uiPriority w:val="9"/>
    <w:semiHidden/>
    <w:unhideWhenUsed/>
    <w:qFormat/>
    <w:rsid w:val="00F15E4F"/>
    <w:pPr>
      <w:keepNext/>
      <w:keepLines/>
      <w:numPr>
        <w:ilvl w:val="5"/>
        <w:numId w:val="1"/>
      </w:numPr>
      <w:spacing w:before="40" w:line="360" w:lineRule="auto"/>
      <w:jc w:val="both"/>
      <w:outlineLvl w:val="5"/>
    </w:pPr>
    <w:rPr>
      <w:rFonts w:asciiTheme="majorHAnsi" w:eastAsiaTheme="majorEastAsia" w:hAnsiTheme="majorHAnsi" w:cstheme="majorBidi"/>
      <w:color w:val="1F3763" w:themeColor="accent1" w:themeShade="7F"/>
      <w:szCs w:val="22"/>
      <w:lang w:val="en-GB" w:eastAsia="en-US"/>
    </w:rPr>
  </w:style>
  <w:style w:type="paragraph" w:styleId="Heading7">
    <w:name w:val="heading 7"/>
    <w:basedOn w:val="Normal"/>
    <w:next w:val="Normal"/>
    <w:link w:val="Heading7Char"/>
    <w:uiPriority w:val="9"/>
    <w:semiHidden/>
    <w:unhideWhenUsed/>
    <w:qFormat/>
    <w:rsid w:val="00F15E4F"/>
    <w:pPr>
      <w:keepNext/>
      <w:keepLines/>
      <w:numPr>
        <w:ilvl w:val="6"/>
        <w:numId w:val="1"/>
      </w:numPr>
      <w:spacing w:before="40" w:line="360" w:lineRule="auto"/>
      <w:jc w:val="both"/>
      <w:outlineLvl w:val="6"/>
    </w:pPr>
    <w:rPr>
      <w:rFonts w:asciiTheme="majorHAnsi" w:eastAsiaTheme="majorEastAsia" w:hAnsiTheme="majorHAnsi" w:cstheme="majorBidi"/>
      <w:i/>
      <w:iCs/>
      <w:color w:val="1F3763" w:themeColor="accent1" w:themeShade="7F"/>
      <w:szCs w:val="22"/>
      <w:lang w:val="en-GB" w:eastAsia="en-US"/>
    </w:rPr>
  </w:style>
  <w:style w:type="paragraph" w:styleId="Heading8">
    <w:name w:val="heading 8"/>
    <w:basedOn w:val="Normal"/>
    <w:next w:val="Normal"/>
    <w:link w:val="Heading8Char"/>
    <w:uiPriority w:val="9"/>
    <w:semiHidden/>
    <w:unhideWhenUsed/>
    <w:qFormat/>
    <w:rsid w:val="00F15E4F"/>
    <w:pPr>
      <w:keepNext/>
      <w:keepLines/>
      <w:numPr>
        <w:ilvl w:val="7"/>
        <w:numId w:val="1"/>
      </w:numPr>
      <w:spacing w:before="40" w:line="360" w:lineRule="auto"/>
      <w:jc w:val="both"/>
      <w:outlineLvl w:val="7"/>
    </w:pPr>
    <w:rPr>
      <w:rFonts w:asciiTheme="majorHAnsi" w:eastAsiaTheme="majorEastAsia" w:hAnsiTheme="majorHAnsi" w:cstheme="majorBidi"/>
      <w:color w:val="272727" w:themeColor="text1" w:themeTint="D8"/>
      <w:sz w:val="21"/>
      <w:szCs w:val="21"/>
      <w:lang w:val="en-GB" w:eastAsia="en-US"/>
    </w:rPr>
  </w:style>
  <w:style w:type="paragraph" w:styleId="Heading9">
    <w:name w:val="heading 9"/>
    <w:basedOn w:val="Normal"/>
    <w:next w:val="Normal"/>
    <w:link w:val="Heading9Char"/>
    <w:uiPriority w:val="9"/>
    <w:semiHidden/>
    <w:unhideWhenUsed/>
    <w:qFormat/>
    <w:rsid w:val="00F15E4F"/>
    <w:pPr>
      <w:keepNext/>
      <w:keepLines/>
      <w:numPr>
        <w:ilvl w:val="8"/>
        <w:numId w:val="1"/>
      </w:numPr>
      <w:spacing w:before="40" w:line="360" w:lineRule="auto"/>
      <w:jc w:val="both"/>
      <w:outlineLvl w:val="8"/>
    </w:pPr>
    <w:rPr>
      <w:rFonts w:asciiTheme="majorHAnsi" w:eastAsiaTheme="majorEastAsia" w:hAnsiTheme="majorHAnsi" w:cstheme="majorBidi"/>
      <w:i/>
      <w:iCs/>
      <w:color w:val="272727" w:themeColor="text1" w:themeTint="D8"/>
      <w:sz w:val="21"/>
      <w:szCs w:val="21"/>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5E4F"/>
    <w:rPr>
      <w:rFonts w:ascii="Arial" w:eastAsiaTheme="majorEastAsia" w:hAnsi="Arial" w:cstheme="majorBidi"/>
      <w:i/>
      <w:sz w:val="32"/>
      <w:szCs w:val="32"/>
    </w:rPr>
  </w:style>
  <w:style w:type="character" w:customStyle="1" w:styleId="Heading2Char">
    <w:name w:val="Heading 2 Char"/>
    <w:basedOn w:val="DefaultParagraphFont"/>
    <w:link w:val="Heading2"/>
    <w:uiPriority w:val="9"/>
    <w:rsid w:val="00F15E4F"/>
    <w:rPr>
      <w:rFonts w:ascii="Arial" w:eastAsiaTheme="majorEastAsia" w:hAnsi="Arial" w:cstheme="majorBidi"/>
      <w:color w:val="2F5496" w:themeColor="accent1" w:themeShade="BF"/>
      <w:sz w:val="26"/>
      <w:szCs w:val="26"/>
    </w:rPr>
  </w:style>
  <w:style w:type="character" w:customStyle="1" w:styleId="Heading3Char">
    <w:name w:val="Heading 3 Char"/>
    <w:basedOn w:val="DefaultParagraphFont"/>
    <w:link w:val="Heading3"/>
    <w:uiPriority w:val="9"/>
    <w:rsid w:val="00F15E4F"/>
    <w:rPr>
      <w:rFonts w:ascii="Arial" w:eastAsiaTheme="majorEastAsia" w:hAnsi="Arial" w:cstheme="majorBidi"/>
      <w:color w:val="1F3763" w:themeColor="accent1" w:themeShade="7F"/>
      <w:sz w:val="24"/>
      <w:szCs w:val="24"/>
    </w:rPr>
  </w:style>
  <w:style w:type="character" w:customStyle="1" w:styleId="Heading4Char">
    <w:name w:val="Heading 4 Char"/>
    <w:basedOn w:val="DefaultParagraphFont"/>
    <w:link w:val="Heading4"/>
    <w:uiPriority w:val="9"/>
    <w:rsid w:val="00F15E4F"/>
    <w:rPr>
      <w:rFonts w:ascii="Arial" w:eastAsiaTheme="majorEastAsia" w:hAnsi="Arial" w:cstheme="majorBidi"/>
      <w:i/>
      <w:iCs/>
      <w:color w:val="2F5496" w:themeColor="accent1" w:themeShade="BF"/>
      <w:sz w:val="24"/>
    </w:rPr>
  </w:style>
  <w:style w:type="character" w:customStyle="1" w:styleId="Heading5Char">
    <w:name w:val="Heading 5 Char"/>
    <w:basedOn w:val="DefaultParagraphFont"/>
    <w:link w:val="Heading5"/>
    <w:uiPriority w:val="9"/>
    <w:rsid w:val="00F15E4F"/>
    <w:rPr>
      <w:rFonts w:ascii="Arial" w:eastAsiaTheme="majorEastAsia" w:hAnsi="Arial" w:cstheme="majorBidi"/>
      <w:color w:val="2F5496" w:themeColor="accent1" w:themeShade="BF"/>
      <w:sz w:val="24"/>
    </w:rPr>
  </w:style>
  <w:style w:type="character" w:customStyle="1" w:styleId="Heading6Char">
    <w:name w:val="Heading 6 Char"/>
    <w:basedOn w:val="DefaultParagraphFont"/>
    <w:link w:val="Heading6"/>
    <w:uiPriority w:val="9"/>
    <w:semiHidden/>
    <w:rsid w:val="00F15E4F"/>
    <w:rPr>
      <w:rFonts w:asciiTheme="majorHAnsi" w:eastAsiaTheme="majorEastAsia" w:hAnsiTheme="majorHAnsi" w:cstheme="majorBidi"/>
      <w:color w:val="1F3763" w:themeColor="accent1" w:themeShade="7F"/>
      <w:sz w:val="24"/>
    </w:rPr>
  </w:style>
  <w:style w:type="character" w:customStyle="1" w:styleId="Heading7Char">
    <w:name w:val="Heading 7 Char"/>
    <w:basedOn w:val="DefaultParagraphFont"/>
    <w:link w:val="Heading7"/>
    <w:uiPriority w:val="9"/>
    <w:semiHidden/>
    <w:rsid w:val="00F15E4F"/>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F15E4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15E4F"/>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rsid w:val="00F15E4F"/>
    <w:pPr>
      <w:tabs>
        <w:tab w:val="center" w:pos="4536"/>
        <w:tab w:val="right" w:pos="9072"/>
      </w:tabs>
    </w:pPr>
    <w:rPr>
      <w:lang w:val="x-none"/>
    </w:rPr>
  </w:style>
  <w:style w:type="character" w:customStyle="1" w:styleId="HeaderChar">
    <w:name w:val="Header Char"/>
    <w:basedOn w:val="DefaultParagraphFont"/>
    <w:link w:val="Header"/>
    <w:rsid w:val="00F15E4F"/>
    <w:rPr>
      <w:rFonts w:ascii="Times New Roman" w:eastAsia="MS Mincho" w:hAnsi="Times New Roman" w:cs="Times New Roman"/>
      <w:sz w:val="24"/>
      <w:szCs w:val="24"/>
      <w:lang w:val="x-none" w:eastAsia="ja-JP"/>
    </w:rPr>
  </w:style>
  <w:style w:type="paragraph" w:styleId="Footer">
    <w:name w:val="footer"/>
    <w:basedOn w:val="Normal"/>
    <w:link w:val="FooterChar"/>
    <w:uiPriority w:val="99"/>
    <w:rsid w:val="00F15E4F"/>
    <w:pPr>
      <w:tabs>
        <w:tab w:val="center" w:pos="4536"/>
        <w:tab w:val="right" w:pos="9072"/>
      </w:tabs>
    </w:pPr>
  </w:style>
  <w:style w:type="character" w:customStyle="1" w:styleId="FooterChar">
    <w:name w:val="Footer Char"/>
    <w:basedOn w:val="DefaultParagraphFont"/>
    <w:link w:val="Footer"/>
    <w:uiPriority w:val="99"/>
    <w:rsid w:val="00F15E4F"/>
    <w:rPr>
      <w:rFonts w:ascii="Times New Roman" w:eastAsia="MS Mincho" w:hAnsi="Times New Roman" w:cs="Times New Roman"/>
      <w:sz w:val="24"/>
      <w:szCs w:val="24"/>
      <w:lang w:val="de-DE" w:eastAsia="ja-JP"/>
    </w:rPr>
  </w:style>
  <w:style w:type="paragraph" w:customStyle="1" w:styleId="Head1">
    <w:name w:val="Head 1"/>
    <w:basedOn w:val="Normal"/>
    <w:autoRedefine/>
    <w:rsid w:val="00F15E4F"/>
    <w:pPr>
      <w:spacing w:line="480" w:lineRule="auto"/>
      <w:jc w:val="both"/>
    </w:pPr>
    <w:rPr>
      <w:b/>
      <w:bCs/>
      <w:lang w:val="en-GB"/>
    </w:rPr>
  </w:style>
  <w:style w:type="paragraph" w:customStyle="1" w:styleId="Title2">
    <w:name w:val="Title2"/>
    <w:basedOn w:val="Normal"/>
    <w:rsid w:val="00F15E4F"/>
    <w:rPr>
      <w:b/>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eader" Target="header1.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10</Pages>
  <Words>6383</Words>
  <Characters>36386</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K. (832659)</dc:creator>
  <cp:keywords/>
  <dc:description/>
  <cp:lastModifiedBy>EDWARDS K. (832659)</cp:lastModifiedBy>
  <cp:revision>3</cp:revision>
  <dcterms:created xsi:type="dcterms:W3CDTF">2020-06-11T17:39:00Z</dcterms:created>
  <dcterms:modified xsi:type="dcterms:W3CDTF">2020-06-11T18:28:00Z</dcterms:modified>
</cp:coreProperties>
</file>