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93C18" w:rsidRDefault="00F93C18" w:rsidP="005213A6">
      <w:pPr>
        <w:spacing w:after="0" w:line="480" w:lineRule="auto"/>
        <w:rPr>
          <w:rFonts w:ascii="Arial" w:hAnsi="Arial" w:cs="Arial"/>
          <w:b/>
          <w:sz w:val="24"/>
          <w:szCs w:val="24"/>
          <w:lang w:val="en-US"/>
        </w:rPr>
      </w:pPr>
      <w:r w:rsidRPr="00F93C18">
        <w:rPr>
          <w:rFonts w:ascii="Arial" w:hAnsi="Arial" w:cs="Arial"/>
          <w:b/>
          <w:sz w:val="24"/>
          <w:szCs w:val="24"/>
          <w:lang w:val="en-US"/>
        </w:rPr>
        <w:t>Supplementary Materials and Methods</w:t>
      </w:r>
    </w:p>
    <w:p w:rsidR="008959E1" w:rsidRDefault="008959E1" w:rsidP="005213A6">
      <w:pPr>
        <w:spacing w:after="0" w:line="480" w:lineRule="auto"/>
        <w:rPr>
          <w:rFonts w:ascii="Arial" w:hAnsi="Arial" w:cs="Arial"/>
          <w:b/>
          <w:sz w:val="24"/>
          <w:szCs w:val="24"/>
          <w:lang w:val="en-US"/>
        </w:rPr>
      </w:pPr>
    </w:p>
    <w:p w:rsidR="00F83C0A" w:rsidRPr="00C119A0" w:rsidRDefault="00F83C0A" w:rsidP="00F83C0A">
      <w:pPr>
        <w:spacing w:after="0" w:line="480" w:lineRule="auto"/>
        <w:jc w:val="both"/>
        <w:rPr>
          <w:rFonts w:ascii="Arial" w:hAnsi="Arial" w:cs="Arial"/>
          <w:bCs/>
          <w:sz w:val="24"/>
          <w:szCs w:val="24"/>
          <w:lang w:val="en-US"/>
        </w:rPr>
      </w:pPr>
      <w:r w:rsidRPr="00C119A0">
        <w:rPr>
          <w:rFonts w:ascii="Arial" w:hAnsi="Arial" w:cs="Arial"/>
          <w:bCs/>
          <w:sz w:val="24"/>
          <w:szCs w:val="24"/>
          <w:lang w:val="en-US"/>
        </w:rPr>
        <w:t>Histopathological analysis.</w:t>
      </w:r>
    </w:p>
    <w:p w:rsidR="00F83C0A" w:rsidRDefault="00F83C0A" w:rsidP="00F83C0A">
      <w:pPr>
        <w:spacing w:after="0" w:line="480" w:lineRule="auto"/>
        <w:jc w:val="both"/>
        <w:rPr>
          <w:rFonts w:ascii="Arial" w:hAnsi="Arial" w:cs="Arial"/>
          <w:bCs/>
          <w:sz w:val="24"/>
          <w:szCs w:val="24"/>
          <w:lang w:val="en-US"/>
        </w:rPr>
      </w:pPr>
      <w:r w:rsidRPr="00C119A0">
        <w:rPr>
          <w:rFonts w:ascii="Arial" w:hAnsi="Arial" w:cs="Arial"/>
          <w:bCs/>
          <w:sz w:val="24"/>
          <w:szCs w:val="24"/>
          <w:lang w:val="en-US"/>
        </w:rPr>
        <w:t xml:space="preserve">The specimens were removed from the tumor parenchyma during surgery. Next, the samples were cleaned using a 0.9% sodium chloride solution (Baxter, Mexico City, Mexico). To analyze the morphologic aspects of the neoplasm, the specimen was sectioned, mounted on microscope slides, stained with hematoxylin and eosin, and examined using optical microscopy (Nikon H550 L, Yokohama, Japan). The samples were reviewed in at least five high-powered fields by two qualified oral and maxillofacial pathologists and </w:t>
      </w:r>
      <w:r>
        <w:rPr>
          <w:rFonts w:ascii="Arial" w:hAnsi="Arial" w:cs="Arial"/>
          <w:bCs/>
          <w:sz w:val="24"/>
          <w:szCs w:val="24"/>
          <w:lang w:val="en-US"/>
        </w:rPr>
        <w:t>categorized</w:t>
      </w:r>
      <w:r w:rsidRPr="00C119A0">
        <w:rPr>
          <w:rFonts w:ascii="Arial" w:hAnsi="Arial" w:cs="Arial"/>
          <w:bCs/>
          <w:sz w:val="24"/>
          <w:szCs w:val="24"/>
          <w:lang w:val="en-US"/>
        </w:rPr>
        <w:t xml:space="preserve"> according to the World Health Organization Histological Classification 2017 of Tumors Criteria. </w:t>
      </w:r>
    </w:p>
    <w:p w:rsidR="00F93C18" w:rsidRPr="00C119A0" w:rsidRDefault="00F93C18" w:rsidP="00F83C0A">
      <w:pPr>
        <w:spacing w:after="0" w:line="480" w:lineRule="auto"/>
        <w:jc w:val="both"/>
        <w:rPr>
          <w:rFonts w:ascii="Arial" w:hAnsi="Arial" w:cs="Arial"/>
          <w:bCs/>
          <w:sz w:val="24"/>
          <w:szCs w:val="24"/>
          <w:lang w:val="en-US"/>
        </w:rPr>
      </w:pPr>
    </w:p>
    <w:p w:rsidR="00F83C0A" w:rsidRPr="00C119A0" w:rsidRDefault="00F83C0A" w:rsidP="00F83C0A">
      <w:pPr>
        <w:spacing w:after="0" w:line="480" w:lineRule="auto"/>
        <w:jc w:val="both"/>
        <w:rPr>
          <w:rFonts w:ascii="Arial" w:hAnsi="Arial" w:cs="Arial"/>
          <w:bCs/>
          <w:sz w:val="24"/>
          <w:szCs w:val="24"/>
          <w:lang w:val="en-US"/>
        </w:rPr>
      </w:pPr>
      <w:r w:rsidRPr="00C119A0">
        <w:rPr>
          <w:rFonts w:ascii="Arial" w:hAnsi="Arial" w:cs="Arial"/>
          <w:bCs/>
          <w:sz w:val="24"/>
          <w:szCs w:val="24"/>
          <w:lang w:val="en-US"/>
        </w:rPr>
        <w:t>Sample collection.</w:t>
      </w:r>
    </w:p>
    <w:p w:rsidR="00F83C0A" w:rsidRDefault="00F83C0A" w:rsidP="00F83C0A">
      <w:pPr>
        <w:spacing w:after="0" w:line="480" w:lineRule="auto"/>
        <w:jc w:val="both"/>
        <w:rPr>
          <w:rFonts w:ascii="Arial" w:hAnsi="Arial" w:cs="Arial"/>
          <w:bCs/>
          <w:sz w:val="24"/>
          <w:szCs w:val="24"/>
          <w:lang w:val="en-US"/>
        </w:rPr>
      </w:pPr>
      <w:r w:rsidRPr="00C119A0">
        <w:rPr>
          <w:rFonts w:ascii="Arial" w:hAnsi="Arial" w:cs="Arial"/>
          <w:bCs/>
          <w:sz w:val="24"/>
          <w:szCs w:val="24"/>
          <w:lang w:val="en-US"/>
        </w:rPr>
        <w:t xml:space="preserve">Four milliliters of peripheral blood </w:t>
      </w:r>
      <w:proofErr w:type="gramStart"/>
      <w:r w:rsidRPr="00C119A0">
        <w:rPr>
          <w:rFonts w:ascii="Arial" w:hAnsi="Arial" w:cs="Arial"/>
          <w:bCs/>
          <w:sz w:val="24"/>
          <w:szCs w:val="24"/>
          <w:lang w:val="en-US"/>
        </w:rPr>
        <w:t>was</w:t>
      </w:r>
      <w:proofErr w:type="gramEnd"/>
      <w:r w:rsidRPr="00C119A0">
        <w:rPr>
          <w:rFonts w:ascii="Arial" w:hAnsi="Arial" w:cs="Arial"/>
          <w:bCs/>
          <w:sz w:val="24"/>
          <w:szCs w:val="24"/>
          <w:lang w:val="en-US"/>
        </w:rPr>
        <w:t xml:space="preserve"> collected into </w:t>
      </w:r>
      <w:r w:rsidRPr="00C119A0">
        <w:rPr>
          <w:rFonts w:ascii="Arial" w:eastAsia="Calibri" w:hAnsi="Arial" w:cs="Arial"/>
          <w:bCs/>
          <w:sz w:val="24"/>
          <w:szCs w:val="24"/>
          <w:lang w:val="en-US"/>
        </w:rPr>
        <w:t xml:space="preserve">an </w:t>
      </w:r>
      <w:r w:rsidRPr="00C119A0">
        <w:rPr>
          <w:rFonts w:ascii="Arial" w:hAnsi="Arial" w:cs="Arial"/>
          <w:bCs/>
          <w:sz w:val="24"/>
          <w:szCs w:val="24"/>
          <w:lang w:val="en-US"/>
        </w:rPr>
        <w:t>EDTA tube (Becton Dickinson and Company, NJ, USA) from the antecubital vein of the patient. Then, peripheral blood mononuclear cells (</w:t>
      </w:r>
      <w:r w:rsidRPr="00C119A0">
        <w:rPr>
          <w:rFonts w:ascii="Arial" w:eastAsia="Calibri" w:hAnsi="Arial" w:cs="Arial"/>
          <w:bCs/>
          <w:sz w:val="24"/>
          <w:szCs w:val="24"/>
          <w:lang w:val="en-US"/>
        </w:rPr>
        <w:t>PBMCs</w:t>
      </w:r>
      <w:r w:rsidRPr="00C119A0">
        <w:rPr>
          <w:rFonts w:ascii="Arial" w:hAnsi="Arial" w:cs="Arial"/>
          <w:bCs/>
          <w:sz w:val="24"/>
          <w:szCs w:val="24"/>
          <w:lang w:val="en-US"/>
        </w:rPr>
        <w:t>) were isolated using the density centrifugation technique (</w:t>
      </w:r>
      <w:proofErr w:type="spellStart"/>
      <w:r w:rsidRPr="00C119A0">
        <w:rPr>
          <w:rFonts w:ascii="Arial" w:hAnsi="Arial" w:cs="Arial"/>
          <w:bCs/>
          <w:sz w:val="24"/>
          <w:szCs w:val="24"/>
          <w:lang w:val="en-US"/>
        </w:rPr>
        <w:t>Ficoll-Paque</w:t>
      </w:r>
      <w:proofErr w:type="spellEnd"/>
      <w:r w:rsidRPr="00C119A0">
        <w:rPr>
          <w:rFonts w:ascii="Arial" w:hAnsi="Arial" w:cs="Arial"/>
          <w:bCs/>
          <w:sz w:val="24"/>
          <w:szCs w:val="24"/>
          <w:lang w:val="en-US"/>
        </w:rPr>
        <w:t xml:space="preserve"> PLUS, </w:t>
      </w:r>
      <w:proofErr w:type="spellStart"/>
      <w:r w:rsidRPr="00C119A0">
        <w:rPr>
          <w:rFonts w:ascii="Arial" w:hAnsi="Arial" w:cs="Arial"/>
          <w:bCs/>
          <w:sz w:val="24"/>
          <w:szCs w:val="24"/>
          <w:lang w:val="en-US"/>
        </w:rPr>
        <w:t>Amersham</w:t>
      </w:r>
      <w:proofErr w:type="spellEnd"/>
      <w:r w:rsidRPr="00C119A0">
        <w:rPr>
          <w:rFonts w:ascii="Arial" w:hAnsi="Arial" w:cs="Arial"/>
          <w:bCs/>
          <w:sz w:val="24"/>
          <w:szCs w:val="24"/>
          <w:lang w:val="en-US"/>
        </w:rPr>
        <w:t xml:space="preserve"> Biosciences, Uppsala, SE) and prepared for flow cytometry analyses. During surgery, a </w:t>
      </w:r>
      <w:r>
        <w:rPr>
          <w:rFonts w:ascii="Arial" w:hAnsi="Arial" w:cs="Arial"/>
          <w:bCs/>
          <w:sz w:val="24"/>
          <w:szCs w:val="24"/>
          <w:lang w:val="en-US"/>
        </w:rPr>
        <w:t xml:space="preserve">sample of the </w:t>
      </w:r>
      <w:r w:rsidRPr="00C119A0">
        <w:rPr>
          <w:rFonts w:ascii="Arial" w:hAnsi="Arial" w:cs="Arial"/>
          <w:bCs/>
          <w:sz w:val="24"/>
          <w:szCs w:val="24"/>
          <w:lang w:val="en-US"/>
        </w:rPr>
        <w:t xml:space="preserve">tumor was collected. Later, </w:t>
      </w:r>
      <w:r>
        <w:rPr>
          <w:rFonts w:ascii="Arial" w:hAnsi="Arial" w:cs="Arial"/>
          <w:bCs/>
          <w:sz w:val="24"/>
          <w:szCs w:val="24"/>
          <w:lang w:val="en-US"/>
        </w:rPr>
        <w:t>samples</w:t>
      </w:r>
      <w:r w:rsidRPr="00C119A0">
        <w:rPr>
          <w:rFonts w:ascii="Arial" w:hAnsi="Arial" w:cs="Arial"/>
          <w:bCs/>
          <w:sz w:val="24"/>
          <w:szCs w:val="24"/>
          <w:lang w:val="en-US"/>
        </w:rPr>
        <w:t xml:space="preserve"> were dissociated into single-cell suspensions by enzymatic digestion using the Tumor Dissociation Kit, </w:t>
      </w:r>
      <w:r>
        <w:rPr>
          <w:rFonts w:ascii="Arial" w:hAnsi="Arial" w:cs="Arial"/>
          <w:bCs/>
          <w:sz w:val="24"/>
          <w:szCs w:val="24"/>
          <w:lang w:val="en-US"/>
        </w:rPr>
        <w:t>H</w:t>
      </w:r>
      <w:r w:rsidRPr="00C119A0">
        <w:rPr>
          <w:rFonts w:ascii="Arial" w:hAnsi="Arial" w:cs="Arial"/>
          <w:bCs/>
          <w:sz w:val="24"/>
          <w:szCs w:val="24"/>
          <w:lang w:val="en-US"/>
        </w:rPr>
        <w:t xml:space="preserve">uman (130-095-929, </w:t>
      </w:r>
      <w:proofErr w:type="spellStart"/>
      <w:r w:rsidRPr="00C119A0">
        <w:rPr>
          <w:rFonts w:ascii="Arial" w:hAnsi="Arial" w:cs="Arial"/>
          <w:bCs/>
          <w:sz w:val="24"/>
          <w:szCs w:val="24"/>
          <w:lang w:val="en-US"/>
        </w:rPr>
        <w:t>Miltenyi</w:t>
      </w:r>
      <w:proofErr w:type="spellEnd"/>
      <w:r w:rsidRPr="00C119A0">
        <w:rPr>
          <w:rFonts w:ascii="Arial" w:hAnsi="Arial" w:cs="Arial"/>
          <w:bCs/>
          <w:sz w:val="24"/>
          <w:szCs w:val="24"/>
          <w:lang w:val="en-US"/>
        </w:rPr>
        <w:t xml:space="preserve"> </w:t>
      </w:r>
      <w:proofErr w:type="spellStart"/>
      <w:r w:rsidRPr="00C119A0">
        <w:rPr>
          <w:rFonts w:ascii="Arial" w:hAnsi="Arial" w:cs="Arial"/>
          <w:bCs/>
          <w:sz w:val="24"/>
          <w:szCs w:val="24"/>
          <w:lang w:val="en-US"/>
        </w:rPr>
        <w:t>Biotec</w:t>
      </w:r>
      <w:proofErr w:type="spellEnd"/>
      <w:r w:rsidRPr="00C119A0">
        <w:rPr>
          <w:rFonts w:ascii="Arial" w:hAnsi="Arial" w:cs="Arial"/>
          <w:bCs/>
          <w:sz w:val="24"/>
          <w:szCs w:val="24"/>
          <w:lang w:val="en-US"/>
        </w:rPr>
        <w:t>,</w:t>
      </w:r>
      <w:r w:rsidRPr="00C119A0">
        <w:rPr>
          <w:lang w:val="en-US"/>
        </w:rPr>
        <w:t xml:space="preserve"> </w:t>
      </w:r>
      <w:proofErr w:type="spellStart"/>
      <w:r w:rsidRPr="00C119A0">
        <w:rPr>
          <w:rFonts w:ascii="Arial" w:hAnsi="Arial" w:cs="Arial"/>
          <w:bCs/>
          <w:sz w:val="24"/>
          <w:szCs w:val="24"/>
          <w:lang w:val="en-US"/>
        </w:rPr>
        <w:t>Bergisch</w:t>
      </w:r>
      <w:proofErr w:type="spellEnd"/>
      <w:r w:rsidRPr="00C119A0">
        <w:rPr>
          <w:rFonts w:ascii="Arial" w:hAnsi="Arial" w:cs="Arial"/>
          <w:bCs/>
          <w:sz w:val="24"/>
          <w:szCs w:val="24"/>
          <w:lang w:val="en-US"/>
        </w:rPr>
        <w:t xml:space="preserve"> </w:t>
      </w:r>
      <w:proofErr w:type="spellStart"/>
      <w:r w:rsidRPr="00C119A0">
        <w:rPr>
          <w:rFonts w:ascii="Arial" w:hAnsi="Arial" w:cs="Arial"/>
          <w:bCs/>
          <w:sz w:val="24"/>
          <w:szCs w:val="24"/>
          <w:lang w:val="en-US"/>
        </w:rPr>
        <w:t>Gladbach</w:t>
      </w:r>
      <w:proofErr w:type="spellEnd"/>
      <w:r w:rsidRPr="00C119A0">
        <w:rPr>
          <w:rFonts w:ascii="Arial" w:hAnsi="Arial" w:cs="Arial"/>
          <w:bCs/>
          <w:sz w:val="24"/>
          <w:szCs w:val="24"/>
          <w:lang w:val="en-US"/>
        </w:rPr>
        <w:t xml:space="preserve">, Germany) in combination with mechanical dissociation using a </w:t>
      </w:r>
      <w:proofErr w:type="spellStart"/>
      <w:r w:rsidRPr="00C119A0">
        <w:rPr>
          <w:rFonts w:ascii="Arial" w:hAnsi="Arial" w:cs="Arial"/>
          <w:bCs/>
          <w:sz w:val="24"/>
          <w:szCs w:val="24"/>
          <w:lang w:val="en-US"/>
        </w:rPr>
        <w:t>gentleMACS</w:t>
      </w:r>
      <w:proofErr w:type="spellEnd"/>
      <w:r w:rsidRPr="00C119A0">
        <w:rPr>
          <w:rFonts w:ascii="Arial" w:hAnsi="Arial" w:cs="Arial"/>
          <w:bCs/>
          <w:sz w:val="24"/>
          <w:szCs w:val="24"/>
          <w:lang w:val="en-US"/>
        </w:rPr>
        <w:t xml:space="preserve"> </w:t>
      </w:r>
      <w:proofErr w:type="spellStart"/>
      <w:r w:rsidRPr="00C119A0">
        <w:rPr>
          <w:rFonts w:ascii="Arial" w:hAnsi="Arial" w:cs="Arial"/>
          <w:bCs/>
          <w:sz w:val="24"/>
          <w:szCs w:val="24"/>
          <w:lang w:val="en-US"/>
        </w:rPr>
        <w:t>Dissociator</w:t>
      </w:r>
      <w:proofErr w:type="spellEnd"/>
      <w:r w:rsidRPr="00C119A0">
        <w:rPr>
          <w:rFonts w:ascii="Arial" w:hAnsi="Arial" w:cs="Arial"/>
          <w:bCs/>
          <w:sz w:val="24"/>
          <w:szCs w:val="24"/>
          <w:lang w:val="en-US"/>
        </w:rPr>
        <w:t xml:space="preserve"> (130-093-235, </w:t>
      </w:r>
      <w:proofErr w:type="spellStart"/>
      <w:r w:rsidRPr="00C119A0">
        <w:rPr>
          <w:rFonts w:ascii="Arial" w:hAnsi="Arial" w:cs="Arial"/>
          <w:bCs/>
          <w:sz w:val="24"/>
          <w:szCs w:val="24"/>
          <w:lang w:val="en-US"/>
        </w:rPr>
        <w:t>Miltenyi</w:t>
      </w:r>
      <w:proofErr w:type="spellEnd"/>
      <w:r w:rsidRPr="00C119A0">
        <w:rPr>
          <w:rFonts w:ascii="Arial" w:hAnsi="Arial" w:cs="Arial"/>
          <w:bCs/>
          <w:sz w:val="24"/>
          <w:szCs w:val="24"/>
          <w:lang w:val="en-US"/>
        </w:rPr>
        <w:t xml:space="preserve"> </w:t>
      </w:r>
      <w:proofErr w:type="spellStart"/>
      <w:r w:rsidRPr="00C119A0">
        <w:rPr>
          <w:rFonts w:ascii="Arial" w:hAnsi="Arial" w:cs="Arial"/>
          <w:bCs/>
          <w:sz w:val="24"/>
          <w:szCs w:val="24"/>
          <w:lang w:val="en-US"/>
        </w:rPr>
        <w:t>Biotec</w:t>
      </w:r>
      <w:proofErr w:type="spellEnd"/>
      <w:r>
        <w:rPr>
          <w:rFonts w:ascii="Arial" w:hAnsi="Arial" w:cs="Arial"/>
          <w:bCs/>
          <w:sz w:val="24"/>
          <w:szCs w:val="24"/>
          <w:lang w:val="en-US"/>
        </w:rPr>
        <w:t>,</w:t>
      </w:r>
      <w:r w:rsidRPr="00C119A0">
        <w:rPr>
          <w:lang w:val="en-US"/>
        </w:rPr>
        <w:t xml:space="preserve"> </w:t>
      </w:r>
      <w:proofErr w:type="spellStart"/>
      <w:r w:rsidRPr="00C119A0">
        <w:rPr>
          <w:rFonts w:ascii="Arial" w:hAnsi="Arial" w:cs="Arial"/>
          <w:bCs/>
          <w:sz w:val="24"/>
          <w:szCs w:val="24"/>
          <w:lang w:val="en-US"/>
        </w:rPr>
        <w:t>Bergisch</w:t>
      </w:r>
      <w:proofErr w:type="spellEnd"/>
      <w:r w:rsidRPr="00C119A0">
        <w:rPr>
          <w:rFonts w:ascii="Arial" w:hAnsi="Arial" w:cs="Arial"/>
          <w:bCs/>
          <w:sz w:val="24"/>
          <w:szCs w:val="24"/>
          <w:lang w:val="en-US"/>
        </w:rPr>
        <w:t xml:space="preserve"> </w:t>
      </w:r>
      <w:proofErr w:type="spellStart"/>
      <w:r w:rsidRPr="00C119A0">
        <w:rPr>
          <w:rFonts w:ascii="Arial" w:hAnsi="Arial" w:cs="Arial"/>
          <w:bCs/>
          <w:sz w:val="24"/>
          <w:szCs w:val="24"/>
          <w:lang w:val="en-US"/>
        </w:rPr>
        <w:t>Gladbach</w:t>
      </w:r>
      <w:proofErr w:type="spellEnd"/>
      <w:r w:rsidRPr="00C119A0">
        <w:rPr>
          <w:rFonts w:ascii="Arial" w:hAnsi="Arial" w:cs="Arial"/>
          <w:bCs/>
          <w:sz w:val="24"/>
          <w:szCs w:val="24"/>
          <w:lang w:val="en-US"/>
        </w:rPr>
        <w:t>, Germany).</w:t>
      </w:r>
    </w:p>
    <w:p w:rsidR="00F93C18" w:rsidRPr="00C119A0" w:rsidRDefault="00F93C18" w:rsidP="00F83C0A">
      <w:pPr>
        <w:spacing w:after="0" w:line="480" w:lineRule="auto"/>
        <w:jc w:val="both"/>
        <w:rPr>
          <w:rFonts w:ascii="Arial" w:hAnsi="Arial" w:cs="Arial"/>
          <w:bCs/>
          <w:sz w:val="24"/>
          <w:szCs w:val="24"/>
          <w:lang w:val="en-US"/>
        </w:rPr>
      </w:pPr>
    </w:p>
    <w:p w:rsidR="00F83C0A" w:rsidRPr="00C119A0" w:rsidRDefault="00F83C0A" w:rsidP="00F83C0A">
      <w:pPr>
        <w:spacing w:after="0" w:line="480" w:lineRule="auto"/>
        <w:jc w:val="both"/>
        <w:rPr>
          <w:rFonts w:ascii="Arial" w:hAnsi="Arial" w:cs="Arial"/>
          <w:bCs/>
          <w:sz w:val="24"/>
          <w:szCs w:val="24"/>
          <w:lang w:val="en-US"/>
        </w:rPr>
      </w:pPr>
      <w:r w:rsidRPr="00C119A0">
        <w:rPr>
          <w:rFonts w:ascii="Arial" w:hAnsi="Arial" w:cs="Arial"/>
          <w:bCs/>
          <w:sz w:val="24"/>
          <w:szCs w:val="24"/>
          <w:lang w:val="en-US"/>
        </w:rPr>
        <w:lastRenderedPageBreak/>
        <w:t>Flow cytometry analysis.</w:t>
      </w:r>
    </w:p>
    <w:p w:rsidR="00F83C0A" w:rsidRDefault="00F83C0A" w:rsidP="00F83C0A">
      <w:pPr>
        <w:spacing w:after="0" w:line="480" w:lineRule="auto"/>
        <w:jc w:val="both"/>
        <w:rPr>
          <w:rFonts w:ascii="Arial" w:hAnsi="Arial" w:cs="Arial"/>
          <w:bCs/>
          <w:sz w:val="24"/>
          <w:szCs w:val="24"/>
          <w:lang w:val="en-US"/>
        </w:rPr>
      </w:pPr>
      <w:r w:rsidRPr="00C119A0">
        <w:rPr>
          <w:rFonts w:ascii="Arial" w:hAnsi="Arial" w:cs="Arial"/>
          <w:bCs/>
          <w:sz w:val="24"/>
          <w:szCs w:val="24"/>
          <w:lang w:val="en-US"/>
        </w:rPr>
        <w:t xml:space="preserve">To identify </w:t>
      </w:r>
      <w:r w:rsidRPr="00C119A0">
        <w:rPr>
          <w:rFonts w:ascii="Arial" w:eastAsia="Calibri" w:hAnsi="Arial" w:cs="Arial"/>
          <w:bCs/>
          <w:sz w:val="24"/>
          <w:szCs w:val="24"/>
          <w:lang w:val="en-US"/>
        </w:rPr>
        <w:t xml:space="preserve">the </w:t>
      </w:r>
      <w:r w:rsidRPr="00C119A0">
        <w:rPr>
          <w:rFonts w:ascii="Arial" w:hAnsi="Arial" w:cs="Arial"/>
          <w:bCs/>
          <w:sz w:val="24"/>
          <w:szCs w:val="24"/>
          <w:lang w:val="en-US"/>
        </w:rPr>
        <w:t>immunophenotype of CD4</w:t>
      </w:r>
      <w:r w:rsidRPr="00C119A0">
        <w:rPr>
          <w:rFonts w:ascii="Arial" w:hAnsi="Arial" w:cs="Arial"/>
          <w:bCs/>
          <w:sz w:val="24"/>
          <w:szCs w:val="24"/>
          <w:vertAlign w:val="superscript"/>
          <w:lang w:val="en-US"/>
        </w:rPr>
        <w:t>+</w:t>
      </w:r>
      <w:r w:rsidRPr="00C119A0">
        <w:rPr>
          <w:rFonts w:ascii="Arial" w:hAnsi="Arial" w:cs="Arial"/>
          <w:bCs/>
          <w:sz w:val="24"/>
          <w:szCs w:val="24"/>
          <w:lang w:val="en-US"/>
        </w:rPr>
        <w:t xml:space="preserve"> and CD8</w:t>
      </w:r>
      <w:r w:rsidRPr="00C119A0">
        <w:rPr>
          <w:rFonts w:ascii="Arial" w:hAnsi="Arial" w:cs="Arial"/>
          <w:bCs/>
          <w:sz w:val="24"/>
          <w:szCs w:val="24"/>
          <w:vertAlign w:val="superscript"/>
          <w:lang w:val="en-US"/>
        </w:rPr>
        <w:t>+</w:t>
      </w:r>
      <w:r w:rsidRPr="00C119A0">
        <w:rPr>
          <w:rFonts w:ascii="Arial" w:hAnsi="Arial" w:cs="Arial"/>
          <w:bCs/>
          <w:sz w:val="24"/>
          <w:szCs w:val="24"/>
          <w:lang w:val="en-US"/>
        </w:rPr>
        <w:t xml:space="preserve"> T </w:t>
      </w:r>
      <w:r w:rsidRPr="00C119A0">
        <w:rPr>
          <w:rFonts w:ascii="Arial" w:eastAsia="Calibri" w:hAnsi="Arial" w:cs="Arial"/>
          <w:bCs/>
          <w:sz w:val="24"/>
          <w:szCs w:val="24"/>
          <w:lang w:val="en-US"/>
        </w:rPr>
        <w:t>cells</w:t>
      </w:r>
      <w:r w:rsidRPr="00C119A0">
        <w:rPr>
          <w:rFonts w:ascii="Arial" w:hAnsi="Arial" w:cs="Arial"/>
          <w:bCs/>
          <w:sz w:val="24"/>
          <w:szCs w:val="24"/>
          <w:lang w:val="en-US"/>
        </w:rPr>
        <w:t xml:space="preserve"> in </w:t>
      </w:r>
      <w:r w:rsidRPr="00C119A0">
        <w:rPr>
          <w:rFonts w:ascii="Arial" w:eastAsia="Calibri" w:hAnsi="Arial" w:cs="Arial"/>
          <w:bCs/>
          <w:sz w:val="24"/>
          <w:szCs w:val="24"/>
          <w:lang w:val="en-US"/>
        </w:rPr>
        <w:t>tumors</w:t>
      </w:r>
      <w:r w:rsidRPr="00C119A0">
        <w:rPr>
          <w:rFonts w:ascii="Arial" w:hAnsi="Arial" w:cs="Arial"/>
          <w:bCs/>
          <w:sz w:val="24"/>
          <w:szCs w:val="24"/>
          <w:lang w:val="en-US"/>
        </w:rPr>
        <w:t xml:space="preserve"> and </w:t>
      </w:r>
      <w:r w:rsidRPr="00C119A0">
        <w:rPr>
          <w:rFonts w:ascii="Arial" w:eastAsia="Calibri" w:hAnsi="Arial" w:cs="Arial"/>
          <w:bCs/>
          <w:sz w:val="24"/>
          <w:szCs w:val="24"/>
          <w:lang w:val="en-US"/>
        </w:rPr>
        <w:t>PBMCs</w:t>
      </w:r>
      <w:r w:rsidRPr="00C119A0">
        <w:rPr>
          <w:rFonts w:ascii="Arial" w:hAnsi="Arial" w:cs="Arial"/>
          <w:bCs/>
          <w:sz w:val="24"/>
          <w:szCs w:val="24"/>
          <w:lang w:val="en-US"/>
        </w:rPr>
        <w:t>, single-cell suspensions were stained for surface molecules with monoclonal antibodies</w:t>
      </w:r>
      <w:r w:rsidRPr="00683CD1">
        <w:rPr>
          <w:rFonts w:ascii="Arial" w:hAnsi="Arial" w:cs="Arial"/>
          <w:bCs/>
          <w:sz w:val="24"/>
          <w:szCs w:val="24"/>
          <w:lang w:val="en-US"/>
        </w:rPr>
        <w:t xml:space="preserve"> </w:t>
      </w:r>
      <w:r w:rsidRPr="00C119A0">
        <w:rPr>
          <w:rFonts w:ascii="Arial" w:hAnsi="Arial" w:cs="Arial"/>
          <w:bCs/>
          <w:sz w:val="24"/>
          <w:szCs w:val="24"/>
          <w:lang w:val="en-US"/>
        </w:rPr>
        <w:t>in accordance with the manufacturer's instructions: (FITC)-</w:t>
      </w:r>
      <w:r>
        <w:rPr>
          <w:rFonts w:ascii="Arial" w:hAnsi="Arial" w:cs="Arial"/>
          <w:bCs/>
          <w:sz w:val="24"/>
          <w:szCs w:val="24"/>
          <w:lang w:val="en-US"/>
        </w:rPr>
        <w:t>anti-</w:t>
      </w:r>
      <w:r w:rsidRPr="00C119A0">
        <w:rPr>
          <w:rFonts w:ascii="Arial" w:hAnsi="Arial" w:cs="Arial"/>
          <w:bCs/>
          <w:sz w:val="24"/>
          <w:szCs w:val="24"/>
          <w:lang w:val="en-US"/>
        </w:rPr>
        <w:t>CD45; (APC-H7)</w:t>
      </w:r>
      <w:r>
        <w:rPr>
          <w:rFonts w:ascii="Arial" w:hAnsi="Arial" w:cs="Arial"/>
          <w:bCs/>
          <w:sz w:val="24"/>
          <w:szCs w:val="24"/>
          <w:lang w:val="en-US"/>
        </w:rPr>
        <w:t>-anti-</w:t>
      </w:r>
      <w:r w:rsidRPr="00C119A0">
        <w:rPr>
          <w:rFonts w:ascii="Arial" w:hAnsi="Arial" w:cs="Arial"/>
          <w:bCs/>
          <w:sz w:val="24"/>
          <w:szCs w:val="24"/>
          <w:lang w:val="en-US"/>
        </w:rPr>
        <w:t>CD3; (V450)</w:t>
      </w:r>
      <w:r>
        <w:rPr>
          <w:rFonts w:ascii="Arial" w:hAnsi="Arial" w:cs="Arial"/>
          <w:bCs/>
          <w:sz w:val="24"/>
          <w:szCs w:val="24"/>
          <w:lang w:val="en-US"/>
        </w:rPr>
        <w:t>-anti-</w:t>
      </w:r>
      <w:r w:rsidRPr="00C119A0">
        <w:rPr>
          <w:rFonts w:ascii="Arial" w:hAnsi="Arial" w:cs="Arial"/>
          <w:bCs/>
          <w:sz w:val="24"/>
          <w:szCs w:val="24"/>
          <w:lang w:val="en-US"/>
        </w:rPr>
        <w:t>CD4; (V500)</w:t>
      </w:r>
      <w:r>
        <w:rPr>
          <w:rFonts w:ascii="Arial" w:hAnsi="Arial" w:cs="Arial"/>
          <w:bCs/>
          <w:sz w:val="24"/>
          <w:szCs w:val="24"/>
          <w:lang w:val="en-US"/>
        </w:rPr>
        <w:t>-anti-</w:t>
      </w:r>
      <w:r w:rsidRPr="00C119A0">
        <w:rPr>
          <w:rFonts w:ascii="Arial" w:hAnsi="Arial" w:cs="Arial"/>
          <w:bCs/>
          <w:sz w:val="24"/>
          <w:szCs w:val="24"/>
          <w:lang w:val="en-US"/>
        </w:rPr>
        <w:t>CD8; (PE)</w:t>
      </w:r>
      <w:r>
        <w:rPr>
          <w:rFonts w:ascii="Arial" w:hAnsi="Arial" w:cs="Arial"/>
          <w:bCs/>
          <w:sz w:val="24"/>
          <w:szCs w:val="24"/>
          <w:lang w:val="en-US"/>
        </w:rPr>
        <w:t>-anti-</w:t>
      </w:r>
      <w:r w:rsidRPr="00C119A0">
        <w:rPr>
          <w:rFonts w:ascii="Arial" w:hAnsi="Arial" w:cs="Arial"/>
          <w:bCs/>
          <w:sz w:val="24"/>
          <w:szCs w:val="24"/>
          <w:lang w:val="en-US"/>
        </w:rPr>
        <w:t>LAG-3; (PE-Cy7)</w:t>
      </w:r>
      <w:r>
        <w:rPr>
          <w:rFonts w:ascii="Arial" w:hAnsi="Arial" w:cs="Arial"/>
          <w:bCs/>
          <w:sz w:val="24"/>
          <w:szCs w:val="24"/>
          <w:lang w:val="en-US"/>
        </w:rPr>
        <w:t>-anti-</w:t>
      </w:r>
      <w:r w:rsidRPr="00C119A0">
        <w:rPr>
          <w:rFonts w:ascii="Arial" w:hAnsi="Arial" w:cs="Arial"/>
          <w:bCs/>
          <w:sz w:val="24"/>
          <w:szCs w:val="24"/>
          <w:lang w:val="en-US"/>
        </w:rPr>
        <w:t>CD69; (PE-Cy5)</w:t>
      </w:r>
      <w:r>
        <w:rPr>
          <w:rFonts w:ascii="Arial" w:hAnsi="Arial" w:cs="Arial"/>
          <w:bCs/>
          <w:sz w:val="24"/>
          <w:szCs w:val="24"/>
          <w:lang w:val="en-US"/>
        </w:rPr>
        <w:t>-anti-</w:t>
      </w:r>
      <w:r w:rsidRPr="00C119A0">
        <w:rPr>
          <w:rFonts w:ascii="Arial" w:hAnsi="Arial" w:cs="Arial"/>
          <w:bCs/>
          <w:sz w:val="24"/>
          <w:szCs w:val="24"/>
          <w:lang w:val="en-US"/>
        </w:rPr>
        <w:t>CD25; Alexa Fluor 647</w:t>
      </w:r>
      <w:r>
        <w:rPr>
          <w:rFonts w:ascii="Arial" w:hAnsi="Arial" w:cs="Arial"/>
          <w:bCs/>
          <w:sz w:val="24"/>
          <w:szCs w:val="24"/>
          <w:lang w:val="en-US"/>
        </w:rPr>
        <w:t>-anti-</w:t>
      </w:r>
      <w:r w:rsidRPr="00C119A0">
        <w:rPr>
          <w:rFonts w:ascii="Arial" w:hAnsi="Arial" w:cs="Arial"/>
          <w:bCs/>
          <w:sz w:val="24"/>
          <w:szCs w:val="24"/>
          <w:lang w:val="en-US"/>
        </w:rPr>
        <w:t xml:space="preserve">TIM-3 (CD366); </w:t>
      </w:r>
      <w:r>
        <w:rPr>
          <w:rFonts w:ascii="Arial" w:hAnsi="Arial" w:cs="Arial"/>
          <w:bCs/>
          <w:sz w:val="24"/>
          <w:szCs w:val="24"/>
          <w:lang w:val="en-US"/>
        </w:rPr>
        <w:t xml:space="preserve">and </w:t>
      </w:r>
      <w:r w:rsidRPr="00C119A0">
        <w:rPr>
          <w:rFonts w:ascii="Arial" w:hAnsi="Arial" w:cs="Arial"/>
          <w:bCs/>
          <w:sz w:val="24"/>
          <w:szCs w:val="24"/>
          <w:lang w:val="en-US"/>
        </w:rPr>
        <w:t>(APC)</w:t>
      </w:r>
      <w:r>
        <w:rPr>
          <w:rFonts w:ascii="Arial" w:hAnsi="Arial" w:cs="Arial"/>
          <w:bCs/>
          <w:sz w:val="24"/>
          <w:szCs w:val="24"/>
          <w:lang w:val="en-US"/>
        </w:rPr>
        <w:t>-anti-</w:t>
      </w:r>
      <w:r w:rsidRPr="00C119A0">
        <w:rPr>
          <w:rFonts w:ascii="Arial" w:hAnsi="Arial" w:cs="Arial"/>
          <w:bCs/>
          <w:sz w:val="24"/>
          <w:szCs w:val="24"/>
          <w:lang w:val="en-US"/>
        </w:rPr>
        <w:t>CTLA-4 (CD152) (</w:t>
      </w:r>
      <w:proofErr w:type="spellStart"/>
      <w:r w:rsidRPr="00C119A0">
        <w:rPr>
          <w:rFonts w:ascii="Arial" w:hAnsi="Arial" w:cs="Arial"/>
          <w:bCs/>
          <w:sz w:val="24"/>
          <w:szCs w:val="24"/>
          <w:lang w:val="en-US"/>
        </w:rPr>
        <w:t>eBioscience</w:t>
      </w:r>
      <w:proofErr w:type="spellEnd"/>
      <w:r w:rsidRPr="00C119A0">
        <w:rPr>
          <w:rFonts w:ascii="Arial" w:hAnsi="Arial" w:cs="Arial"/>
          <w:bCs/>
          <w:sz w:val="24"/>
          <w:szCs w:val="24"/>
          <w:lang w:val="en-US"/>
        </w:rPr>
        <w:t>, San Diego, CA, USA). Briefly, 1x10</w:t>
      </w:r>
      <w:r w:rsidRPr="00C119A0">
        <w:rPr>
          <w:rFonts w:ascii="Arial" w:hAnsi="Arial" w:cs="Arial"/>
          <w:bCs/>
          <w:sz w:val="24"/>
          <w:szCs w:val="24"/>
          <w:vertAlign w:val="superscript"/>
          <w:lang w:val="en-US"/>
        </w:rPr>
        <w:t>6</w:t>
      </w:r>
      <w:r w:rsidRPr="00C119A0">
        <w:rPr>
          <w:rFonts w:ascii="Arial" w:hAnsi="Arial" w:cs="Arial"/>
          <w:bCs/>
          <w:sz w:val="24"/>
          <w:szCs w:val="24"/>
          <w:lang w:val="en-US"/>
        </w:rPr>
        <w:t xml:space="preserve"> cells were stained with </w:t>
      </w:r>
      <w:r>
        <w:rPr>
          <w:rFonts w:ascii="Arial" w:hAnsi="Arial" w:cs="Arial"/>
          <w:bCs/>
          <w:sz w:val="24"/>
          <w:szCs w:val="24"/>
          <w:lang w:val="en-US"/>
        </w:rPr>
        <w:t xml:space="preserve">fluorochrome-conjugated </w:t>
      </w:r>
      <w:r w:rsidRPr="00C119A0">
        <w:rPr>
          <w:rFonts w:ascii="Arial" w:hAnsi="Arial" w:cs="Arial"/>
          <w:bCs/>
          <w:sz w:val="24"/>
          <w:szCs w:val="24"/>
          <w:lang w:val="en-US"/>
        </w:rPr>
        <w:t xml:space="preserve">monoclonal antibodies for 20 min in the dark at 4°C. After the initial staining, the cells were washed twice using phosphate-buffered saline (PBS) at pH 7.4, followed by surface marker fixation. The negative control samples were incubated with isotype-matched antibodies. </w:t>
      </w:r>
      <w:r w:rsidRPr="00C119A0">
        <w:rPr>
          <w:rFonts w:ascii="Arial" w:eastAsia="Calibri" w:hAnsi="Arial" w:cs="Arial"/>
          <w:bCs/>
          <w:sz w:val="24"/>
          <w:szCs w:val="24"/>
          <w:lang w:val="en-US"/>
        </w:rPr>
        <w:t xml:space="preserve">A </w:t>
      </w:r>
      <w:r w:rsidRPr="00C119A0">
        <w:rPr>
          <w:rFonts w:ascii="Arial" w:hAnsi="Arial" w:cs="Arial"/>
          <w:bCs/>
          <w:sz w:val="24"/>
          <w:szCs w:val="24"/>
          <w:lang w:val="en-US"/>
        </w:rPr>
        <w:t xml:space="preserve">FACS Verse flow cytometer (BD Biosciences, San Jose, CA, USA) was used to </w:t>
      </w:r>
      <w:r w:rsidRPr="00C119A0">
        <w:rPr>
          <w:rFonts w:ascii="Arial" w:eastAsia="Calibri" w:hAnsi="Arial" w:cs="Arial"/>
          <w:bCs/>
          <w:sz w:val="24"/>
          <w:szCs w:val="24"/>
          <w:lang w:val="en-US"/>
        </w:rPr>
        <w:t xml:space="preserve">acquire </w:t>
      </w:r>
      <w:r w:rsidRPr="00C119A0">
        <w:rPr>
          <w:rFonts w:ascii="Arial" w:hAnsi="Arial" w:cs="Arial"/>
          <w:bCs/>
          <w:sz w:val="24"/>
          <w:szCs w:val="24"/>
          <w:lang w:val="en-US"/>
        </w:rPr>
        <w:t xml:space="preserve">the sample. The resultant data were analyzed using </w:t>
      </w:r>
      <w:proofErr w:type="spellStart"/>
      <w:r w:rsidRPr="00C119A0">
        <w:rPr>
          <w:rFonts w:ascii="Arial" w:hAnsi="Arial" w:cs="Arial"/>
          <w:bCs/>
          <w:sz w:val="24"/>
          <w:szCs w:val="24"/>
          <w:lang w:val="en-US"/>
        </w:rPr>
        <w:t>FlowJo</w:t>
      </w:r>
      <w:proofErr w:type="spellEnd"/>
      <w:r w:rsidRPr="00C119A0">
        <w:rPr>
          <w:rFonts w:ascii="Arial" w:hAnsi="Arial" w:cs="Arial"/>
          <w:bCs/>
          <w:sz w:val="24"/>
          <w:szCs w:val="24"/>
          <w:lang w:val="en-US"/>
        </w:rPr>
        <w:t xml:space="preserve"> software V10.0.8 (Tree Star, San Carlos, CA, USA).</w:t>
      </w:r>
    </w:p>
    <w:p w:rsidR="00F93C18" w:rsidRPr="00C119A0" w:rsidRDefault="00F93C18" w:rsidP="00F83C0A">
      <w:pPr>
        <w:spacing w:after="0" w:line="480" w:lineRule="auto"/>
        <w:jc w:val="both"/>
        <w:rPr>
          <w:rFonts w:ascii="Arial" w:hAnsi="Arial" w:cs="Arial"/>
          <w:bCs/>
          <w:sz w:val="24"/>
          <w:szCs w:val="24"/>
          <w:lang w:val="en-US"/>
        </w:rPr>
      </w:pPr>
    </w:p>
    <w:p w:rsidR="00F83C0A" w:rsidRPr="00C119A0" w:rsidRDefault="00F83C0A" w:rsidP="00F83C0A">
      <w:pPr>
        <w:spacing w:after="0" w:line="480" w:lineRule="auto"/>
        <w:jc w:val="both"/>
        <w:rPr>
          <w:rFonts w:ascii="Arial" w:hAnsi="Arial" w:cs="Arial"/>
          <w:bCs/>
          <w:sz w:val="24"/>
          <w:szCs w:val="24"/>
          <w:lang w:val="en-US"/>
        </w:rPr>
      </w:pPr>
      <w:r w:rsidRPr="00C119A0">
        <w:rPr>
          <w:rFonts w:ascii="Arial" w:hAnsi="Arial" w:cs="Arial"/>
          <w:bCs/>
          <w:sz w:val="24"/>
          <w:szCs w:val="24"/>
          <w:lang w:val="en-US"/>
        </w:rPr>
        <w:t>T cell activation assay.</w:t>
      </w:r>
    </w:p>
    <w:p w:rsidR="005213A6" w:rsidRPr="00F83C0A" w:rsidRDefault="00F83C0A" w:rsidP="00F83C0A">
      <w:pPr>
        <w:spacing w:after="0" w:line="480" w:lineRule="auto"/>
        <w:jc w:val="both"/>
        <w:rPr>
          <w:rFonts w:ascii="Arial" w:hAnsi="Arial" w:cs="Arial"/>
          <w:bCs/>
          <w:sz w:val="24"/>
          <w:szCs w:val="24"/>
          <w:lang w:val="en-US"/>
        </w:rPr>
      </w:pPr>
      <w:r w:rsidRPr="00C119A0">
        <w:rPr>
          <w:rFonts w:ascii="Arial" w:eastAsia="Calibri" w:hAnsi="Arial" w:cs="Arial"/>
          <w:bCs/>
          <w:sz w:val="24"/>
          <w:szCs w:val="24"/>
          <w:lang w:val="en-US"/>
        </w:rPr>
        <w:t>The activation</w:t>
      </w:r>
      <w:r w:rsidRPr="00C119A0">
        <w:rPr>
          <w:rFonts w:ascii="Arial" w:hAnsi="Arial" w:cs="Arial"/>
          <w:bCs/>
          <w:sz w:val="24"/>
          <w:szCs w:val="24"/>
          <w:lang w:val="en-US"/>
        </w:rPr>
        <w:t xml:space="preserve"> assay was performed </w:t>
      </w:r>
      <w:r>
        <w:rPr>
          <w:rFonts w:ascii="Arial" w:hAnsi="Arial" w:cs="Arial"/>
          <w:bCs/>
          <w:sz w:val="24"/>
          <w:szCs w:val="24"/>
          <w:lang w:val="en-US"/>
        </w:rPr>
        <w:t>in</w:t>
      </w:r>
      <w:r w:rsidRPr="00C119A0">
        <w:rPr>
          <w:rFonts w:ascii="Arial" w:hAnsi="Arial" w:cs="Arial"/>
          <w:bCs/>
          <w:sz w:val="24"/>
          <w:szCs w:val="24"/>
          <w:lang w:val="en-US"/>
        </w:rPr>
        <w:t xml:space="preserve"> 24</w:t>
      </w:r>
      <w:r w:rsidRPr="00C119A0">
        <w:rPr>
          <w:rFonts w:ascii="Arial" w:eastAsia="Calibri" w:hAnsi="Arial" w:cs="Arial"/>
          <w:bCs/>
          <w:sz w:val="24"/>
          <w:szCs w:val="24"/>
          <w:lang w:val="en-US"/>
        </w:rPr>
        <w:t>-</w:t>
      </w:r>
      <w:r w:rsidRPr="00C119A0">
        <w:rPr>
          <w:rFonts w:ascii="Arial" w:hAnsi="Arial" w:cs="Arial"/>
          <w:bCs/>
          <w:sz w:val="24"/>
          <w:szCs w:val="24"/>
          <w:lang w:val="en-US"/>
        </w:rPr>
        <w:t>well plates with a final volume of</w:t>
      </w:r>
      <w:r w:rsidRPr="00C119A0">
        <w:rPr>
          <w:rFonts w:ascii="Arial" w:eastAsia="Calibri" w:hAnsi="Arial" w:cs="Arial"/>
          <w:bCs/>
          <w:sz w:val="24"/>
          <w:szCs w:val="24"/>
          <w:lang w:val="en-US"/>
        </w:rPr>
        <w:t xml:space="preserve"> 500 µl</w:t>
      </w:r>
      <w:r w:rsidRPr="00C119A0">
        <w:rPr>
          <w:rFonts w:ascii="Arial" w:hAnsi="Arial" w:cs="Arial"/>
          <w:bCs/>
          <w:sz w:val="24"/>
          <w:szCs w:val="24"/>
          <w:lang w:val="en-US"/>
        </w:rPr>
        <w:t xml:space="preserve"> of supplemented RPMI 1640 medium per well. </w:t>
      </w:r>
      <w:r w:rsidRPr="00C119A0">
        <w:rPr>
          <w:rFonts w:ascii="Arial" w:eastAsia="Calibri" w:hAnsi="Arial" w:cs="Arial"/>
          <w:bCs/>
          <w:sz w:val="24"/>
          <w:szCs w:val="24"/>
          <w:lang w:val="en-US"/>
        </w:rPr>
        <w:t>PBMCs</w:t>
      </w:r>
      <w:r w:rsidRPr="00C119A0">
        <w:rPr>
          <w:rFonts w:ascii="Arial" w:hAnsi="Arial" w:cs="Arial"/>
          <w:bCs/>
          <w:sz w:val="24"/>
          <w:szCs w:val="24"/>
          <w:lang w:val="en-US"/>
        </w:rPr>
        <w:t xml:space="preserve"> (2.5x105) were stimulated with </w:t>
      </w:r>
      <w:r w:rsidRPr="00C119A0">
        <w:rPr>
          <w:rFonts w:ascii="Arial" w:eastAsia="Calibri" w:hAnsi="Arial" w:cs="Arial"/>
          <w:bCs/>
          <w:sz w:val="24"/>
          <w:szCs w:val="24"/>
          <w:lang w:val="en-US"/>
        </w:rPr>
        <w:t>50 ng/ml</w:t>
      </w:r>
      <w:r w:rsidRPr="00C119A0">
        <w:rPr>
          <w:rFonts w:ascii="Arial" w:hAnsi="Arial" w:cs="Arial"/>
          <w:bCs/>
          <w:sz w:val="24"/>
          <w:szCs w:val="24"/>
          <w:lang w:val="en-US"/>
        </w:rPr>
        <w:t xml:space="preserve"> phorbol myristate acetate (PMA) and 500 ng/ml ionomycin (Ion) for 24 hours at 37</w:t>
      </w:r>
      <w:r>
        <w:rPr>
          <w:rFonts w:ascii="Arial" w:hAnsi="Arial" w:cs="Arial"/>
          <w:bCs/>
          <w:sz w:val="24"/>
          <w:szCs w:val="24"/>
          <w:lang w:val="en-US"/>
        </w:rPr>
        <w:t>°</w:t>
      </w:r>
      <w:r w:rsidRPr="00C119A0">
        <w:rPr>
          <w:rFonts w:ascii="Arial" w:hAnsi="Arial" w:cs="Arial"/>
          <w:bCs/>
          <w:sz w:val="24"/>
          <w:szCs w:val="24"/>
          <w:lang w:val="en-US"/>
        </w:rPr>
        <w:t xml:space="preserve">C in </w:t>
      </w:r>
      <w:r w:rsidRPr="00C119A0">
        <w:rPr>
          <w:rFonts w:ascii="Arial" w:eastAsia="Calibri" w:hAnsi="Arial" w:cs="Arial"/>
          <w:bCs/>
          <w:sz w:val="24"/>
          <w:szCs w:val="24"/>
          <w:lang w:val="en-US"/>
        </w:rPr>
        <w:t xml:space="preserve">a </w:t>
      </w:r>
      <w:r w:rsidRPr="00C119A0">
        <w:rPr>
          <w:rFonts w:ascii="Arial" w:hAnsi="Arial" w:cs="Arial"/>
          <w:bCs/>
          <w:sz w:val="24"/>
          <w:szCs w:val="24"/>
          <w:lang w:val="en-US"/>
        </w:rPr>
        <w:t>5% CO2 atmosphere. After incubation</w:t>
      </w:r>
      <w:r w:rsidRPr="00C119A0">
        <w:rPr>
          <w:rFonts w:ascii="Arial" w:eastAsia="Calibri" w:hAnsi="Arial" w:cs="Arial"/>
          <w:bCs/>
          <w:sz w:val="24"/>
          <w:szCs w:val="24"/>
          <w:lang w:val="en-US"/>
        </w:rPr>
        <w:t>, PBMCs were stained</w:t>
      </w:r>
      <w:r w:rsidRPr="00C119A0">
        <w:rPr>
          <w:rFonts w:ascii="Arial" w:hAnsi="Arial" w:cs="Arial"/>
          <w:bCs/>
          <w:sz w:val="24"/>
          <w:szCs w:val="24"/>
          <w:lang w:val="en-US"/>
        </w:rPr>
        <w:t xml:space="preserve"> with the respective fluorochrome</w:t>
      </w:r>
      <w:r w:rsidRPr="00C119A0">
        <w:rPr>
          <w:rFonts w:ascii="Arial" w:eastAsia="Calibri" w:hAnsi="Arial" w:cs="Arial"/>
          <w:bCs/>
          <w:sz w:val="24"/>
          <w:szCs w:val="24"/>
          <w:lang w:val="en-US"/>
        </w:rPr>
        <w:t>-</w:t>
      </w:r>
      <w:r w:rsidRPr="00C119A0">
        <w:rPr>
          <w:rFonts w:ascii="Arial" w:hAnsi="Arial" w:cs="Arial"/>
          <w:bCs/>
          <w:sz w:val="24"/>
          <w:szCs w:val="24"/>
          <w:lang w:val="en-US"/>
        </w:rPr>
        <w:t>co</w:t>
      </w:r>
      <w:r>
        <w:rPr>
          <w:rFonts w:ascii="Arial" w:hAnsi="Arial" w:cs="Arial"/>
          <w:bCs/>
          <w:sz w:val="24"/>
          <w:szCs w:val="24"/>
          <w:lang w:val="en-US"/>
        </w:rPr>
        <w:t>njugated</w:t>
      </w:r>
      <w:r w:rsidRPr="00C119A0">
        <w:rPr>
          <w:rFonts w:ascii="Arial" w:hAnsi="Arial" w:cs="Arial"/>
          <w:bCs/>
          <w:sz w:val="24"/>
          <w:szCs w:val="24"/>
          <w:lang w:val="en-US"/>
        </w:rPr>
        <w:t xml:space="preserve"> antibodies for </w:t>
      </w:r>
      <w:r w:rsidRPr="00C119A0">
        <w:rPr>
          <w:rFonts w:ascii="Arial" w:eastAsia="Calibri" w:hAnsi="Arial" w:cs="Arial"/>
          <w:bCs/>
          <w:sz w:val="24"/>
          <w:szCs w:val="24"/>
          <w:lang w:val="en-US"/>
        </w:rPr>
        <w:t>flow cytometry</w:t>
      </w:r>
      <w:r w:rsidRPr="00C119A0">
        <w:rPr>
          <w:rFonts w:ascii="Arial" w:hAnsi="Arial" w:cs="Arial"/>
          <w:bCs/>
          <w:sz w:val="24"/>
          <w:szCs w:val="24"/>
          <w:lang w:val="en-US"/>
        </w:rPr>
        <w:t>.</w:t>
      </w:r>
    </w:p>
    <w:sectPr w:rsidR="005213A6" w:rsidRPr="00F83C0A" w:rsidSect="00C614D5">
      <w:footerReference w:type="even" r:id="rId6"/>
      <w:footerReference w:type="default" r:id="rId7"/>
      <w:pgSz w:w="12240" w:h="15840" w:code="1"/>
      <w:pgMar w:top="1417" w:right="1701" w:bottom="1417"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05579" w:rsidRDefault="00F05579" w:rsidP="00C614D5">
      <w:pPr>
        <w:spacing w:after="0" w:line="240" w:lineRule="auto"/>
      </w:pPr>
      <w:r>
        <w:separator/>
      </w:r>
    </w:p>
  </w:endnote>
  <w:endnote w:type="continuationSeparator" w:id="0">
    <w:p w:rsidR="00F05579" w:rsidRDefault="00F05579" w:rsidP="00C61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416096647"/>
      <w:docPartObj>
        <w:docPartGallery w:val="Page Numbers (Bottom of Page)"/>
        <w:docPartUnique/>
      </w:docPartObj>
    </w:sdtPr>
    <w:sdtContent>
      <w:p w:rsidR="00C614D5" w:rsidRDefault="00C614D5" w:rsidP="00325BF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C614D5" w:rsidRDefault="00C614D5" w:rsidP="00C614D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534694946"/>
      <w:docPartObj>
        <w:docPartGallery w:val="Page Numbers (Bottom of Page)"/>
        <w:docPartUnique/>
      </w:docPartObj>
    </w:sdtPr>
    <w:sdtContent>
      <w:p w:rsidR="00C614D5" w:rsidRDefault="00C614D5" w:rsidP="00325BF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rsidR="00C614D5" w:rsidRDefault="00C614D5" w:rsidP="00C614D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05579" w:rsidRDefault="00F05579" w:rsidP="00C614D5">
      <w:pPr>
        <w:spacing w:after="0" w:line="240" w:lineRule="auto"/>
      </w:pPr>
      <w:r>
        <w:separator/>
      </w:r>
    </w:p>
  </w:footnote>
  <w:footnote w:type="continuationSeparator" w:id="0">
    <w:p w:rsidR="00F05579" w:rsidRDefault="00F05579" w:rsidP="00C614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C0A"/>
    <w:rsid w:val="0000544F"/>
    <w:rsid w:val="000229A3"/>
    <w:rsid w:val="00047E71"/>
    <w:rsid w:val="0009670D"/>
    <w:rsid w:val="000973A9"/>
    <w:rsid w:val="000A0DC9"/>
    <w:rsid w:val="000A0FCB"/>
    <w:rsid w:val="000A6835"/>
    <w:rsid w:val="000B4E5E"/>
    <w:rsid w:val="000C0569"/>
    <w:rsid w:val="000C7A0F"/>
    <w:rsid w:val="000D0B08"/>
    <w:rsid w:val="000D6C8B"/>
    <w:rsid w:val="000E3CFD"/>
    <w:rsid w:val="000E7127"/>
    <w:rsid w:val="0010537B"/>
    <w:rsid w:val="001063C5"/>
    <w:rsid w:val="00107E93"/>
    <w:rsid w:val="001149F3"/>
    <w:rsid w:val="001520AC"/>
    <w:rsid w:val="001747E2"/>
    <w:rsid w:val="001A5441"/>
    <w:rsid w:val="001B1009"/>
    <w:rsid w:val="001B2B71"/>
    <w:rsid w:val="001C0A3D"/>
    <w:rsid w:val="001C1384"/>
    <w:rsid w:val="001D34D9"/>
    <w:rsid w:val="001F1685"/>
    <w:rsid w:val="001F35BC"/>
    <w:rsid w:val="001F63AD"/>
    <w:rsid w:val="002108E1"/>
    <w:rsid w:val="0022570D"/>
    <w:rsid w:val="0026228A"/>
    <w:rsid w:val="002747E6"/>
    <w:rsid w:val="002C1C63"/>
    <w:rsid w:val="002C24CD"/>
    <w:rsid w:val="002C4D8A"/>
    <w:rsid w:val="002C5A12"/>
    <w:rsid w:val="002E2AD1"/>
    <w:rsid w:val="002F440F"/>
    <w:rsid w:val="003208D0"/>
    <w:rsid w:val="00336EE3"/>
    <w:rsid w:val="00351816"/>
    <w:rsid w:val="00353360"/>
    <w:rsid w:val="00355DE4"/>
    <w:rsid w:val="003649BD"/>
    <w:rsid w:val="003906B9"/>
    <w:rsid w:val="003A32D9"/>
    <w:rsid w:val="003B4A29"/>
    <w:rsid w:val="003B53AF"/>
    <w:rsid w:val="003E2C12"/>
    <w:rsid w:val="004106D4"/>
    <w:rsid w:val="0041313C"/>
    <w:rsid w:val="00423707"/>
    <w:rsid w:val="0044779F"/>
    <w:rsid w:val="004555F9"/>
    <w:rsid w:val="004605E5"/>
    <w:rsid w:val="0046400A"/>
    <w:rsid w:val="00466BCF"/>
    <w:rsid w:val="004B10A6"/>
    <w:rsid w:val="004E62BF"/>
    <w:rsid w:val="004F34AD"/>
    <w:rsid w:val="004F4AB9"/>
    <w:rsid w:val="004F60E5"/>
    <w:rsid w:val="00501229"/>
    <w:rsid w:val="00503417"/>
    <w:rsid w:val="005041DA"/>
    <w:rsid w:val="00504B9B"/>
    <w:rsid w:val="00506A89"/>
    <w:rsid w:val="00511C2D"/>
    <w:rsid w:val="005213A6"/>
    <w:rsid w:val="00523657"/>
    <w:rsid w:val="005337CF"/>
    <w:rsid w:val="00537322"/>
    <w:rsid w:val="005639FE"/>
    <w:rsid w:val="0057651B"/>
    <w:rsid w:val="005B35E1"/>
    <w:rsid w:val="005F2B5B"/>
    <w:rsid w:val="005F5A9D"/>
    <w:rsid w:val="00622785"/>
    <w:rsid w:val="00624663"/>
    <w:rsid w:val="00626A81"/>
    <w:rsid w:val="00631B7E"/>
    <w:rsid w:val="00636C72"/>
    <w:rsid w:val="00656C0F"/>
    <w:rsid w:val="00663D9F"/>
    <w:rsid w:val="00674A30"/>
    <w:rsid w:val="00676FC0"/>
    <w:rsid w:val="006850A0"/>
    <w:rsid w:val="00685FF7"/>
    <w:rsid w:val="006B5E84"/>
    <w:rsid w:val="006C1D19"/>
    <w:rsid w:val="007159A0"/>
    <w:rsid w:val="00724D62"/>
    <w:rsid w:val="00727450"/>
    <w:rsid w:val="0074049F"/>
    <w:rsid w:val="00742A16"/>
    <w:rsid w:val="00745668"/>
    <w:rsid w:val="007503F4"/>
    <w:rsid w:val="007911F1"/>
    <w:rsid w:val="00795DCE"/>
    <w:rsid w:val="007973B7"/>
    <w:rsid w:val="007A04A6"/>
    <w:rsid w:val="007B4E02"/>
    <w:rsid w:val="007C73DA"/>
    <w:rsid w:val="007D7D8F"/>
    <w:rsid w:val="0080739D"/>
    <w:rsid w:val="00814367"/>
    <w:rsid w:val="0082155A"/>
    <w:rsid w:val="00825F53"/>
    <w:rsid w:val="00833B6E"/>
    <w:rsid w:val="008378C8"/>
    <w:rsid w:val="00840800"/>
    <w:rsid w:val="00842966"/>
    <w:rsid w:val="008527DA"/>
    <w:rsid w:val="008539E2"/>
    <w:rsid w:val="0085504E"/>
    <w:rsid w:val="00857557"/>
    <w:rsid w:val="00884196"/>
    <w:rsid w:val="008946C9"/>
    <w:rsid w:val="008959E1"/>
    <w:rsid w:val="008A0448"/>
    <w:rsid w:val="008A7536"/>
    <w:rsid w:val="008E478D"/>
    <w:rsid w:val="009012FA"/>
    <w:rsid w:val="00912A10"/>
    <w:rsid w:val="00931D04"/>
    <w:rsid w:val="00936BD9"/>
    <w:rsid w:val="00953AD8"/>
    <w:rsid w:val="009860A3"/>
    <w:rsid w:val="009C21FD"/>
    <w:rsid w:val="009D1694"/>
    <w:rsid w:val="009F325A"/>
    <w:rsid w:val="009F5F14"/>
    <w:rsid w:val="00A02411"/>
    <w:rsid w:val="00AE7612"/>
    <w:rsid w:val="00AF2669"/>
    <w:rsid w:val="00AF30E2"/>
    <w:rsid w:val="00B05082"/>
    <w:rsid w:val="00B3046F"/>
    <w:rsid w:val="00B347A8"/>
    <w:rsid w:val="00B37F1F"/>
    <w:rsid w:val="00B4160B"/>
    <w:rsid w:val="00B547B2"/>
    <w:rsid w:val="00B56288"/>
    <w:rsid w:val="00B567B0"/>
    <w:rsid w:val="00B643BB"/>
    <w:rsid w:val="00B77186"/>
    <w:rsid w:val="00B90F14"/>
    <w:rsid w:val="00B9796D"/>
    <w:rsid w:val="00BB3432"/>
    <w:rsid w:val="00C02AF8"/>
    <w:rsid w:val="00C13C76"/>
    <w:rsid w:val="00C1462A"/>
    <w:rsid w:val="00C36BEB"/>
    <w:rsid w:val="00C4322B"/>
    <w:rsid w:val="00C611AC"/>
    <w:rsid w:val="00C614D5"/>
    <w:rsid w:val="00C70B99"/>
    <w:rsid w:val="00C7494C"/>
    <w:rsid w:val="00C86B62"/>
    <w:rsid w:val="00C96B25"/>
    <w:rsid w:val="00CA6190"/>
    <w:rsid w:val="00CC6999"/>
    <w:rsid w:val="00CF34B5"/>
    <w:rsid w:val="00CF4282"/>
    <w:rsid w:val="00CF78FB"/>
    <w:rsid w:val="00D20BD6"/>
    <w:rsid w:val="00D2729D"/>
    <w:rsid w:val="00D366C0"/>
    <w:rsid w:val="00D439F7"/>
    <w:rsid w:val="00D66C25"/>
    <w:rsid w:val="00D976E6"/>
    <w:rsid w:val="00DB44D2"/>
    <w:rsid w:val="00DB6225"/>
    <w:rsid w:val="00DE5C19"/>
    <w:rsid w:val="00DE68DE"/>
    <w:rsid w:val="00DF437C"/>
    <w:rsid w:val="00DF6200"/>
    <w:rsid w:val="00E00CE3"/>
    <w:rsid w:val="00E02EEF"/>
    <w:rsid w:val="00E049FC"/>
    <w:rsid w:val="00E176CE"/>
    <w:rsid w:val="00E20061"/>
    <w:rsid w:val="00E5078E"/>
    <w:rsid w:val="00E554A1"/>
    <w:rsid w:val="00E70795"/>
    <w:rsid w:val="00E76FEE"/>
    <w:rsid w:val="00E9064B"/>
    <w:rsid w:val="00E90C4F"/>
    <w:rsid w:val="00E90F04"/>
    <w:rsid w:val="00E912E2"/>
    <w:rsid w:val="00E91A94"/>
    <w:rsid w:val="00E97A09"/>
    <w:rsid w:val="00EB13A8"/>
    <w:rsid w:val="00EC4AED"/>
    <w:rsid w:val="00ED3484"/>
    <w:rsid w:val="00ED3C37"/>
    <w:rsid w:val="00ED590E"/>
    <w:rsid w:val="00EF21C2"/>
    <w:rsid w:val="00EF64E4"/>
    <w:rsid w:val="00F05579"/>
    <w:rsid w:val="00F07DAF"/>
    <w:rsid w:val="00F333E7"/>
    <w:rsid w:val="00F36E04"/>
    <w:rsid w:val="00F411CF"/>
    <w:rsid w:val="00F4676E"/>
    <w:rsid w:val="00F67FB9"/>
    <w:rsid w:val="00F702CD"/>
    <w:rsid w:val="00F72B75"/>
    <w:rsid w:val="00F83C0A"/>
    <w:rsid w:val="00F86AD0"/>
    <w:rsid w:val="00F93C18"/>
    <w:rsid w:val="00FB0905"/>
    <w:rsid w:val="00FB262C"/>
    <w:rsid w:val="00FB293B"/>
    <w:rsid w:val="00FB5FDA"/>
    <w:rsid w:val="00FB78B3"/>
    <w:rsid w:val="00FC096E"/>
    <w:rsid w:val="00FC1345"/>
    <w:rsid w:val="00FE4328"/>
    <w:rsid w:val="00FE580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8323D"/>
  <w15:chartTrackingRefBased/>
  <w15:docId w15:val="{34F55602-E2D4-A449-B02F-D6B29CF97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F83C0A"/>
    <w:pPr>
      <w:spacing w:after="200" w:line="276"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567B0"/>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B567B0"/>
    <w:rPr>
      <w:rFonts w:ascii="Times New Roman" w:hAnsi="Times New Roman" w:cs="Times New Roman"/>
      <w:sz w:val="18"/>
      <w:szCs w:val="18"/>
    </w:rPr>
  </w:style>
  <w:style w:type="character" w:styleId="Nmerodelnea">
    <w:name w:val="line number"/>
    <w:basedOn w:val="Fuentedeprrafopredeter"/>
    <w:uiPriority w:val="99"/>
    <w:semiHidden/>
    <w:unhideWhenUsed/>
    <w:rsid w:val="00C614D5"/>
  </w:style>
  <w:style w:type="paragraph" w:styleId="Piedepgina">
    <w:name w:val="footer"/>
    <w:basedOn w:val="Normal"/>
    <w:link w:val="PiedepginaCar"/>
    <w:uiPriority w:val="99"/>
    <w:unhideWhenUsed/>
    <w:rsid w:val="00C614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14D5"/>
    <w:rPr>
      <w:sz w:val="22"/>
      <w:szCs w:val="22"/>
      <w:lang w:val="es-ES"/>
    </w:rPr>
  </w:style>
  <w:style w:type="character" w:styleId="Nmerodepgina">
    <w:name w:val="page number"/>
    <w:basedOn w:val="Fuentedeprrafopredeter"/>
    <w:uiPriority w:val="99"/>
    <w:semiHidden/>
    <w:unhideWhenUsed/>
    <w:rsid w:val="00C61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02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437</Words>
  <Characters>2404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2020-07-14T02:00:00Z</dcterms:created>
  <dcterms:modified xsi:type="dcterms:W3CDTF">2020-07-21T01:35:00Z</dcterms:modified>
</cp:coreProperties>
</file>