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46" w:tblpY="149"/>
        <w:tblOverlap w:val="never"/>
        <w:tblW w:w="9072" w:type="dxa"/>
        <w:tblInd w:w="0" w:type="dxa"/>
        <w:tblBorders>
          <w:top w:val="single" w:color="999999" w:sz="4" w:space="0"/>
          <w:left w:val="single" w:color="999999" w:sz="4" w:space="0"/>
          <w:bottom w:val="single" w:color="999999" w:sz="4" w:space="0"/>
          <w:right w:val="single" w:color="999999" w:sz="4" w:space="0"/>
          <w:insideH w:val="single" w:color="999999" w:sz="4" w:space="0"/>
          <w:insideV w:val="single" w:color="9999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2601"/>
        <w:gridCol w:w="2685"/>
        <w:gridCol w:w="2842"/>
      </w:tblGrid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9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Normal 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>C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ontrol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 xml:space="preserve"> G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roup</w:t>
            </w:r>
          </w:p>
        </w:tc>
        <w:tc>
          <w:tcPr>
            <w:tcW w:w="5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br w:type="column"/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>COVID-19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  <w:t>G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roup\</w:t>
            </w: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9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0 - 7 days after diagnosis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8 - 30 days after diagnosis</w:t>
            </w: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n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Age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31.9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± 5.4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32.9 ± 7.20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29.9 ± 4.94</w:t>
            </w: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59" w:lineRule="auto"/>
              <w:jc w:val="center"/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5.0 ± </w:t>
            </w: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3.50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4.9 ± 4.13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after="0" w:line="259" w:lineRule="auto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5.1 ± 3.08</w:t>
            </w:r>
          </w:p>
        </w:tc>
      </w:tr>
    </w:tbl>
    <w:p/>
    <w:p>
      <w:pPr>
        <w:spacing w:before="240" w:after="0" w:line="480" w:lineRule="auto"/>
        <w:jc w:val="both"/>
        <w:rPr>
          <w:rFonts w:hint="default" w:ascii="Times New Roman" w:hAnsi="Times New Roman" w:eastAsia="等线" w:cs="Times New Roman"/>
          <w:b w:val="0"/>
          <w:bCs w:val="0"/>
          <w:color w:val="000000"/>
          <w:sz w:val="24"/>
          <w:szCs w:val="20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Supplemental Table 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b/>
          <w:sz w:val="24"/>
          <w:szCs w:val="24"/>
          <w:highlight w:val="none"/>
        </w:rPr>
        <w:t xml:space="preserve"> </w:t>
      </w:r>
      <w:r>
        <w:rPr>
          <w:rFonts w:hint="eastAsia" w:ascii="Times New Roman" w:hAnsi="Times New Roman" w:eastAsia="楷体" w:cs="Times New Roman"/>
          <w:sz w:val="24"/>
          <w:szCs w:val="24"/>
          <w:highlight w:val="none"/>
          <w:lang w:val="en-US" w:eastAsia="zh-CN"/>
        </w:rPr>
        <w:t>C</w:t>
      </w:r>
      <w:r>
        <w:rPr>
          <w:rFonts w:hint="eastAsia" w:ascii="Times New Roman" w:hAnsi="Times New Roman" w:eastAsia="楷体" w:cs="Times New Roman"/>
          <w:sz w:val="24"/>
          <w:szCs w:val="24"/>
          <w:highlight w:val="none"/>
        </w:rPr>
        <w:t>haracteristics of the patients</w:t>
      </w:r>
      <w:r>
        <w:rPr>
          <w:rFonts w:hint="eastAsia" w:ascii="Times New Roman" w:hAnsi="Times New Roman" w:eastAsia="楷体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sz w:val="24"/>
          <w:szCs w:val="24"/>
          <w:highlight w:val="none"/>
          <w:lang w:val="en-US" w:eastAsia="zh-CN"/>
        </w:rPr>
        <w:t xml:space="preserve">with serum cytokine </w:t>
      </w:r>
      <w:bookmarkStart w:id="0" w:name="_GoBack"/>
      <w:bookmarkEnd w:id="0"/>
      <w:r>
        <w:rPr>
          <w:rFonts w:hint="eastAsia" w:ascii="Times New Roman" w:hAnsi="Times New Roman" w:eastAsia="楷体" w:cs="Times New Roman"/>
          <w:color w:val="auto"/>
          <w:sz w:val="24"/>
          <w:szCs w:val="24"/>
          <w:highlight w:val="none"/>
          <w:lang w:val="en-US" w:eastAsia="zh-CN"/>
        </w:rPr>
        <w:t>examination</w:t>
      </w:r>
      <w:r>
        <w:rPr>
          <w:rFonts w:hint="eastAsia" w:ascii="Times New Roman" w:hAnsi="Times New Roman" w:eastAsia="楷体" w:cs="Times New Roman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</w:rPr>
        <w:t>The age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  <w:lang w:val="en-US" w:eastAsia="zh-CN"/>
        </w:rPr>
        <w:t xml:space="preserve"> and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</w:rPr>
        <w:t xml:space="preserve">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  <w:lang w:val="en-US" w:eastAsia="zh-CN"/>
        </w:rPr>
        <w:t xml:space="preserve">BMI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</w:rPr>
        <w:t xml:space="preserve">are indicated. The timings of symptom onset and </w:t>
      </w:r>
      <w:r>
        <w:rPr>
          <w:rFonts w:hint="eastAsia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  <w:lang w:val="en-US" w:eastAsia="zh-CN"/>
        </w:rPr>
        <w:t>blood samples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sz w:val="24"/>
          <w:szCs w:val="20"/>
          <w:highlight w:val="none"/>
        </w:rPr>
        <w:t xml:space="preserve"> collection are presented relative to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sz w:val="24"/>
          <w:szCs w:val="20"/>
        </w:rPr>
        <w:t xml:space="preserve"> the day of COVID-19 diagnosis confirmed by positive RT-PCR of a nasopharyngeal sample.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NzU1MjU0Y2QxOGZlY2IyN2U0NjQ5MDU2ODU0ZWIifQ=="/>
  </w:docVars>
  <w:rsids>
    <w:rsidRoot w:val="3F1A348F"/>
    <w:rsid w:val="3F1A348F"/>
    <w:rsid w:val="46CC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="Calibri" w:hAnsi="Calibri" w:eastAsia="Calibri" w:cs="Times New Roman"/>
      <w:sz w:val="22"/>
      <w:szCs w:val="22"/>
      <w:lang w:val="en-US" w:eastAsia="es-E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Grid Table 1 Light"/>
    <w:basedOn w:val="2"/>
    <w:qFormat/>
    <w:uiPriority w:val="46"/>
    <w:pPr>
      <w:spacing w:after="0" w:line="240" w:lineRule="auto"/>
    </w:pPr>
    <w:tblPr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color="666666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color="666666" w:sz="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2024-06-07T02:29:00Z</dcterms:created>
  <dc:creator>cc</dc:creator>
  <cp:lastModifiedBy>cc</cp:lastModifiedBy>
  <dcterms:modified xsi:type="dcterms:W3CDTF">2024-06-07T07:46:23Z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299DB8B0BCF9402CBE22EB4DC44478AA_11</vt:lpwstr>
  </property>
</Properties>
</file>