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F9977" w14:textId="77777777" w:rsidR="009261C0" w:rsidRPr="002829B0" w:rsidRDefault="009261C0" w:rsidP="00D323C8">
      <w:pPr>
        <w:pStyle w:val="Heading1"/>
        <w:rPr>
          <w:sz w:val="40"/>
          <w:szCs w:val="40"/>
        </w:rPr>
      </w:pPr>
      <w:r w:rsidRPr="002829B0">
        <w:rPr>
          <w:sz w:val="40"/>
          <w:szCs w:val="40"/>
        </w:rPr>
        <w:t>Supplementary Material</w:t>
      </w:r>
    </w:p>
    <w:p w14:paraId="7F7CF1D8" w14:textId="1B814FDA" w:rsidR="007E19D4" w:rsidRDefault="007E19D4" w:rsidP="007E19D4"/>
    <w:p w14:paraId="7756F9E8" w14:textId="77777777" w:rsidR="007E19D4" w:rsidRPr="0024098F" w:rsidRDefault="007E19D4" w:rsidP="007E19D4">
      <w:pPr>
        <w:rPr>
          <w:b/>
        </w:rPr>
      </w:pPr>
      <w:r w:rsidRPr="0024098F">
        <w:rPr>
          <w:b/>
        </w:rPr>
        <w:t>GCN2 inhibition reduces mutant SOD1 clustering and toxicity and delays disease progression in an Amyotrophic Lateral Sclerosis mouse model</w:t>
      </w:r>
    </w:p>
    <w:p w14:paraId="42AF063F" w14:textId="4F637D3E" w:rsidR="007E19D4" w:rsidRPr="00FA6F94" w:rsidRDefault="007E19D4" w:rsidP="007E19D4">
      <w:pPr>
        <w:rPr>
          <w:lang w:val="es-ES"/>
        </w:rPr>
      </w:pPr>
      <w:r w:rsidRPr="00FA6F94">
        <w:rPr>
          <w:lang w:val="es-ES"/>
        </w:rPr>
        <w:t>Didio Alberto Ortiz</w:t>
      </w:r>
      <w:proofErr w:type="gramStart"/>
      <w:r w:rsidRPr="00FA6F94">
        <w:rPr>
          <w:vertAlign w:val="superscript"/>
          <w:lang w:val="es-ES"/>
        </w:rPr>
        <w:t>1,&amp;</w:t>
      </w:r>
      <w:proofErr w:type="gramEnd"/>
      <w:r w:rsidRPr="00FA6F94">
        <w:rPr>
          <w:lang w:val="es-ES"/>
        </w:rPr>
        <w:t>, Nuria Peregrín</w:t>
      </w:r>
      <w:r w:rsidRPr="00FA6F94">
        <w:rPr>
          <w:vertAlign w:val="superscript"/>
          <w:lang w:val="es-ES"/>
        </w:rPr>
        <w:t>1,&amp;</w:t>
      </w:r>
      <w:r w:rsidRPr="00FA6F94">
        <w:rPr>
          <w:lang w:val="es-ES"/>
        </w:rPr>
        <w:t>, Miguel Valencia</w:t>
      </w:r>
      <w:r w:rsidRPr="00FA6F94">
        <w:rPr>
          <w:vertAlign w:val="superscript"/>
          <w:lang w:val="es-ES"/>
        </w:rPr>
        <w:t>2,3,4</w:t>
      </w:r>
      <w:r w:rsidRPr="00FA6F94">
        <w:rPr>
          <w:lang w:val="es-ES"/>
        </w:rPr>
        <w:t>, Rodrigo Vinueza-Gavilanes</w:t>
      </w:r>
      <w:r w:rsidRPr="00FA6F94">
        <w:rPr>
          <w:vertAlign w:val="superscript"/>
          <w:lang w:val="es-ES"/>
        </w:rPr>
        <w:t>1,4</w:t>
      </w:r>
      <w:r w:rsidRPr="00FA6F94">
        <w:rPr>
          <w:lang w:val="es-ES"/>
        </w:rPr>
        <w:t>, Elisa Marín-Ordovas</w:t>
      </w:r>
      <w:r w:rsidRPr="00FA6F94">
        <w:rPr>
          <w:vertAlign w:val="superscript"/>
          <w:lang w:val="es-ES"/>
        </w:rPr>
        <w:t>5</w:t>
      </w:r>
      <w:r w:rsidRPr="00FA6F94">
        <w:rPr>
          <w:lang w:val="es-ES"/>
        </w:rPr>
        <w:t>, Roberto Ferrero</w:t>
      </w:r>
      <w:r w:rsidRPr="00FA6F94">
        <w:rPr>
          <w:vertAlign w:val="superscript"/>
          <w:lang w:val="es-ES"/>
        </w:rPr>
        <w:t>1,4</w:t>
      </w:r>
      <w:r w:rsidRPr="00FA6F94">
        <w:rPr>
          <w:lang w:val="es-ES"/>
        </w:rPr>
        <w:t>, María Jesús Nicolás</w:t>
      </w:r>
      <w:r w:rsidRPr="00FA6F94">
        <w:rPr>
          <w:vertAlign w:val="superscript"/>
          <w:lang w:val="es-ES"/>
        </w:rPr>
        <w:t>2,4</w:t>
      </w:r>
      <w:r w:rsidRPr="00FA6F94">
        <w:rPr>
          <w:lang w:val="es-ES"/>
        </w:rPr>
        <w:t>, Gloria González-Aseguinolaza</w:t>
      </w:r>
      <w:r w:rsidRPr="00FA6F94">
        <w:rPr>
          <w:vertAlign w:val="superscript"/>
          <w:lang w:val="es-ES"/>
        </w:rPr>
        <w:t>1,4</w:t>
      </w:r>
      <w:r w:rsidRPr="00FA6F94">
        <w:rPr>
          <w:lang w:val="es-ES"/>
        </w:rPr>
        <w:t>, Montserrat Arrasate</w:t>
      </w:r>
      <w:r w:rsidRPr="00FA6F94">
        <w:rPr>
          <w:vertAlign w:val="superscript"/>
          <w:lang w:val="es-ES"/>
        </w:rPr>
        <w:t>1,4,6,#</w:t>
      </w:r>
      <w:r w:rsidRPr="00FA6F94">
        <w:rPr>
          <w:lang w:val="es-ES"/>
        </w:rPr>
        <w:t xml:space="preserve"> and Tomás Aragón</w:t>
      </w:r>
      <w:r w:rsidRPr="00FA6F94">
        <w:rPr>
          <w:vertAlign w:val="superscript"/>
          <w:lang w:val="es-ES"/>
        </w:rPr>
        <w:t>1,4,#</w:t>
      </w:r>
      <w:r w:rsidRPr="00FA6F94">
        <w:rPr>
          <w:lang w:val="es-ES"/>
        </w:rPr>
        <w:t xml:space="preserve">. </w:t>
      </w:r>
    </w:p>
    <w:p w14:paraId="350913D6" w14:textId="77777777" w:rsidR="0024098F" w:rsidRPr="00FA6F94" w:rsidRDefault="0024098F" w:rsidP="007E19D4">
      <w:pPr>
        <w:rPr>
          <w:lang w:val="es-ES"/>
        </w:rPr>
      </w:pPr>
    </w:p>
    <w:p w14:paraId="4F8F7C52" w14:textId="77777777" w:rsidR="007E19D4" w:rsidRDefault="007E19D4" w:rsidP="007E19D4">
      <w:r w:rsidRPr="0024098F">
        <w:rPr>
          <w:vertAlign w:val="superscript"/>
        </w:rPr>
        <w:t>1</w:t>
      </w:r>
      <w:r>
        <w:t xml:space="preserve"> University of Navarra, Center for Applied Medical Research (CIMA), DNA and RNA Medicine Program, Pamplona, Spain. </w:t>
      </w:r>
    </w:p>
    <w:p w14:paraId="4EA14309" w14:textId="77777777" w:rsidR="007E19D4" w:rsidRDefault="007E19D4" w:rsidP="007E19D4">
      <w:r w:rsidRPr="0024098F">
        <w:rPr>
          <w:vertAlign w:val="superscript"/>
        </w:rPr>
        <w:t>2</w:t>
      </w:r>
      <w:r>
        <w:t xml:space="preserve"> University of Navarra, Center for Applied Medical Research (CIMA), Biomedical Engineering Program, Pamplona, Spain. </w:t>
      </w:r>
    </w:p>
    <w:p w14:paraId="1B9583AB" w14:textId="77777777" w:rsidR="007E19D4" w:rsidRDefault="007E19D4" w:rsidP="007E19D4">
      <w:r w:rsidRPr="0024098F">
        <w:rPr>
          <w:vertAlign w:val="superscript"/>
        </w:rPr>
        <w:t>3</w:t>
      </w:r>
      <w:r>
        <w:t xml:space="preserve"> University of Navarra, Institute of Data Science and Artificial Intelligence (DATAI), Pamplona, Spain. </w:t>
      </w:r>
    </w:p>
    <w:p w14:paraId="51E8F0F7" w14:textId="77777777" w:rsidR="007E19D4" w:rsidRDefault="007E19D4" w:rsidP="007E19D4">
      <w:r w:rsidRPr="0024098F">
        <w:rPr>
          <w:vertAlign w:val="superscript"/>
        </w:rPr>
        <w:t>4</w:t>
      </w:r>
      <w:r>
        <w:t xml:space="preserve"> Navarra Institute for Health Research (</w:t>
      </w:r>
      <w:proofErr w:type="spellStart"/>
      <w:r>
        <w:t>IdiSNA</w:t>
      </w:r>
      <w:proofErr w:type="spellEnd"/>
      <w:r>
        <w:t xml:space="preserve">), Pamplona, Spain. </w:t>
      </w:r>
    </w:p>
    <w:p w14:paraId="70711642" w14:textId="77777777" w:rsidR="007E19D4" w:rsidRDefault="007E19D4" w:rsidP="007E19D4">
      <w:r w:rsidRPr="0024098F">
        <w:rPr>
          <w:vertAlign w:val="superscript"/>
        </w:rPr>
        <w:t>5</w:t>
      </w:r>
      <w:r>
        <w:t xml:space="preserve"> </w:t>
      </w:r>
      <w:proofErr w:type="spellStart"/>
      <w:r>
        <w:t>Vall</w:t>
      </w:r>
      <w:proofErr w:type="spellEnd"/>
      <w:r>
        <w:t xml:space="preserve"> </w:t>
      </w:r>
      <w:proofErr w:type="spellStart"/>
      <w:r>
        <w:t>d'Hebron</w:t>
      </w:r>
      <w:proofErr w:type="spellEnd"/>
      <w:r>
        <w:t xml:space="preserve"> Research Institute (VHIR), Multiple Sclerosis Center of Catalonia (</w:t>
      </w:r>
      <w:proofErr w:type="spellStart"/>
      <w:r>
        <w:t>Cemcat</w:t>
      </w:r>
      <w:proofErr w:type="spellEnd"/>
      <w:r>
        <w:t xml:space="preserve">), Neuroimmunology Department, Barcelona, Spain. </w:t>
      </w:r>
    </w:p>
    <w:p w14:paraId="3D6FDCB6" w14:textId="77777777" w:rsidR="007E19D4" w:rsidRDefault="007E19D4" w:rsidP="007E19D4">
      <w:r w:rsidRPr="0024098F">
        <w:rPr>
          <w:vertAlign w:val="superscript"/>
        </w:rPr>
        <w:t>6</w:t>
      </w:r>
      <w:r>
        <w:t xml:space="preserve"> University of Navarra, School of Medicine, Pamplona, Spain. </w:t>
      </w:r>
    </w:p>
    <w:p w14:paraId="0772F9FA" w14:textId="77777777" w:rsidR="007E19D4" w:rsidRDefault="007E19D4" w:rsidP="007E19D4">
      <w:r w:rsidRPr="0024098F">
        <w:rPr>
          <w:vertAlign w:val="superscript"/>
        </w:rPr>
        <w:t>&amp;</w:t>
      </w:r>
      <w:r>
        <w:t xml:space="preserve"> These authors contributed equally to this work. </w:t>
      </w:r>
    </w:p>
    <w:p w14:paraId="60ECA6B6" w14:textId="77777777" w:rsidR="007E19D4" w:rsidRDefault="007E19D4" w:rsidP="007E19D4">
      <w:r w:rsidRPr="0024098F">
        <w:rPr>
          <w:vertAlign w:val="superscript"/>
        </w:rPr>
        <w:t>#</w:t>
      </w:r>
      <w:r>
        <w:t xml:space="preserve"> Co-last authors. </w:t>
      </w:r>
    </w:p>
    <w:p w14:paraId="71C48B7A" w14:textId="77777777" w:rsidR="007E19D4" w:rsidRDefault="007E19D4" w:rsidP="007E19D4"/>
    <w:p w14:paraId="1C27AEB9" w14:textId="77777777" w:rsidR="007E19D4" w:rsidRDefault="007E19D4" w:rsidP="0024098F">
      <w:pPr>
        <w:spacing w:after="0"/>
      </w:pPr>
      <w:r>
        <w:t>Corresponding Author(s), Emails:</w:t>
      </w:r>
    </w:p>
    <w:p w14:paraId="53EF5441" w14:textId="4A7900DF" w:rsidR="009261C0" w:rsidRPr="00FA6F94" w:rsidRDefault="007E19D4" w:rsidP="0024098F">
      <w:pPr>
        <w:spacing w:after="0"/>
        <w:rPr>
          <w:lang w:val="es-ES"/>
        </w:rPr>
      </w:pPr>
      <w:r w:rsidRPr="00FA6F94">
        <w:rPr>
          <w:lang w:val="es-ES"/>
        </w:rPr>
        <w:t xml:space="preserve">Montserrat Arrasate: </w:t>
      </w:r>
      <w:hyperlink r:id="rId8" w:history="1">
        <w:r w:rsidRPr="00FA6F94">
          <w:rPr>
            <w:rStyle w:val="Hyperlink"/>
            <w:lang w:val="es-ES"/>
          </w:rPr>
          <w:t>marrasatei@unav.es</w:t>
        </w:r>
      </w:hyperlink>
      <w:r w:rsidRPr="00FA6F94">
        <w:rPr>
          <w:lang w:val="es-ES"/>
        </w:rPr>
        <w:t xml:space="preserve">         Tomás Aragón: </w:t>
      </w:r>
      <w:hyperlink r:id="rId9" w:history="1">
        <w:r w:rsidRPr="00FA6F94">
          <w:rPr>
            <w:rStyle w:val="Hyperlink"/>
            <w:lang w:val="es-ES"/>
          </w:rPr>
          <w:t>taragon@unav.es</w:t>
        </w:r>
      </w:hyperlink>
    </w:p>
    <w:p w14:paraId="3DDCDF23" w14:textId="5D692046" w:rsidR="007E19D4" w:rsidRPr="00FA6F94" w:rsidRDefault="007E19D4" w:rsidP="0024098F">
      <w:pPr>
        <w:spacing w:after="0"/>
        <w:rPr>
          <w:lang w:val="es-ES"/>
        </w:rPr>
      </w:pPr>
    </w:p>
    <w:p w14:paraId="2508001D" w14:textId="3EF9147A" w:rsidR="007E19D4" w:rsidRPr="00FA6F94" w:rsidRDefault="007E19D4" w:rsidP="009261C0">
      <w:pPr>
        <w:rPr>
          <w:lang w:val="es-ES"/>
        </w:rPr>
      </w:pPr>
    </w:p>
    <w:p w14:paraId="74937225" w14:textId="578EEFE0" w:rsidR="007E19D4" w:rsidRPr="00FA6F94" w:rsidRDefault="007E19D4" w:rsidP="009261C0">
      <w:pPr>
        <w:rPr>
          <w:lang w:val="es-ES"/>
        </w:rPr>
      </w:pPr>
    </w:p>
    <w:p w14:paraId="219536B9" w14:textId="4A0F4CFC" w:rsidR="007E19D4" w:rsidRPr="00FA6F94" w:rsidRDefault="007E19D4" w:rsidP="009261C0">
      <w:pPr>
        <w:rPr>
          <w:lang w:val="es-ES"/>
        </w:rPr>
      </w:pPr>
    </w:p>
    <w:p w14:paraId="48094EAA" w14:textId="281BB7E9" w:rsidR="007E19D4" w:rsidRPr="00FA6F94" w:rsidRDefault="007E19D4" w:rsidP="009261C0">
      <w:pPr>
        <w:rPr>
          <w:lang w:val="es-ES"/>
        </w:rPr>
      </w:pPr>
    </w:p>
    <w:p w14:paraId="4A6B2B8D" w14:textId="0C72AC1F" w:rsidR="007E19D4" w:rsidRPr="00FA6F94" w:rsidRDefault="007E19D4" w:rsidP="009261C0">
      <w:pPr>
        <w:rPr>
          <w:lang w:val="es-ES"/>
        </w:rPr>
      </w:pPr>
    </w:p>
    <w:p w14:paraId="2641EA52" w14:textId="49C70316" w:rsidR="007E19D4" w:rsidRPr="00FA6F94" w:rsidRDefault="007E19D4" w:rsidP="009261C0">
      <w:pPr>
        <w:rPr>
          <w:lang w:val="es-ES"/>
        </w:rPr>
      </w:pPr>
    </w:p>
    <w:p w14:paraId="72CE3EC7" w14:textId="6D4B45B0" w:rsidR="007E19D4" w:rsidRPr="00FA6F94" w:rsidRDefault="007E19D4" w:rsidP="009261C0">
      <w:pPr>
        <w:rPr>
          <w:lang w:val="es-ES"/>
        </w:rPr>
      </w:pPr>
    </w:p>
    <w:p w14:paraId="7BBD5244" w14:textId="2909F91C" w:rsidR="007E19D4" w:rsidRPr="00FA6F94" w:rsidRDefault="007E19D4" w:rsidP="009261C0">
      <w:pPr>
        <w:rPr>
          <w:lang w:val="es-ES"/>
        </w:rPr>
      </w:pPr>
    </w:p>
    <w:p w14:paraId="7EA66B21" w14:textId="5168C786" w:rsidR="007E19D4" w:rsidRPr="00FA6F94" w:rsidRDefault="007E19D4" w:rsidP="009261C0">
      <w:pPr>
        <w:rPr>
          <w:lang w:val="es-ES"/>
        </w:rPr>
      </w:pPr>
    </w:p>
    <w:p w14:paraId="57A1D088" w14:textId="77777777" w:rsidR="003355B0" w:rsidRPr="00DC7845" w:rsidRDefault="003355B0" w:rsidP="009261C0">
      <w:pPr>
        <w:rPr>
          <w:lang w:val="es-ES"/>
        </w:rPr>
      </w:pPr>
    </w:p>
    <w:p w14:paraId="22414BC0" w14:textId="1FDBD0F9" w:rsidR="009261C0" w:rsidRDefault="009261C0" w:rsidP="00D323C8">
      <w:pPr>
        <w:pStyle w:val="Heading2"/>
        <w:rPr>
          <w:sz w:val="36"/>
          <w:szCs w:val="36"/>
        </w:rPr>
      </w:pPr>
      <w:r w:rsidRPr="002829B0">
        <w:rPr>
          <w:sz w:val="36"/>
          <w:szCs w:val="36"/>
        </w:rPr>
        <w:lastRenderedPageBreak/>
        <w:t>Supplementary Figures</w:t>
      </w:r>
    </w:p>
    <w:p w14:paraId="4EECA17F" w14:textId="66FC6917" w:rsidR="004E01ED" w:rsidRDefault="004E01ED" w:rsidP="004E01ED"/>
    <w:p w14:paraId="7C587D08" w14:textId="77777777" w:rsidR="004E01ED" w:rsidRPr="004E01ED" w:rsidRDefault="004E01ED" w:rsidP="004E01ED"/>
    <w:p w14:paraId="3E03D719" w14:textId="77777777" w:rsidR="009261C0" w:rsidRPr="004365D3" w:rsidRDefault="009261C0" w:rsidP="009261C0"/>
    <w:p w14:paraId="345FA576" w14:textId="56915CDE" w:rsidR="009261C0" w:rsidRDefault="00FA6F94" w:rsidP="009261C0">
      <w:pPr>
        <w:jc w:val="both"/>
        <w:rPr>
          <w:b/>
          <w:bCs/>
          <w:sz w:val="24"/>
          <w:szCs w:val="24"/>
        </w:rPr>
      </w:pPr>
      <w:r>
        <w:rPr>
          <w:b/>
          <w:bCs/>
          <w:noProof/>
          <w:sz w:val="24"/>
          <w:szCs w:val="24"/>
        </w:rPr>
        <w:drawing>
          <wp:inline distT="0" distB="0" distL="0" distR="0" wp14:anchorId="21A4955B" wp14:editId="4F04FF88">
            <wp:extent cx="5937488" cy="2600793"/>
            <wp:effectExtent l="0" t="0" r="635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5941" cy="2604496"/>
                    </a:xfrm>
                    <a:prstGeom prst="rect">
                      <a:avLst/>
                    </a:prstGeom>
                  </pic:spPr>
                </pic:pic>
              </a:graphicData>
            </a:graphic>
          </wp:inline>
        </w:drawing>
      </w:r>
    </w:p>
    <w:p w14:paraId="545B6F5D" w14:textId="77777777" w:rsidR="009261C0" w:rsidRDefault="009261C0" w:rsidP="009261C0">
      <w:pPr>
        <w:jc w:val="both"/>
        <w:rPr>
          <w:b/>
          <w:bCs/>
          <w:sz w:val="24"/>
          <w:szCs w:val="24"/>
        </w:rPr>
      </w:pPr>
    </w:p>
    <w:p w14:paraId="52CC3846" w14:textId="5BCD0C8B" w:rsidR="009261C0" w:rsidRPr="006874EC" w:rsidRDefault="009261C0" w:rsidP="009261C0">
      <w:pPr>
        <w:spacing w:line="276" w:lineRule="auto"/>
        <w:ind w:left="-567" w:right="-568"/>
        <w:jc w:val="both"/>
        <w:rPr>
          <w:color w:val="FF0000"/>
        </w:rPr>
      </w:pPr>
      <w:r>
        <w:rPr>
          <w:b/>
          <w:bCs/>
          <w:sz w:val="24"/>
          <w:szCs w:val="24"/>
        </w:rPr>
        <w:t>Figure S1</w:t>
      </w:r>
      <w:r w:rsidRPr="00495FA3">
        <w:rPr>
          <w:b/>
          <w:bCs/>
          <w:sz w:val="24"/>
          <w:szCs w:val="24"/>
        </w:rPr>
        <w:t>.</w:t>
      </w:r>
      <w:r>
        <w:rPr>
          <w:b/>
          <w:bCs/>
          <w:sz w:val="24"/>
          <w:szCs w:val="24"/>
        </w:rPr>
        <w:t xml:space="preserve"> Overexpression of mutant </w:t>
      </w:r>
      <w:r w:rsidRPr="00495FA3">
        <w:rPr>
          <w:b/>
        </w:rPr>
        <w:t xml:space="preserve">(G93A, G85R) </w:t>
      </w:r>
      <w:r>
        <w:rPr>
          <w:b/>
          <w:bCs/>
          <w:sz w:val="24"/>
          <w:szCs w:val="24"/>
        </w:rPr>
        <w:t xml:space="preserve">and WT </w:t>
      </w:r>
      <w:r w:rsidRPr="00495FA3">
        <w:rPr>
          <w:b/>
        </w:rPr>
        <w:t>SOD1 induce</w:t>
      </w:r>
      <w:r>
        <w:rPr>
          <w:b/>
        </w:rPr>
        <w:t>s</w:t>
      </w:r>
      <w:r w:rsidRPr="00495FA3">
        <w:rPr>
          <w:b/>
        </w:rPr>
        <w:t xml:space="preserve"> foci formation in the cytoplasm of HEK293 cells.</w:t>
      </w:r>
      <w:r w:rsidRPr="00495FA3">
        <w:t xml:space="preserve"> </w:t>
      </w:r>
      <w:r>
        <w:t>A</w:t>
      </w:r>
      <w:r w:rsidRPr="00E2170E">
        <w:t>) W</w:t>
      </w:r>
      <w:r>
        <w:t xml:space="preserve">B </w:t>
      </w:r>
      <w:r w:rsidRPr="00E2170E">
        <w:t xml:space="preserve">analysis of </w:t>
      </w:r>
      <w:r>
        <w:t>protein</w:t>
      </w:r>
      <w:r w:rsidRPr="00E2170E">
        <w:t xml:space="preserve"> extracts from HEK293 cells transiently transfected with WT and mutant (G93A and G85R) SOD1 variants (GAPDH as loading control). HMW, high molecular weight; </w:t>
      </w:r>
      <w:proofErr w:type="spellStart"/>
      <w:r w:rsidRPr="00E2170E">
        <w:t>e.v.</w:t>
      </w:r>
      <w:proofErr w:type="spellEnd"/>
      <w:r w:rsidRPr="00E2170E">
        <w:t xml:space="preserve">, empty vector. </w:t>
      </w:r>
      <w:r>
        <w:t>The grey</w:t>
      </w:r>
      <w:r w:rsidRPr="006874EC">
        <w:t xml:space="preserve"> arrow shows mutant G85R SOD1. </w:t>
      </w:r>
      <w:r>
        <w:t>B</w:t>
      </w:r>
      <w:r w:rsidRPr="00495FA3">
        <w:t xml:space="preserve">) </w:t>
      </w:r>
      <w:r>
        <w:t xml:space="preserve">Representative </w:t>
      </w:r>
      <w:r w:rsidRPr="00495FA3">
        <w:t xml:space="preserve">images of </w:t>
      </w:r>
      <w:r>
        <w:t xml:space="preserve">the </w:t>
      </w:r>
      <w:r w:rsidRPr="00495FA3">
        <w:t xml:space="preserve">SOD1 distribution pattern in HEK293 cells transiently transfected with plasmids expressing mutant SOD1 (G93A, G85R) or WT versions. Ninety-six hours post-transfection, cells were analyzed by </w:t>
      </w:r>
      <w:r w:rsidR="00FA6F94">
        <w:t>immunofluorescence</w:t>
      </w:r>
      <w:r w:rsidRPr="00495FA3">
        <w:t xml:space="preserve"> with a specific anti-SOD1 antibody. SOD1 </w:t>
      </w:r>
      <w:r>
        <w:t xml:space="preserve">pattern </w:t>
      </w:r>
      <w:r w:rsidRPr="00495FA3">
        <w:t xml:space="preserve">distribution is observed either as diffuse throughout the entire cytoplasm, diffuse with the presence of foci, or predominantly concentrated in foci. </w:t>
      </w:r>
      <w:r w:rsidRPr="00304E45">
        <w:rPr>
          <w:bCs/>
        </w:rPr>
        <w:t xml:space="preserve">C) Graph representation of the percentage of cells (%) with SOD1 diffuse or forming foci </w:t>
      </w:r>
      <w:r>
        <w:rPr>
          <w:bCs/>
        </w:rPr>
        <w:t>on</w:t>
      </w:r>
      <w:r w:rsidRPr="00304E45">
        <w:rPr>
          <w:bCs/>
        </w:rPr>
        <w:t xml:space="preserve"> each condition (WT, G93A, G85R)</w:t>
      </w:r>
      <w:r>
        <w:rPr>
          <w:bCs/>
        </w:rPr>
        <w:t xml:space="preserve"> (manual counting)</w:t>
      </w:r>
      <w:r w:rsidRPr="00304E45">
        <w:rPr>
          <w:bCs/>
        </w:rPr>
        <w:t>.</w:t>
      </w:r>
      <w:r>
        <w:t xml:space="preserve"> Mean +/- SD.</w:t>
      </w:r>
    </w:p>
    <w:p w14:paraId="7F97A812" w14:textId="77777777" w:rsidR="009261C0" w:rsidRDefault="009261C0" w:rsidP="009261C0">
      <w:pPr>
        <w:spacing w:line="276" w:lineRule="auto"/>
        <w:ind w:left="-567" w:right="-568"/>
        <w:jc w:val="both"/>
      </w:pPr>
    </w:p>
    <w:p w14:paraId="7817C827" w14:textId="77777777" w:rsidR="009261C0" w:rsidRDefault="009261C0" w:rsidP="009261C0">
      <w:pPr>
        <w:ind w:left="-851" w:right="-568"/>
        <w:jc w:val="both"/>
        <w:rPr>
          <w:b/>
          <w:bCs/>
          <w:sz w:val="24"/>
          <w:szCs w:val="24"/>
        </w:rPr>
      </w:pPr>
    </w:p>
    <w:p w14:paraId="436665B2" w14:textId="77777777" w:rsidR="009261C0" w:rsidRDefault="009261C0" w:rsidP="009261C0">
      <w:pPr>
        <w:jc w:val="both"/>
        <w:rPr>
          <w:b/>
          <w:bCs/>
          <w:sz w:val="24"/>
          <w:szCs w:val="24"/>
        </w:rPr>
      </w:pPr>
    </w:p>
    <w:p w14:paraId="4A583C4C" w14:textId="69C18866" w:rsidR="009261C0" w:rsidRDefault="009261C0" w:rsidP="009261C0">
      <w:pPr>
        <w:jc w:val="both"/>
        <w:rPr>
          <w:b/>
          <w:bCs/>
          <w:sz w:val="24"/>
          <w:szCs w:val="24"/>
        </w:rPr>
      </w:pPr>
    </w:p>
    <w:p w14:paraId="409AB1DB" w14:textId="09A6019E" w:rsidR="004E01ED" w:rsidRDefault="004E01ED" w:rsidP="009261C0">
      <w:pPr>
        <w:jc w:val="both"/>
        <w:rPr>
          <w:b/>
          <w:bCs/>
          <w:sz w:val="24"/>
          <w:szCs w:val="24"/>
        </w:rPr>
      </w:pPr>
    </w:p>
    <w:p w14:paraId="4098C2D2" w14:textId="3F76C383" w:rsidR="004E01ED" w:rsidRDefault="004E01ED" w:rsidP="009261C0">
      <w:pPr>
        <w:jc w:val="both"/>
        <w:rPr>
          <w:b/>
          <w:bCs/>
          <w:sz w:val="24"/>
          <w:szCs w:val="24"/>
        </w:rPr>
      </w:pPr>
    </w:p>
    <w:p w14:paraId="4A374E88" w14:textId="46CC9E5C" w:rsidR="004E01ED" w:rsidRDefault="004E01ED" w:rsidP="009261C0">
      <w:pPr>
        <w:jc w:val="both"/>
        <w:rPr>
          <w:b/>
          <w:bCs/>
          <w:sz w:val="24"/>
          <w:szCs w:val="24"/>
        </w:rPr>
      </w:pPr>
    </w:p>
    <w:p w14:paraId="32E3F8ED" w14:textId="6ED17D34" w:rsidR="004E01ED" w:rsidRDefault="004E01ED" w:rsidP="009261C0">
      <w:pPr>
        <w:jc w:val="both"/>
        <w:rPr>
          <w:b/>
          <w:bCs/>
          <w:sz w:val="24"/>
          <w:szCs w:val="24"/>
        </w:rPr>
      </w:pPr>
    </w:p>
    <w:p w14:paraId="75BD1D50" w14:textId="731A75C7" w:rsidR="004E01ED" w:rsidRDefault="004E01ED" w:rsidP="009261C0">
      <w:pPr>
        <w:jc w:val="both"/>
        <w:rPr>
          <w:b/>
          <w:bCs/>
          <w:sz w:val="24"/>
          <w:szCs w:val="24"/>
        </w:rPr>
      </w:pPr>
    </w:p>
    <w:p w14:paraId="59254CE6" w14:textId="07040C45" w:rsidR="004E01ED" w:rsidRDefault="004E01ED" w:rsidP="009261C0">
      <w:pPr>
        <w:jc w:val="both"/>
        <w:rPr>
          <w:b/>
          <w:bCs/>
          <w:sz w:val="24"/>
          <w:szCs w:val="24"/>
        </w:rPr>
      </w:pPr>
    </w:p>
    <w:p w14:paraId="41575815" w14:textId="4EDAED21" w:rsidR="004E01ED" w:rsidRDefault="004E01ED" w:rsidP="009261C0">
      <w:pPr>
        <w:jc w:val="both"/>
        <w:rPr>
          <w:b/>
          <w:bCs/>
          <w:sz w:val="24"/>
          <w:szCs w:val="24"/>
        </w:rPr>
      </w:pPr>
    </w:p>
    <w:p w14:paraId="3FC7DA1D" w14:textId="77777777" w:rsidR="004E01ED" w:rsidRDefault="004E01ED" w:rsidP="009261C0">
      <w:pPr>
        <w:jc w:val="both"/>
        <w:rPr>
          <w:b/>
          <w:bCs/>
          <w:sz w:val="24"/>
          <w:szCs w:val="24"/>
        </w:rPr>
      </w:pPr>
    </w:p>
    <w:p w14:paraId="360E1942" w14:textId="5C0FCF6B" w:rsidR="009261C0" w:rsidRDefault="00D20477" w:rsidP="009261C0">
      <w:pPr>
        <w:ind w:left="-567"/>
        <w:jc w:val="both"/>
        <w:rPr>
          <w:b/>
          <w:bCs/>
          <w:sz w:val="24"/>
          <w:szCs w:val="24"/>
        </w:rPr>
      </w:pPr>
      <w:r>
        <w:rPr>
          <w:b/>
          <w:bCs/>
          <w:noProof/>
          <w:sz w:val="24"/>
          <w:szCs w:val="24"/>
        </w:rPr>
        <w:drawing>
          <wp:inline distT="0" distB="0" distL="0" distR="0" wp14:anchorId="65952FA2" wp14:editId="112FE63A">
            <wp:extent cx="5803731" cy="2960558"/>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11729" cy="2964638"/>
                    </a:xfrm>
                    <a:prstGeom prst="rect">
                      <a:avLst/>
                    </a:prstGeom>
                  </pic:spPr>
                </pic:pic>
              </a:graphicData>
            </a:graphic>
          </wp:inline>
        </w:drawing>
      </w:r>
    </w:p>
    <w:p w14:paraId="19BB6B4E" w14:textId="00E34125" w:rsidR="00047B02" w:rsidRPr="0091053E" w:rsidRDefault="009261C0" w:rsidP="0091053E">
      <w:pPr>
        <w:spacing w:line="276" w:lineRule="auto"/>
        <w:ind w:left="-426"/>
        <w:jc w:val="both"/>
        <w:rPr>
          <w:rFonts w:eastAsia="Times New Roman"/>
          <w:lang w:eastAsia="es-ES"/>
        </w:rPr>
      </w:pPr>
      <w:r w:rsidRPr="00E9241A">
        <w:rPr>
          <w:b/>
          <w:bCs/>
        </w:rPr>
        <w:t>Figure S2. A semi-automated image analysis tool (</w:t>
      </w:r>
      <w:proofErr w:type="spellStart"/>
      <w:r w:rsidRPr="00E9241A">
        <w:rPr>
          <w:b/>
          <w:bCs/>
        </w:rPr>
        <w:t>FociCount</w:t>
      </w:r>
      <w:proofErr w:type="spellEnd"/>
      <w:r w:rsidRPr="00E9241A">
        <w:rPr>
          <w:b/>
          <w:bCs/>
        </w:rPr>
        <w:t xml:space="preserve">) to identify and analyze SOD1 foci formation. </w:t>
      </w:r>
      <w:r w:rsidR="0091053E" w:rsidRPr="0091053E">
        <w:t>To score foci formation in a quantitative and unbiased way, we developed an image analysis tool (</w:t>
      </w:r>
      <w:proofErr w:type="spellStart"/>
      <w:r w:rsidR="0091053E" w:rsidRPr="0091053E">
        <w:t>FociCount</w:t>
      </w:r>
      <w:proofErr w:type="spellEnd"/>
      <w:r w:rsidR="0091053E" w:rsidRPr="0091053E">
        <w:t xml:space="preserve">). </w:t>
      </w:r>
      <w:proofErr w:type="spellStart"/>
      <w:r w:rsidRPr="00E9241A">
        <w:t>FociCount</w:t>
      </w:r>
      <w:proofErr w:type="spellEnd"/>
      <w:r w:rsidRPr="00E9241A">
        <w:t xml:space="preserve"> </w:t>
      </w:r>
      <w:r>
        <w:t>facilitates the determination of</w:t>
      </w:r>
      <w:r w:rsidRPr="00E9241A">
        <w:t xml:space="preserve"> the cellular contour </w:t>
      </w:r>
      <w:r>
        <w:t xml:space="preserve">and </w:t>
      </w:r>
      <w:r w:rsidRPr="00E9241A">
        <w:rPr>
          <w:rFonts w:cstheme="minorHAnsi"/>
        </w:rPr>
        <w:t>identifies SOD1 foci in a semi-automated manner, report</w:t>
      </w:r>
      <w:r>
        <w:rPr>
          <w:rFonts w:cstheme="minorHAnsi"/>
        </w:rPr>
        <w:t>ing t</w:t>
      </w:r>
      <w:r w:rsidRPr="00E9241A">
        <w:rPr>
          <w:rFonts w:cstheme="minorHAnsi"/>
        </w:rPr>
        <w:t>he number of foci per cell and the fraction of intracellular SOD1 concentrated into foci</w:t>
      </w:r>
      <w:r>
        <w:rPr>
          <w:rFonts w:cstheme="minorHAnsi"/>
        </w:rPr>
        <w:t xml:space="preserve">. A-C) Representative images of the </w:t>
      </w:r>
      <w:r w:rsidR="006D7B53">
        <w:rPr>
          <w:rFonts w:cstheme="minorHAnsi"/>
        </w:rPr>
        <w:t>image processing</w:t>
      </w:r>
      <w:r>
        <w:rPr>
          <w:rFonts w:cstheme="minorHAnsi"/>
        </w:rPr>
        <w:t xml:space="preserve">. D) Representative output of </w:t>
      </w:r>
      <w:proofErr w:type="spellStart"/>
      <w:r>
        <w:rPr>
          <w:rFonts w:cstheme="minorHAnsi"/>
        </w:rPr>
        <w:t>FociCount</w:t>
      </w:r>
      <w:proofErr w:type="spellEnd"/>
      <w:r>
        <w:rPr>
          <w:rFonts w:cstheme="minorHAnsi"/>
        </w:rPr>
        <w:t xml:space="preserve"> analysis of </w:t>
      </w:r>
      <w:r w:rsidRPr="00E9241A">
        <w:rPr>
          <w:rFonts w:cstheme="minorHAnsi"/>
        </w:rPr>
        <w:t>HEK293 cell</w:t>
      </w:r>
      <w:r>
        <w:rPr>
          <w:rFonts w:cstheme="minorHAnsi"/>
        </w:rPr>
        <w:t>s</w:t>
      </w:r>
      <w:r w:rsidRPr="00E9241A">
        <w:rPr>
          <w:rFonts w:cstheme="minorHAnsi"/>
        </w:rPr>
        <w:t xml:space="preserve"> expressing G93A mutant SOD1. E</w:t>
      </w:r>
      <w:r>
        <w:rPr>
          <w:rFonts w:cstheme="minorHAnsi"/>
        </w:rPr>
        <w:t>-F</w:t>
      </w:r>
      <w:r w:rsidRPr="00E9241A">
        <w:rPr>
          <w:rFonts w:cstheme="minorHAnsi"/>
        </w:rPr>
        <w:t>)</w:t>
      </w:r>
      <w:r>
        <w:rPr>
          <w:rFonts w:cstheme="minorHAnsi"/>
        </w:rPr>
        <w:t xml:space="preserve"> Representative experiment where the clustering of WT, G93A, and G85R proteins was characterized (out of three independent experiments performed</w:t>
      </w:r>
      <w:r w:rsidRPr="006D7B53">
        <w:rPr>
          <w:rFonts w:cstheme="minorHAnsi"/>
        </w:rPr>
        <w:t xml:space="preserve">). </w:t>
      </w:r>
      <w:r w:rsidR="006D7B53" w:rsidRPr="006D7B53">
        <w:t xml:space="preserve">As it can be observed, the number of foci per cell is variable. Thus, in most experiments we quantified the fraction of cells containing at least one SOD1 focus. </w:t>
      </w:r>
      <w:r>
        <w:rPr>
          <w:rFonts w:cstheme="minorHAnsi"/>
        </w:rPr>
        <w:t xml:space="preserve">E) Frequency distribution graph depicting the number of SOD1 foci per cell. F) Frequency distribution graph depicting </w:t>
      </w:r>
      <w:r w:rsidRPr="00E9241A">
        <w:rPr>
          <w:rFonts w:cstheme="minorHAnsi"/>
        </w:rPr>
        <w:t xml:space="preserve">the fraction </w:t>
      </w:r>
      <w:r>
        <w:rPr>
          <w:rFonts w:cstheme="minorHAnsi"/>
        </w:rPr>
        <w:t xml:space="preserve">of </w:t>
      </w:r>
      <w:r w:rsidRPr="00E9241A">
        <w:rPr>
          <w:rFonts w:cstheme="minorHAnsi"/>
        </w:rPr>
        <w:t xml:space="preserve">SOD1 </w:t>
      </w:r>
      <w:r>
        <w:rPr>
          <w:rFonts w:cstheme="minorHAnsi"/>
        </w:rPr>
        <w:t xml:space="preserve">signal in foci. </w:t>
      </w:r>
      <w:r>
        <w:rPr>
          <w:rFonts w:eastAsia="Times New Roman"/>
          <w:lang w:eastAsia="es-ES"/>
        </w:rPr>
        <w:t>A</w:t>
      </w:r>
      <w:r w:rsidRPr="00314E60">
        <w:rPr>
          <w:rFonts w:eastAsia="Times New Roman"/>
          <w:lang w:eastAsia="es-ES"/>
        </w:rPr>
        <w:t xml:space="preserve"> minimum of </w:t>
      </w:r>
      <w:r>
        <w:rPr>
          <w:rFonts w:eastAsia="Times New Roman"/>
          <w:lang w:eastAsia="es-ES"/>
        </w:rPr>
        <w:t>200 cells were analyzed for each condition.</w:t>
      </w:r>
      <w:r w:rsidR="0091053E" w:rsidRPr="0091053E">
        <w:rPr>
          <w:color w:val="FF0000"/>
        </w:rPr>
        <w:t xml:space="preserve"> </w:t>
      </w:r>
      <w:r w:rsidR="0091053E" w:rsidRPr="0091053E">
        <w:t>Even in those cells where all fluorescence signal was apparently concentrated into foci, focal signal never exceeded 10% of the total cellular signal</w:t>
      </w:r>
      <w:r w:rsidR="0091053E">
        <w:t>.</w:t>
      </w:r>
    </w:p>
    <w:p w14:paraId="1A119F8D" w14:textId="77777777" w:rsidR="0091053E" w:rsidRDefault="0091053E" w:rsidP="0091053E">
      <w:pPr>
        <w:ind w:left="-567"/>
        <w:jc w:val="both"/>
        <w:rPr>
          <w:rFonts w:cstheme="minorHAnsi"/>
        </w:rPr>
      </w:pPr>
    </w:p>
    <w:p w14:paraId="31229108" w14:textId="77777777" w:rsidR="0091053E" w:rsidRDefault="0091053E" w:rsidP="0091053E">
      <w:pPr>
        <w:jc w:val="both"/>
        <w:rPr>
          <w:b/>
          <w:bCs/>
          <w:sz w:val="24"/>
          <w:szCs w:val="24"/>
        </w:rPr>
      </w:pPr>
    </w:p>
    <w:p w14:paraId="206CF79E" w14:textId="77777777" w:rsidR="009261C0" w:rsidRDefault="009261C0" w:rsidP="009261C0">
      <w:pPr>
        <w:ind w:left="-567"/>
        <w:jc w:val="both"/>
        <w:rPr>
          <w:rFonts w:cstheme="minorHAnsi"/>
        </w:rPr>
      </w:pPr>
    </w:p>
    <w:p w14:paraId="0F643C19" w14:textId="77777777" w:rsidR="009261C0" w:rsidRDefault="009261C0" w:rsidP="009261C0">
      <w:pPr>
        <w:ind w:left="-567"/>
        <w:jc w:val="both"/>
        <w:rPr>
          <w:rFonts w:cstheme="minorHAnsi"/>
        </w:rPr>
      </w:pPr>
    </w:p>
    <w:p w14:paraId="13623A71" w14:textId="77777777" w:rsidR="009261C0" w:rsidRDefault="009261C0" w:rsidP="009261C0">
      <w:pPr>
        <w:ind w:left="-567"/>
        <w:jc w:val="both"/>
        <w:rPr>
          <w:rFonts w:cstheme="minorHAnsi"/>
        </w:rPr>
      </w:pPr>
    </w:p>
    <w:p w14:paraId="3A68ACBC" w14:textId="77777777" w:rsidR="009261C0" w:rsidRDefault="009261C0" w:rsidP="009261C0">
      <w:pPr>
        <w:ind w:left="-567"/>
        <w:jc w:val="both"/>
        <w:rPr>
          <w:rFonts w:cstheme="minorHAnsi"/>
        </w:rPr>
      </w:pPr>
    </w:p>
    <w:p w14:paraId="5CB77E2A" w14:textId="77777777" w:rsidR="009261C0" w:rsidRDefault="009261C0" w:rsidP="009261C0">
      <w:pPr>
        <w:ind w:left="-567"/>
        <w:jc w:val="both"/>
        <w:rPr>
          <w:rFonts w:cstheme="minorHAnsi"/>
        </w:rPr>
      </w:pPr>
    </w:p>
    <w:p w14:paraId="066FF13F" w14:textId="77777777" w:rsidR="009261C0" w:rsidRDefault="009261C0" w:rsidP="009261C0">
      <w:pPr>
        <w:ind w:left="-567"/>
        <w:jc w:val="both"/>
        <w:rPr>
          <w:rFonts w:cstheme="minorHAnsi"/>
        </w:rPr>
      </w:pPr>
    </w:p>
    <w:p w14:paraId="66150BB7" w14:textId="77777777" w:rsidR="009261C0" w:rsidRDefault="009261C0" w:rsidP="000D34CD">
      <w:pPr>
        <w:jc w:val="both"/>
        <w:rPr>
          <w:rFonts w:cstheme="minorHAnsi"/>
        </w:rPr>
      </w:pPr>
    </w:p>
    <w:p w14:paraId="1CF671FB" w14:textId="0DCBEC1C" w:rsidR="00942B14" w:rsidRPr="000D34CD" w:rsidRDefault="00835077" w:rsidP="000D34CD">
      <w:pPr>
        <w:ind w:left="-567"/>
        <w:jc w:val="both"/>
        <w:rPr>
          <w:rFonts w:cstheme="minorHAnsi"/>
        </w:rPr>
      </w:pPr>
      <w:r>
        <w:rPr>
          <w:rFonts w:cstheme="minorHAnsi"/>
          <w:noProof/>
        </w:rPr>
        <w:drawing>
          <wp:inline distT="0" distB="0" distL="0" distR="0" wp14:anchorId="12A66206" wp14:editId="2495CD90">
            <wp:extent cx="4919513" cy="496174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48380" cy="4990859"/>
                    </a:xfrm>
                    <a:prstGeom prst="rect">
                      <a:avLst/>
                    </a:prstGeom>
                  </pic:spPr>
                </pic:pic>
              </a:graphicData>
            </a:graphic>
          </wp:inline>
        </w:drawing>
      </w:r>
    </w:p>
    <w:p w14:paraId="7E1E5352" w14:textId="71075D2E" w:rsidR="009261C0" w:rsidRPr="004E01ED" w:rsidRDefault="00FA6F94" w:rsidP="004E01ED">
      <w:pPr>
        <w:ind w:left="-567"/>
        <w:jc w:val="both"/>
        <w:rPr>
          <w:rFonts w:cstheme="minorHAnsi"/>
        </w:rPr>
      </w:pPr>
      <w:r w:rsidRPr="00E9241A">
        <w:rPr>
          <w:b/>
          <w:bCs/>
        </w:rPr>
        <w:t>Figure S</w:t>
      </w:r>
      <w:r>
        <w:rPr>
          <w:b/>
          <w:bCs/>
        </w:rPr>
        <w:t>3</w:t>
      </w:r>
      <w:r w:rsidRPr="00E9241A">
        <w:rPr>
          <w:b/>
          <w:bCs/>
        </w:rPr>
        <w:t>.</w:t>
      </w:r>
      <w:r w:rsidR="003355B0">
        <w:rPr>
          <w:rFonts w:cstheme="minorHAnsi"/>
        </w:rPr>
        <w:t xml:space="preserve"> </w:t>
      </w:r>
      <w:r w:rsidR="003355B0" w:rsidRPr="003355B0">
        <w:rPr>
          <w:rFonts w:cstheme="minorHAnsi"/>
        </w:rPr>
        <w:t xml:space="preserve">ISRIB-mediated ISR modulation reduces the percentage of HEK293 cells forming SOD1 cytoplasmic foci. A) Images of a representative experiment showing SOD1 distribution patterns (diffuse and in foci) in HEK293 cells transiently transfected with mutant (G85R) or wild type SOD1 (WT) +/- ISRIB 500nM treatment. Immunofluorescence with anti-SOD1 antibody. The number in each picture indicates the percentage </w:t>
      </w:r>
      <w:r w:rsidR="0021432D" w:rsidRPr="003355B0">
        <w:rPr>
          <w:rFonts w:cstheme="minorHAnsi"/>
        </w:rPr>
        <w:t xml:space="preserve">(%) </w:t>
      </w:r>
      <w:r w:rsidR="003355B0" w:rsidRPr="003355B0">
        <w:rPr>
          <w:rFonts w:cstheme="minorHAnsi"/>
        </w:rPr>
        <w:t xml:space="preserve">of cells with foci. In the few cells where SOD1 still clustered into foci after ISRIB treatment, no significant changes in the number or size/shape of the foci were observed. </w:t>
      </w:r>
      <w:r w:rsidR="0021432D">
        <w:rPr>
          <w:rFonts w:cstheme="minorHAnsi"/>
        </w:rPr>
        <w:t>B</w:t>
      </w:r>
      <w:r w:rsidR="003355B0" w:rsidRPr="003355B0">
        <w:rPr>
          <w:rFonts w:cstheme="minorHAnsi"/>
        </w:rPr>
        <w:t xml:space="preserve">) Graph showing the average (AVG) fluorescence intensity values measured in whole (nucleus and cytoplasm) SOD1-positive cells from each condition. </w:t>
      </w:r>
      <w:proofErr w:type="spellStart"/>
      <w:r w:rsidR="003355B0" w:rsidRPr="003355B0">
        <w:rPr>
          <w:rFonts w:cstheme="minorHAnsi"/>
        </w:rPr>
        <w:t>FociCount</w:t>
      </w:r>
      <w:proofErr w:type="spellEnd"/>
      <w:r w:rsidR="003355B0" w:rsidRPr="003355B0">
        <w:rPr>
          <w:rFonts w:cstheme="minorHAnsi"/>
        </w:rPr>
        <w:t xml:space="preserve"> analysis, data from n=3 experiments with ≥100 cells/condition on each experiment</w:t>
      </w:r>
      <w:r w:rsidR="003355B0" w:rsidRPr="00942B14">
        <w:rPr>
          <w:rFonts w:cstheme="minorHAnsi"/>
        </w:rPr>
        <w:t xml:space="preserve">, Kruskal-Wallis test. </w:t>
      </w:r>
      <w:r w:rsidR="0021432D" w:rsidRPr="00942B14">
        <w:rPr>
          <w:rFonts w:cstheme="minorHAnsi"/>
        </w:rPr>
        <w:t>C</w:t>
      </w:r>
      <w:r w:rsidR="003355B0" w:rsidRPr="00942B14">
        <w:rPr>
          <w:rFonts w:cstheme="minorHAnsi"/>
        </w:rPr>
        <w:t xml:space="preserve">) Representative images of HEK293 cells transiently transfected with mutant SOD1 (G93A) +/- ARS (sodium </w:t>
      </w:r>
      <w:proofErr w:type="spellStart"/>
      <w:r w:rsidR="003355B0" w:rsidRPr="00942B14">
        <w:rPr>
          <w:rFonts w:cstheme="minorHAnsi"/>
        </w:rPr>
        <w:t>arsenite</w:t>
      </w:r>
      <w:proofErr w:type="spellEnd"/>
      <w:r w:rsidR="003355B0" w:rsidRPr="00942B14">
        <w:rPr>
          <w:rFonts w:cstheme="minorHAnsi"/>
        </w:rPr>
        <w:t xml:space="preserve">) to induce </w:t>
      </w:r>
      <w:r w:rsidR="0021432D" w:rsidRPr="00942B14">
        <w:rPr>
          <w:rFonts w:cstheme="minorHAnsi"/>
        </w:rPr>
        <w:t>stress granules (</w:t>
      </w:r>
      <w:r w:rsidR="003355B0" w:rsidRPr="00942B14">
        <w:rPr>
          <w:rFonts w:cstheme="minorHAnsi"/>
        </w:rPr>
        <w:t>SGs</w:t>
      </w:r>
      <w:r w:rsidR="0021432D" w:rsidRPr="00942B14">
        <w:rPr>
          <w:rFonts w:cstheme="minorHAnsi"/>
        </w:rPr>
        <w:t>)</w:t>
      </w:r>
      <w:r w:rsidR="003355B0" w:rsidRPr="00942B14">
        <w:rPr>
          <w:rFonts w:cstheme="minorHAnsi"/>
        </w:rPr>
        <w:t xml:space="preserve">. </w:t>
      </w:r>
      <w:r w:rsidR="0021432D" w:rsidRPr="00942B14">
        <w:rPr>
          <w:rFonts w:cstheme="minorHAnsi"/>
        </w:rPr>
        <w:t>IF experiments with anti-G3BP2 antibody</w:t>
      </w:r>
      <w:r w:rsidR="0021432D" w:rsidRPr="00942B14">
        <w:t xml:space="preserve"> (a marker of SGs). Mutant SOD1 overexpression does not induce the assembly of SG. This result could be anticipated because the mild ISR activation induced by mutant SOD1 [6] should not be sufficient to promote SGs formation. Still, we asked if mutant SOD1 could be recruited to SGs structures formed after treatment with the robust ISR inducer sodium </w:t>
      </w:r>
      <w:proofErr w:type="spellStart"/>
      <w:r w:rsidR="0021432D" w:rsidRPr="00942B14">
        <w:t>arsenite</w:t>
      </w:r>
      <w:proofErr w:type="spellEnd"/>
      <w:r w:rsidR="0021432D" w:rsidRPr="00942B14">
        <w:t xml:space="preserve"> (ARS). Even under these forced conditions, mutant SOD1 foci failed to colocalize with SGs. </w:t>
      </w:r>
      <w:r w:rsidR="003355B0" w:rsidRPr="00942B14">
        <w:rPr>
          <w:rFonts w:cstheme="minorHAnsi"/>
        </w:rPr>
        <w:t xml:space="preserve">Red and green arrows indicate SG </w:t>
      </w:r>
      <w:r w:rsidR="003355B0" w:rsidRPr="003355B0">
        <w:rPr>
          <w:rFonts w:cstheme="minorHAnsi"/>
        </w:rPr>
        <w:t xml:space="preserve">and SOD1 foci, respectively. </w:t>
      </w:r>
      <w:r w:rsidR="0021432D">
        <w:rPr>
          <w:rFonts w:cstheme="minorHAnsi"/>
        </w:rPr>
        <w:t>D</w:t>
      </w:r>
      <w:r w:rsidR="003355B0" w:rsidRPr="003355B0">
        <w:rPr>
          <w:rFonts w:cstheme="minorHAnsi"/>
        </w:rPr>
        <w:t>) SOD1 foci from mutant G93A are resistant to TritonX-100 0.1% and NP-40 1% detergents but partially soluble to SDS 1% treatment. A.U., arbitrary units; SD, standard deviation; ns, non-statistically significant difference; ***p&lt;0.001.</w:t>
      </w:r>
    </w:p>
    <w:p w14:paraId="5DEAF388" w14:textId="05B724B8" w:rsidR="009261C0" w:rsidRDefault="000D34CD" w:rsidP="00D73F09">
      <w:pPr>
        <w:ind w:right="-568"/>
        <w:jc w:val="both"/>
        <w:rPr>
          <w:rFonts w:eastAsia="Times New Roman" w:cstheme="minorHAnsi"/>
          <w:color w:val="FF0000"/>
        </w:rPr>
      </w:pPr>
      <w:r>
        <w:rPr>
          <w:rFonts w:eastAsia="Times New Roman" w:cstheme="minorHAnsi"/>
          <w:noProof/>
          <w:color w:val="FF0000"/>
        </w:rPr>
        <w:lastRenderedPageBreak/>
        <w:drawing>
          <wp:inline distT="0" distB="0" distL="0" distR="0" wp14:anchorId="5E085AB1" wp14:editId="7C742BC1">
            <wp:extent cx="5141626" cy="4801833"/>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51697" cy="4811238"/>
                    </a:xfrm>
                    <a:prstGeom prst="rect">
                      <a:avLst/>
                    </a:prstGeom>
                  </pic:spPr>
                </pic:pic>
              </a:graphicData>
            </a:graphic>
          </wp:inline>
        </w:drawing>
      </w:r>
    </w:p>
    <w:p w14:paraId="48C61857" w14:textId="77777777" w:rsidR="00BF18FD" w:rsidRDefault="00BF18FD" w:rsidP="006C7387">
      <w:pPr>
        <w:spacing w:line="276" w:lineRule="auto"/>
        <w:ind w:left="-567" w:right="-568"/>
        <w:jc w:val="both"/>
        <w:rPr>
          <w:rFonts w:eastAsia="Times New Roman" w:cstheme="minorHAnsi"/>
          <w:color w:val="FF0000"/>
          <w:lang w:val="es-ES"/>
        </w:rPr>
      </w:pPr>
    </w:p>
    <w:p w14:paraId="17E03189" w14:textId="4FE61525" w:rsidR="00FA6F94" w:rsidRPr="006C7387" w:rsidRDefault="00FA6F94" w:rsidP="006C7387">
      <w:pPr>
        <w:spacing w:line="276" w:lineRule="auto"/>
        <w:ind w:left="-567" w:right="-568"/>
        <w:jc w:val="both"/>
        <w:rPr>
          <w:rFonts w:eastAsia="Times New Roman" w:cstheme="minorHAnsi"/>
        </w:rPr>
      </w:pPr>
      <w:r w:rsidRPr="00F07375">
        <w:rPr>
          <w:b/>
          <w:bCs/>
        </w:rPr>
        <w:t xml:space="preserve">Figure S4. </w:t>
      </w:r>
      <w:r w:rsidR="004645E8">
        <w:rPr>
          <w:b/>
          <w:bCs/>
        </w:rPr>
        <w:t xml:space="preserve">Pharmacological and genetic strategies for ISR kinase modulation. </w:t>
      </w:r>
      <w:r w:rsidR="006C7387" w:rsidRPr="006C7387">
        <w:rPr>
          <w:bCs/>
        </w:rPr>
        <w:t xml:space="preserve">A) </w:t>
      </w:r>
      <w:r w:rsidR="006C7387" w:rsidRPr="006C7387">
        <w:rPr>
          <w:rFonts w:eastAsia="Times New Roman" w:cstheme="minorHAnsi"/>
        </w:rPr>
        <w:t xml:space="preserve">Diagram illustrating ISR signaling pathways and outcomes of PERK and GCN2 genetic (CRISPR/Cas9) and pharmacological inhibition under </w:t>
      </w:r>
      <w:proofErr w:type="spellStart"/>
      <w:r w:rsidR="006C7387" w:rsidRPr="006C7387">
        <w:rPr>
          <w:rFonts w:eastAsia="Times New Roman" w:cstheme="minorHAnsi"/>
        </w:rPr>
        <w:t>Thapsigargin</w:t>
      </w:r>
      <w:proofErr w:type="spellEnd"/>
      <w:r w:rsidR="006C7387" w:rsidRPr="006C7387">
        <w:rPr>
          <w:rFonts w:eastAsia="Times New Roman" w:cstheme="minorHAnsi"/>
        </w:rPr>
        <w:t xml:space="preserve"> (</w:t>
      </w:r>
      <w:proofErr w:type="spellStart"/>
      <w:r w:rsidR="006C7387" w:rsidRPr="006C7387">
        <w:rPr>
          <w:rFonts w:eastAsia="Times New Roman" w:cstheme="minorHAnsi"/>
        </w:rPr>
        <w:t>Thap</w:t>
      </w:r>
      <w:proofErr w:type="spellEnd"/>
      <w:r w:rsidR="006C7387" w:rsidRPr="006C7387">
        <w:rPr>
          <w:rFonts w:eastAsia="Times New Roman" w:cstheme="minorHAnsi"/>
        </w:rPr>
        <w:t xml:space="preserve">) or </w:t>
      </w:r>
      <w:proofErr w:type="spellStart"/>
      <w:r w:rsidR="006C7387" w:rsidRPr="006C7387">
        <w:rPr>
          <w:rFonts w:eastAsia="Times New Roman" w:cstheme="minorHAnsi"/>
        </w:rPr>
        <w:t>Histidinol</w:t>
      </w:r>
      <w:proofErr w:type="spellEnd"/>
      <w:r w:rsidR="006C7387" w:rsidRPr="006C7387">
        <w:rPr>
          <w:rFonts w:eastAsia="Times New Roman" w:cstheme="minorHAnsi"/>
        </w:rPr>
        <w:t xml:space="preserve"> (</w:t>
      </w:r>
      <w:proofErr w:type="spellStart"/>
      <w:r w:rsidR="006C7387" w:rsidRPr="006C7387">
        <w:rPr>
          <w:rFonts w:eastAsia="Times New Roman" w:cstheme="minorHAnsi"/>
        </w:rPr>
        <w:t>HisOH</w:t>
      </w:r>
      <w:proofErr w:type="spellEnd"/>
      <w:r w:rsidR="006C7387" w:rsidRPr="006C7387">
        <w:rPr>
          <w:rFonts w:eastAsia="Times New Roman" w:cstheme="minorHAnsi"/>
        </w:rPr>
        <w:t xml:space="preserve">) stress induction; </w:t>
      </w:r>
      <w:proofErr w:type="spellStart"/>
      <w:r w:rsidR="006C7387" w:rsidRPr="006C7387">
        <w:rPr>
          <w:rFonts w:eastAsia="Times New Roman" w:cstheme="minorHAnsi"/>
        </w:rPr>
        <w:t>PERKib</w:t>
      </w:r>
      <w:proofErr w:type="spellEnd"/>
      <w:r w:rsidR="006C7387" w:rsidRPr="006C7387">
        <w:rPr>
          <w:rFonts w:eastAsia="Times New Roman" w:cstheme="minorHAnsi"/>
        </w:rPr>
        <w:t xml:space="preserve"> (PERK inhibitor GSK2606414), GCN2ib (GCN2 inhibitor). B) Evaluation of pharmacological PERK and GCN2 inhibition with </w:t>
      </w:r>
      <w:proofErr w:type="spellStart"/>
      <w:r w:rsidR="006C7387" w:rsidRPr="006C7387">
        <w:rPr>
          <w:rFonts w:eastAsia="Times New Roman" w:cstheme="minorHAnsi"/>
        </w:rPr>
        <w:t>PERKib</w:t>
      </w:r>
      <w:proofErr w:type="spellEnd"/>
      <w:r w:rsidR="006C7387" w:rsidRPr="006C7387">
        <w:rPr>
          <w:rFonts w:eastAsia="Times New Roman" w:cstheme="minorHAnsi"/>
        </w:rPr>
        <w:t xml:space="preserve"> and GCN2ib. </w:t>
      </w:r>
      <w:r w:rsidR="006C7387" w:rsidRPr="00D9107E">
        <w:rPr>
          <w:rFonts w:eastAsia="Times New Roman" w:cstheme="minorHAnsi"/>
          <w:bCs/>
        </w:rPr>
        <w:t>W</w:t>
      </w:r>
      <w:r w:rsidR="006C7387">
        <w:rPr>
          <w:rFonts w:eastAsia="Times New Roman" w:cstheme="minorHAnsi"/>
          <w:bCs/>
        </w:rPr>
        <w:t>estern-blot</w:t>
      </w:r>
      <w:r w:rsidR="006C7387" w:rsidRPr="006C7387">
        <w:rPr>
          <w:rFonts w:eastAsia="Times New Roman" w:cstheme="minorHAnsi"/>
        </w:rPr>
        <w:t xml:space="preserve"> analysis of protein extracts from HEK293 cells treated with </w:t>
      </w:r>
      <w:proofErr w:type="spellStart"/>
      <w:r w:rsidR="006C7387" w:rsidRPr="006C7387">
        <w:rPr>
          <w:rFonts w:eastAsia="Times New Roman" w:cstheme="minorHAnsi"/>
        </w:rPr>
        <w:t>Thap</w:t>
      </w:r>
      <w:proofErr w:type="spellEnd"/>
      <w:r w:rsidR="006C7387" w:rsidRPr="006C7387">
        <w:rPr>
          <w:rFonts w:eastAsia="Times New Roman" w:cstheme="minorHAnsi"/>
        </w:rPr>
        <w:t xml:space="preserve"> (200nM) +/- </w:t>
      </w:r>
      <w:proofErr w:type="spellStart"/>
      <w:r w:rsidR="006C7387" w:rsidRPr="006C7387">
        <w:rPr>
          <w:rFonts w:eastAsia="Times New Roman" w:cstheme="minorHAnsi"/>
        </w:rPr>
        <w:t>PERKib</w:t>
      </w:r>
      <w:proofErr w:type="spellEnd"/>
      <w:r w:rsidR="006C7387" w:rsidRPr="006C7387">
        <w:rPr>
          <w:rFonts w:eastAsia="Times New Roman" w:cstheme="minorHAnsi"/>
        </w:rPr>
        <w:t xml:space="preserve"> (500nM) or </w:t>
      </w:r>
      <w:proofErr w:type="spellStart"/>
      <w:r w:rsidR="006C7387" w:rsidRPr="006C7387">
        <w:rPr>
          <w:rFonts w:eastAsia="Times New Roman" w:cstheme="minorHAnsi"/>
        </w:rPr>
        <w:t>HisOH</w:t>
      </w:r>
      <w:proofErr w:type="spellEnd"/>
      <w:r w:rsidR="006C7387" w:rsidRPr="006C7387">
        <w:rPr>
          <w:rFonts w:eastAsia="Times New Roman" w:cstheme="minorHAnsi"/>
        </w:rPr>
        <w:t xml:space="preserve"> 2 mM +/- GCN2ib (1µM) revealed an effective and specific </w:t>
      </w:r>
      <w:proofErr w:type="spellStart"/>
      <w:r w:rsidR="006C7387" w:rsidRPr="006C7387">
        <w:rPr>
          <w:rFonts w:eastAsia="Times New Roman" w:cstheme="minorHAnsi"/>
        </w:rPr>
        <w:t>Thap</w:t>
      </w:r>
      <w:proofErr w:type="spellEnd"/>
      <w:r w:rsidR="006C7387" w:rsidRPr="006C7387">
        <w:rPr>
          <w:rFonts w:eastAsia="Times New Roman" w:cstheme="minorHAnsi"/>
        </w:rPr>
        <w:t xml:space="preserve">-dependent PERK activation (PERK phosphorylation, P-PERK) and </w:t>
      </w:r>
      <w:proofErr w:type="spellStart"/>
      <w:r w:rsidR="006C7387" w:rsidRPr="006C7387">
        <w:rPr>
          <w:rFonts w:eastAsia="Times New Roman" w:cstheme="minorHAnsi"/>
        </w:rPr>
        <w:t>HisOH</w:t>
      </w:r>
      <w:proofErr w:type="spellEnd"/>
      <w:r w:rsidR="006C7387" w:rsidRPr="006C7387">
        <w:rPr>
          <w:rFonts w:eastAsia="Times New Roman" w:cstheme="minorHAnsi"/>
        </w:rPr>
        <w:t xml:space="preserve">-dependent GCN2 activation (GCN2 phosphorylation, P-GCN2) as well as ATF4 translation. </w:t>
      </w:r>
      <w:proofErr w:type="spellStart"/>
      <w:r w:rsidR="006C7387" w:rsidRPr="006C7387">
        <w:rPr>
          <w:rFonts w:eastAsia="Times New Roman" w:cstheme="minorHAnsi"/>
        </w:rPr>
        <w:t>PERKib</w:t>
      </w:r>
      <w:proofErr w:type="spellEnd"/>
      <w:r w:rsidR="006C7387" w:rsidRPr="006C7387">
        <w:rPr>
          <w:rFonts w:eastAsia="Times New Roman" w:cstheme="minorHAnsi"/>
        </w:rPr>
        <w:t xml:space="preserve"> and GCN2ib prevent PERK and GCN2 phosphorylation and, consequently, ATF4 translation.</w:t>
      </w:r>
      <w:r w:rsidR="006C7387">
        <w:rPr>
          <w:rFonts w:eastAsia="Times New Roman" w:cstheme="minorHAnsi"/>
        </w:rPr>
        <w:t xml:space="preserve"> </w:t>
      </w:r>
      <w:r w:rsidR="004645E8">
        <w:rPr>
          <w:b/>
          <w:bCs/>
        </w:rPr>
        <w:t xml:space="preserve">Design and efficacy of CRISPR/Cas9 guides to </w:t>
      </w:r>
      <w:r w:rsidR="004645E8" w:rsidRPr="00FB0076">
        <w:rPr>
          <w:b/>
          <w:bCs/>
        </w:rPr>
        <w:t>kno</w:t>
      </w:r>
      <w:r w:rsidR="004645E8">
        <w:rPr>
          <w:b/>
          <w:bCs/>
        </w:rPr>
        <w:t xml:space="preserve">ck </w:t>
      </w:r>
      <w:r w:rsidR="004645E8" w:rsidRPr="00FB0076">
        <w:rPr>
          <w:b/>
          <w:bCs/>
        </w:rPr>
        <w:t xml:space="preserve">down </w:t>
      </w:r>
      <w:r w:rsidR="004645E8">
        <w:rPr>
          <w:b/>
          <w:bCs/>
        </w:rPr>
        <w:t>human and rat ISR kinases (PERK, PKR, HRI, and GCN2</w:t>
      </w:r>
      <w:r w:rsidR="004645E8" w:rsidRPr="00EA6B45">
        <w:rPr>
          <w:b/>
          <w:bCs/>
        </w:rPr>
        <w:t xml:space="preserve">). </w:t>
      </w:r>
      <w:r w:rsidR="006C7387">
        <w:t>C</w:t>
      </w:r>
      <w:r w:rsidRPr="00EA6B45">
        <w:t>) Scheme representing DNA domains of human ISR kinase genes (HRI, PKR, PERK, and GCN2) and location of Crispr/cas9-dependent insertions or deletions (represented with scis</w:t>
      </w:r>
      <w:r>
        <w:t>s</w:t>
      </w:r>
      <w:r w:rsidRPr="00EA6B45">
        <w:t xml:space="preserve">ors). </w:t>
      </w:r>
      <w:r w:rsidR="006C7387">
        <w:t>D</w:t>
      </w:r>
      <w:r w:rsidRPr="00EA6B45">
        <w:t xml:space="preserve">) </w:t>
      </w:r>
      <w:r w:rsidRPr="00EA6B45">
        <w:rPr>
          <w:rFonts w:eastAsia="Times New Roman" w:cstheme="minorHAnsi"/>
          <w:bCs/>
        </w:rPr>
        <w:t xml:space="preserve">Western-blot analysis of protein extracts from HEK293 cells transfected with pX458 plasmids expressing human Crispr/cas9 guides (CRISPR-PKR, CRISPR-PERK, CRISPR-GCN2) and </w:t>
      </w:r>
      <w:r w:rsidRPr="00EA6B45">
        <w:rPr>
          <w:rFonts w:ascii="Calibri" w:hAnsi="Calibri" w:cs="Calibri"/>
        </w:rPr>
        <w:t xml:space="preserve">pX458 </w:t>
      </w:r>
      <w:r w:rsidRPr="00EA6B45">
        <w:rPr>
          <w:rFonts w:eastAsia="Times New Roman" w:cstheme="minorHAnsi"/>
          <w:bCs/>
        </w:rPr>
        <w:t>empty vector (control). Human CRISPR-PKR, CRISPR-PERK</w:t>
      </w:r>
      <w:r>
        <w:rPr>
          <w:rFonts w:eastAsia="Times New Roman" w:cstheme="minorHAnsi"/>
          <w:bCs/>
        </w:rPr>
        <w:t>,</w:t>
      </w:r>
      <w:r w:rsidRPr="00EA6B45">
        <w:rPr>
          <w:rFonts w:eastAsia="Times New Roman" w:cstheme="minorHAnsi"/>
          <w:bCs/>
        </w:rPr>
        <w:t xml:space="preserve"> and CRISPR-GCN2 guides decrease PKR, PERK</w:t>
      </w:r>
      <w:r>
        <w:rPr>
          <w:rFonts w:eastAsia="Times New Roman" w:cstheme="minorHAnsi"/>
          <w:bCs/>
        </w:rPr>
        <w:t>,</w:t>
      </w:r>
      <w:r w:rsidRPr="00EA6B45">
        <w:rPr>
          <w:rFonts w:eastAsia="Times New Roman" w:cstheme="minorHAnsi"/>
          <w:bCs/>
        </w:rPr>
        <w:t xml:space="preserve"> and GCN2 protein levels, respectively. </w:t>
      </w:r>
      <w:r w:rsidR="006C7387">
        <w:rPr>
          <w:rFonts w:eastAsia="Times New Roman" w:cstheme="minorHAnsi"/>
          <w:bCs/>
        </w:rPr>
        <w:t>E</w:t>
      </w:r>
      <w:r w:rsidRPr="00EA6B45">
        <w:rPr>
          <w:rFonts w:eastAsia="Times New Roman" w:cstheme="minorHAnsi"/>
          <w:bCs/>
        </w:rPr>
        <w:t xml:space="preserve">) </w:t>
      </w:r>
      <w:r w:rsidRPr="00EA6B45">
        <w:t>Scheme representing DNA domains of rat GCN2 gene and location of Crispr/cas9-dependent insertions or deletions</w:t>
      </w:r>
      <w:r>
        <w:t xml:space="preserve">. </w:t>
      </w:r>
      <w:r w:rsidR="006C7387">
        <w:rPr>
          <w:rFonts w:eastAsia="Times New Roman" w:cstheme="minorHAnsi"/>
          <w:bCs/>
        </w:rPr>
        <w:t>F</w:t>
      </w:r>
      <w:r w:rsidRPr="00D9107E">
        <w:rPr>
          <w:rFonts w:eastAsia="Times New Roman" w:cstheme="minorHAnsi"/>
          <w:bCs/>
        </w:rPr>
        <w:t>) W</w:t>
      </w:r>
      <w:r w:rsidR="006C7387">
        <w:rPr>
          <w:rFonts w:eastAsia="Times New Roman" w:cstheme="minorHAnsi"/>
          <w:bCs/>
        </w:rPr>
        <w:t>estern-blot</w:t>
      </w:r>
      <w:r w:rsidRPr="009823AC">
        <w:rPr>
          <w:rFonts w:eastAsia="Times New Roman" w:cstheme="minorHAnsi"/>
          <w:bCs/>
        </w:rPr>
        <w:t xml:space="preserve"> analysis</w:t>
      </w:r>
      <w:r w:rsidR="006C7387">
        <w:rPr>
          <w:rFonts w:eastAsia="Times New Roman" w:cstheme="minorHAnsi"/>
          <w:bCs/>
        </w:rPr>
        <w:t xml:space="preserve"> </w:t>
      </w:r>
      <w:r>
        <w:rPr>
          <w:rFonts w:eastAsia="Times New Roman" w:cstheme="minorHAnsi"/>
          <w:bCs/>
        </w:rPr>
        <w:t>of</w:t>
      </w:r>
      <w:r w:rsidR="006C7387">
        <w:rPr>
          <w:rFonts w:eastAsia="Times New Roman" w:cstheme="minorHAnsi"/>
          <w:bCs/>
        </w:rPr>
        <w:t xml:space="preserve"> </w:t>
      </w:r>
      <w:r>
        <w:rPr>
          <w:rFonts w:eastAsia="Times New Roman" w:cstheme="minorHAnsi"/>
          <w:bCs/>
        </w:rPr>
        <w:t xml:space="preserve">protein extracts from RH7777 cells transfected with pX458 plasmids expressing GCN2 Crispr/cas9 guides (G1, G2, G3) and </w:t>
      </w:r>
      <w:r>
        <w:rPr>
          <w:rFonts w:ascii="Calibri" w:hAnsi="Calibri" w:cs="Calibri"/>
        </w:rPr>
        <w:t xml:space="preserve">pX458 </w:t>
      </w:r>
      <w:r>
        <w:rPr>
          <w:rFonts w:eastAsia="Times New Roman" w:cstheme="minorHAnsi"/>
          <w:bCs/>
        </w:rPr>
        <w:t xml:space="preserve">empty vector (control) and treated with +/- </w:t>
      </w:r>
      <w:proofErr w:type="spellStart"/>
      <w:r>
        <w:rPr>
          <w:rFonts w:eastAsia="Times New Roman" w:cstheme="minorHAnsi"/>
          <w:bCs/>
        </w:rPr>
        <w:t>Histidinol</w:t>
      </w:r>
      <w:proofErr w:type="spellEnd"/>
      <w:r>
        <w:rPr>
          <w:rFonts w:eastAsia="Times New Roman" w:cstheme="minorHAnsi"/>
          <w:bCs/>
        </w:rPr>
        <w:t xml:space="preserve"> 2 mM (GCN2 activator) for 4 hours (4h). </w:t>
      </w:r>
      <w:r w:rsidRPr="009823AC">
        <w:rPr>
          <w:rFonts w:eastAsia="Times New Roman" w:cstheme="minorHAnsi"/>
          <w:bCs/>
        </w:rPr>
        <w:t xml:space="preserve">GCN2 </w:t>
      </w:r>
      <w:r>
        <w:rPr>
          <w:rFonts w:eastAsia="Times New Roman" w:cstheme="minorHAnsi"/>
          <w:bCs/>
        </w:rPr>
        <w:t xml:space="preserve">and ATF4 protein levels decrease in cells expressing GCN2 Crispr/cas9 guides. </w:t>
      </w:r>
    </w:p>
    <w:p w14:paraId="637803BE" w14:textId="4F6C3386" w:rsidR="00FA6F94" w:rsidRDefault="00FA6F94" w:rsidP="004E01ED">
      <w:pPr>
        <w:ind w:right="-568"/>
        <w:jc w:val="both"/>
        <w:rPr>
          <w:rFonts w:eastAsia="Times New Roman" w:cstheme="minorHAnsi"/>
          <w:color w:val="FF0000"/>
        </w:rPr>
      </w:pPr>
    </w:p>
    <w:p w14:paraId="050178D2" w14:textId="1C24FE00" w:rsidR="008D038C" w:rsidRDefault="008D038C" w:rsidP="009261C0">
      <w:pPr>
        <w:ind w:left="-567" w:right="-568"/>
        <w:jc w:val="both"/>
        <w:rPr>
          <w:rFonts w:eastAsia="Times New Roman" w:cstheme="minorHAnsi"/>
          <w:color w:val="FF0000"/>
        </w:rPr>
      </w:pPr>
      <w:r>
        <w:rPr>
          <w:rFonts w:eastAsia="Times New Roman" w:cstheme="minorHAnsi"/>
          <w:noProof/>
          <w:color w:val="FF0000"/>
        </w:rPr>
        <w:drawing>
          <wp:inline distT="0" distB="0" distL="0" distR="0" wp14:anchorId="3CC1381F" wp14:editId="328F98BF">
            <wp:extent cx="3688422" cy="2500441"/>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4">
                      <a:extLst>
                        <a:ext uri="{28A0092B-C50C-407E-A947-70E740481C1C}">
                          <a14:useLocalDpi xmlns:a14="http://schemas.microsoft.com/office/drawing/2010/main" val="0"/>
                        </a:ext>
                      </a:extLst>
                    </a:blip>
                    <a:stretch>
                      <a:fillRect/>
                    </a:stretch>
                  </pic:blipFill>
                  <pic:spPr>
                    <a:xfrm>
                      <a:off x="0" y="0"/>
                      <a:ext cx="3703618" cy="2510743"/>
                    </a:xfrm>
                    <a:prstGeom prst="rect">
                      <a:avLst/>
                    </a:prstGeom>
                  </pic:spPr>
                </pic:pic>
              </a:graphicData>
            </a:graphic>
          </wp:inline>
        </w:drawing>
      </w:r>
    </w:p>
    <w:p w14:paraId="62D3E8B5" w14:textId="77777777" w:rsidR="00BD782B" w:rsidRDefault="00BD782B" w:rsidP="003355B0">
      <w:pPr>
        <w:ind w:left="-567" w:right="-568"/>
        <w:jc w:val="both"/>
        <w:rPr>
          <w:b/>
          <w:bCs/>
        </w:rPr>
      </w:pPr>
    </w:p>
    <w:p w14:paraId="76702FBE" w14:textId="0E4E09A0" w:rsidR="003355B0" w:rsidRPr="00BD782B" w:rsidRDefault="008D038C" w:rsidP="003355B0">
      <w:pPr>
        <w:ind w:left="-567" w:right="-568"/>
        <w:jc w:val="both"/>
        <w:rPr>
          <w:b/>
          <w:bCs/>
        </w:rPr>
      </w:pPr>
      <w:r w:rsidRPr="00E9241A">
        <w:rPr>
          <w:b/>
          <w:bCs/>
        </w:rPr>
        <w:t>Figure S</w:t>
      </w:r>
      <w:r>
        <w:rPr>
          <w:b/>
          <w:bCs/>
        </w:rPr>
        <w:t>5.</w:t>
      </w:r>
      <w:r w:rsidR="003355B0">
        <w:rPr>
          <w:b/>
          <w:bCs/>
        </w:rPr>
        <w:t xml:space="preserve"> </w:t>
      </w:r>
      <w:r w:rsidR="004645E8" w:rsidRPr="004645E8">
        <w:rPr>
          <w:b/>
          <w:bCs/>
        </w:rPr>
        <w:t xml:space="preserve">PERK </w:t>
      </w:r>
      <w:r w:rsidR="003355B0" w:rsidRPr="004645E8">
        <w:rPr>
          <w:b/>
          <w:bCs/>
        </w:rPr>
        <w:t xml:space="preserve">pharmacological inhibition determines the distribution of WT SOD1 in primary neurons. </w:t>
      </w:r>
      <w:r w:rsidR="003355B0" w:rsidRPr="00BD782B">
        <w:t xml:space="preserve">Representative confocal images of </w:t>
      </w:r>
      <w:r w:rsidR="00BD782B" w:rsidRPr="00BD782B">
        <w:t xml:space="preserve">immunofluorescences experiments </w:t>
      </w:r>
      <w:r w:rsidR="003355B0" w:rsidRPr="00BD782B">
        <w:t>illustrating SOD1</w:t>
      </w:r>
      <w:r w:rsidR="00BD782B" w:rsidRPr="00BD782B">
        <w:t xml:space="preserve"> </w:t>
      </w:r>
      <w:r w:rsidR="003355B0" w:rsidRPr="00BD782B">
        <w:t xml:space="preserve">intraneuronal distribution (green) in primary neurons expressing WT SOD1 -/+ </w:t>
      </w:r>
      <w:proofErr w:type="spellStart"/>
      <w:r w:rsidR="003355B0" w:rsidRPr="00BD782B">
        <w:t>PERKib</w:t>
      </w:r>
      <w:proofErr w:type="spellEnd"/>
      <w:r w:rsidR="003355B0" w:rsidRPr="00BD782B">
        <w:t>. In blue, MAP2 staining identifies neurons. PERK inhibition increases clustered WT SOD1 distribution</w:t>
      </w:r>
      <w:r w:rsidR="00BD782B" w:rsidRPr="00BD782B">
        <w:t>.</w:t>
      </w:r>
    </w:p>
    <w:p w14:paraId="523103D1" w14:textId="48E49212" w:rsidR="008D038C" w:rsidRDefault="008D038C" w:rsidP="009261C0">
      <w:pPr>
        <w:ind w:left="-567" w:right="-568"/>
        <w:jc w:val="both"/>
        <w:rPr>
          <w:b/>
          <w:bCs/>
        </w:rPr>
      </w:pPr>
    </w:p>
    <w:p w14:paraId="2D444F04" w14:textId="0BF9757B" w:rsidR="008D038C" w:rsidRDefault="008D038C" w:rsidP="009261C0">
      <w:pPr>
        <w:ind w:left="-567" w:right="-568"/>
        <w:jc w:val="both"/>
        <w:rPr>
          <w:b/>
          <w:bCs/>
        </w:rPr>
      </w:pPr>
    </w:p>
    <w:p w14:paraId="7C1C9751" w14:textId="6FE601FF" w:rsidR="00944DB7" w:rsidRDefault="00944DB7" w:rsidP="009261C0">
      <w:pPr>
        <w:ind w:left="-567" w:right="-568"/>
        <w:jc w:val="both"/>
        <w:rPr>
          <w:b/>
          <w:bCs/>
        </w:rPr>
      </w:pPr>
    </w:p>
    <w:p w14:paraId="65E79257" w14:textId="7FE5F36F" w:rsidR="00944DB7" w:rsidRDefault="00944DB7" w:rsidP="009261C0">
      <w:pPr>
        <w:ind w:left="-567" w:right="-568"/>
        <w:jc w:val="both"/>
        <w:rPr>
          <w:b/>
          <w:bCs/>
        </w:rPr>
      </w:pPr>
    </w:p>
    <w:p w14:paraId="33B8F5BE" w14:textId="77777777" w:rsidR="00944DB7" w:rsidRDefault="00944DB7" w:rsidP="009261C0">
      <w:pPr>
        <w:ind w:left="-567" w:right="-568"/>
        <w:jc w:val="both"/>
        <w:rPr>
          <w:b/>
          <w:bCs/>
        </w:rPr>
      </w:pPr>
    </w:p>
    <w:p w14:paraId="72F586E4" w14:textId="32F9C891" w:rsidR="004E01ED" w:rsidRDefault="00835077" w:rsidP="009261C0">
      <w:pPr>
        <w:ind w:left="-567" w:right="-568"/>
        <w:jc w:val="both"/>
        <w:rPr>
          <w:b/>
          <w:bCs/>
        </w:rPr>
      </w:pPr>
      <w:r>
        <w:rPr>
          <w:b/>
          <w:bCs/>
          <w:noProof/>
        </w:rPr>
        <w:lastRenderedPageBreak/>
        <w:drawing>
          <wp:inline distT="0" distB="0" distL="0" distR="0" wp14:anchorId="33904342" wp14:editId="3363FFB9">
            <wp:extent cx="4584709" cy="3530183"/>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589641" cy="3533980"/>
                    </a:xfrm>
                    <a:prstGeom prst="rect">
                      <a:avLst/>
                    </a:prstGeom>
                  </pic:spPr>
                </pic:pic>
              </a:graphicData>
            </a:graphic>
          </wp:inline>
        </w:drawing>
      </w:r>
    </w:p>
    <w:p w14:paraId="55FC7432" w14:textId="57E0C4D0" w:rsidR="008D038C" w:rsidRDefault="008D038C" w:rsidP="00835077">
      <w:pPr>
        <w:ind w:right="-568"/>
        <w:jc w:val="both"/>
        <w:rPr>
          <w:b/>
          <w:bCs/>
        </w:rPr>
      </w:pPr>
    </w:p>
    <w:p w14:paraId="40697147" w14:textId="13C145F2" w:rsidR="008D038C" w:rsidRPr="00D323C8" w:rsidRDefault="008D038C" w:rsidP="00D323C8">
      <w:pPr>
        <w:ind w:left="-567" w:right="-568"/>
        <w:jc w:val="both"/>
        <w:rPr>
          <w:color w:val="FF0000"/>
        </w:rPr>
      </w:pPr>
      <w:r w:rsidRPr="00E9241A">
        <w:rPr>
          <w:b/>
          <w:bCs/>
        </w:rPr>
        <w:t>Figure S</w:t>
      </w:r>
      <w:r>
        <w:rPr>
          <w:b/>
          <w:bCs/>
        </w:rPr>
        <w:t>6.</w:t>
      </w:r>
      <w:r w:rsidR="00BF07F2">
        <w:rPr>
          <w:b/>
          <w:bCs/>
        </w:rPr>
        <w:t xml:space="preserve"> </w:t>
      </w:r>
      <w:r w:rsidR="00FD31A2" w:rsidRPr="00FD31A2">
        <w:t>A</w:t>
      </w:r>
      <w:r w:rsidR="00BF07F2" w:rsidRPr="00FD31A2">
        <w:t xml:space="preserve">) Cumulative death hazard estimation of primary neurons co-transfected with </w:t>
      </w:r>
      <w:proofErr w:type="spellStart"/>
      <w:r w:rsidR="00FD31A2" w:rsidRPr="00FD31A2">
        <w:t>mCherry</w:t>
      </w:r>
      <w:proofErr w:type="spellEnd"/>
      <w:r w:rsidR="00FD31A2" w:rsidRPr="00FD31A2">
        <w:t xml:space="preserve"> (</w:t>
      </w:r>
      <w:r w:rsidR="00BF07F2" w:rsidRPr="00FD31A2">
        <w:t>Ch</w:t>
      </w:r>
      <w:r w:rsidR="00FD31A2" w:rsidRPr="00FD31A2">
        <w:t>)</w:t>
      </w:r>
      <w:r w:rsidR="00BF07F2" w:rsidRPr="00FD31A2">
        <w:t xml:space="preserve"> and sgRNAs containing CRISPR/Cas9 plasmids for GCN2 targeting (GCN2g1, GCN2g2) or px458 empty vector </w:t>
      </w:r>
      <w:r w:rsidR="00BF07F2" w:rsidRPr="00D323C8">
        <w:t xml:space="preserve">(control (ctrl)). Cox Proportional Hazard (CPH) analysis; pooled data from three independent experiments, (Table S2). </w:t>
      </w:r>
      <w:r w:rsidR="00FD31A2" w:rsidRPr="00D323C8">
        <w:t>B</w:t>
      </w:r>
      <w:r w:rsidR="00BF07F2" w:rsidRPr="00D323C8">
        <w:t xml:space="preserve">) A92 inhibits GCN2 activation (phosphorylation_pGCN2) and signaling events (ATF4 translation) </w:t>
      </w:r>
      <w:r w:rsidR="00BF07F2" w:rsidRPr="00FD31A2">
        <w:t xml:space="preserve">in </w:t>
      </w:r>
      <w:proofErr w:type="spellStart"/>
      <w:r w:rsidR="00BF07F2" w:rsidRPr="00FD31A2">
        <w:t>Histidinol</w:t>
      </w:r>
      <w:proofErr w:type="spellEnd"/>
      <w:r w:rsidR="00BF07F2" w:rsidRPr="00FD31A2">
        <w:t xml:space="preserve"> (</w:t>
      </w:r>
      <w:proofErr w:type="spellStart"/>
      <w:r w:rsidR="00BF07F2" w:rsidRPr="00FD31A2">
        <w:t>HisOH</w:t>
      </w:r>
      <w:proofErr w:type="spellEnd"/>
      <w:r w:rsidR="00BF07F2" w:rsidRPr="00FD31A2">
        <w:t xml:space="preserve">)-treated HEK293 cells.  </w:t>
      </w:r>
      <w:r w:rsidR="00FD31A2" w:rsidRPr="00FD31A2">
        <w:t>C</w:t>
      </w:r>
      <w:r w:rsidR="00BF07F2" w:rsidRPr="00FD31A2">
        <w:t xml:space="preserve">) Cumulative death hazard estimation of primary neurons transfected with Ch and treated with GCN2 pharmacological </w:t>
      </w:r>
      <w:r w:rsidR="00BF07F2" w:rsidRPr="00D323C8">
        <w:t>inhibitor (A92) or vehicle (DMSO). C</w:t>
      </w:r>
      <w:r w:rsidR="00FD31A2" w:rsidRPr="00D323C8">
        <w:t>ox Proportional Hazard</w:t>
      </w:r>
      <w:r w:rsidR="00BF07F2" w:rsidRPr="00D323C8">
        <w:t xml:space="preserve"> analysis; pooled data from five independent experiments (Table S4). Number </w:t>
      </w:r>
      <w:r w:rsidR="00BF07F2" w:rsidRPr="00FD31A2">
        <w:t>of neurons (n); ns, not statistically different; ***p &lt; 0.001.</w:t>
      </w:r>
    </w:p>
    <w:p w14:paraId="2BB6E067" w14:textId="21CB8DFC" w:rsidR="008D038C" w:rsidRPr="00BF07F2" w:rsidRDefault="008D038C" w:rsidP="009261C0">
      <w:pPr>
        <w:ind w:left="-567" w:right="-568"/>
        <w:jc w:val="both"/>
      </w:pPr>
    </w:p>
    <w:p w14:paraId="1912C9BA" w14:textId="77777777" w:rsidR="008D038C" w:rsidRPr="00B14D8D" w:rsidRDefault="008D038C" w:rsidP="009261C0">
      <w:pPr>
        <w:ind w:left="-567" w:right="-568"/>
        <w:jc w:val="both"/>
        <w:rPr>
          <w:rFonts w:eastAsia="Times New Roman" w:cstheme="minorHAnsi"/>
          <w:color w:val="FF0000"/>
        </w:rPr>
      </w:pPr>
    </w:p>
    <w:p w14:paraId="19882145" w14:textId="77777777" w:rsidR="009261C0" w:rsidRDefault="009261C0" w:rsidP="009261C0">
      <w:pPr>
        <w:ind w:left="-567"/>
        <w:jc w:val="both"/>
        <w:rPr>
          <w:b/>
          <w:bCs/>
          <w:sz w:val="24"/>
          <w:szCs w:val="24"/>
        </w:rPr>
      </w:pPr>
      <w:r>
        <w:rPr>
          <w:b/>
          <w:bCs/>
          <w:noProof/>
          <w:sz w:val="24"/>
          <w:szCs w:val="24"/>
        </w:rPr>
        <w:lastRenderedPageBreak/>
        <w:drawing>
          <wp:inline distT="0" distB="0" distL="0" distR="0" wp14:anchorId="1FB072CF" wp14:editId="4F31382E">
            <wp:extent cx="5836435" cy="372189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843156" cy="3726180"/>
                    </a:xfrm>
                    <a:prstGeom prst="rect">
                      <a:avLst/>
                    </a:prstGeom>
                  </pic:spPr>
                </pic:pic>
              </a:graphicData>
            </a:graphic>
          </wp:inline>
        </w:drawing>
      </w:r>
    </w:p>
    <w:p w14:paraId="16710CA4" w14:textId="77777777" w:rsidR="009261C0" w:rsidRDefault="009261C0" w:rsidP="009261C0">
      <w:pPr>
        <w:ind w:left="-567" w:right="-568"/>
        <w:jc w:val="both"/>
        <w:rPr>
          <w:b/>
          <w:bCs/>
        </w:rPr>
      </w:pPr>
    </w:p>
    <w:p w14:paraId="09FEA861" w14:textId="73298084" w:rsidR="009261C0" w:rsidRPr="00016ED7" w:rsidRDefault="009261C0" w:rsidP="009261C0">
      <w:pPr>
        <w:ind w:left="-567" w:right="-568"/>
        <w:jc w:val="both"/>
        <w:rPr>
          <w:rFonts w:ascii="Calibri" w:hAnsi="Calibri" w:cs="Calibri"/>
        </w:rPr>
      </w:pPr>
      <w:r w:rsidRPr="00B14D8D">
        <w:rPr>
          <w:b/>
          <w:bCs/>
        </w:rPr>
        <w:t>Figure S</w:t>
      </w:r>
      <w:r w:rsidR="008D038C">
        <w:rPr>
          <w:b/>
          <w:bCs/>
        </w:rPr>
        <w:t>7</w:t>
      </w:r>
      <w:r w:rsidRPr="00B14D8D">
        <w:rPr>
          <w:b/>
          <w:bCs/>
        </w:rPr>
        <w:t xml:space="preserve">. </w:t>
      </w:r>
      <w:r>
        <w:rPr>
          <w:b/>
          <w:bCs/>
        </w:rPr>
        <w:t>GCN2ib</w:t>
      </w:r>
      <w:r w:rsidRPr="00B14D8D">
        <w:rPr>
          <w:b/>
          <w:bCs/>
        </w:rPr>
        <w:t xml:space="preserve"> treatment of SOD1</w:t>
      </w:r>
      <w:r w:rsidRPr="00B14D8D">
        <w:rPr>
          <w:b/>
          <w:bCs/>
          <w:vertAlign w:val="superscript"/>
        </w:rPr>
        <w:t>G93A</w:t>
      </w:r>
      <w:r w:rsidRPr="00B14D8D">
        <w:rPr>
          <w:b/>
          <w:bCs/>
        </w:rPr>
        <w:t xml:space="preserve"> transgenic mice</w:t>
      </w:r>
      <w:r>
        <w:rPr>
          <w:b/>
          <w:bCs/>
        </w:rPr>
        <w:t xml:space="preserve"> (G93A)</w:t>
      </w:r>
      <w:r w:rsidRPr="00B14D8D">
        <w:rPr>
          <w:b/>
          <w:bCs/>
        </w:rPr>
        <w:t xml:space="preserve"> from delays </w:t>
      </w:r>
      <w:r>
        <w:rPr>
          <w:b/>
          <w:bCs/>
        </w:rPr>
        <w:t xml:space="preserve">the death of spinal cord </w:t>
      </w:r>
      <w:proofErr w:type="spellStart"/>
      <w:r>
        <w:rPr>
          <w:b/>
          <w:bCs/>
        </w:rPr>
        <w:t>ChAT</w:t>
      </w:r>
      <w:proofErr w:type="spellEnd"/>
      <w:r>
        <w:rPr>
          <w:b/>
          <w:bCs/>
        </w:rPr>
        <w:t xml:space="preserve">+ motoneurons. </w:t>
      </w:r>
      <w:r w:rsidRPr="00304E45">
        <w:rPr>
          <w:rFonts w:ascii="Calibri" w:hAnsi="Calibri" w:cs="Calibri"/>
        </w:rPr>
        <w:t xml:space="preserve">A new cohort of animals </w:t>
      </w:r>
      <w:r>
        <w:rPr>
          <w:rFonts w:ascii="Calibri" w:hAnsi="Calibri" w:cs="Calibri"/>
        </w:rPr>
        <w:t>was</w:t>
      </w:r>
      <w:r w:rsidRPr="00304E45">
        <w:rPr>
          <w:rFonts w:ascii="Calibri" w:hAnsi="Calibri" w:cs="Calibri"/>
        </w:rPr>
        <w:t xml:space="preserve"> treated with </w:t>
      </w:r>
      <w:r>
        <w:rPr>
          <w:rFonts w:ascii="Calibri" w:hAnsi="Calibri" w:cs="Calibri"/>
        </w:rPr>
        <w:t>GCN2ib</w:t>
      </w:r>
      <w:r w:rsidRPr="00304E45">
        <w:rPr>
          <w:rFonts w:ascii="Calibri" w:hAnsi="Calibri" w:cs="Calibri"/>
        </w:rPr>
        <w:t xml:space="preserve"> from 6 weeks old (as in Figure 5) but sacrificed at 12 weeks</w:t>
      </w:r>
      <w:r>
        <w:rPr>
          <w:rFonts w:ascii="Calibri" w:hAnsi="Calibri" w:cs="Calibri"/>
        </w:rPr>
        <w:t xml:space="preserve"> (</w:t>
      </w:r>
      <w:r w:rsidRPr="009D1FB1">
        <w:rPr>
          <w:rFonts w:ascii="Calibri" w:hAnsi="Calibri" w:cs="Calibri"/>
        </w:rPr>
        <w:t xml:space="preserve">WT </w:t>
      </w:r>
      <w:r>
        <w:rPr>
          <w:rFonts w:ascii="Calibri" w:hAnsi="Calibri" w:cs="Calibri"/>
        </w:rPr>
        <w:t>n=5</w:t>
      </w:r>
      <w:r w:rsidRPr="009D1FB1">
        <w:rPr>
          <w:rFonts w:ascii="Calibri" w:hAnsi="Calibri" w:cs="Calibri"/>
        </w:rPr>
        <w:t>, WT+GCN2ib</w:t>
      </w:r>
      <w:r>
        <w:rPr>
          <w:rFonts w:ascii="Calibri" w:hAnsi="Calibri" w:cs="Calibri"/>
        </w:rPr>
        <w:t xml:space="preserve"> n</w:t>
      </w:r>
      <w:r w:rsidRPr="009D1FB1">
        <w:rPr>
          <w:rFonts w:ascii="Calibri" w:hAnsi="Calibri" w:cs="Calibri"/>
        </w:rPr>
        <w:t>=5, G93A n=4, G93A+GCN2ib n=5</w:t>
      </w:r>
      <w:r>
        <w:rPr>
          <w:rFonts w:ascii="Calibri" w:hAnsi="Calibri" w:cs="Calibri"/>
        </w:rPr>
        <w:t>)</w:t>
      </w:r>
      <w:r w:rsidRPr="009D1FB1">
        <w:rPr>
          <w:rFonts w:ascii="Calibri" w:hAnsi="Calibri" w:cs="Calibri"/>
        </w:rPr>
        <w:t>.</w:t>
      </w:r>
      <w:r>
        <w:rPr>
          <w:rFonts w:ascii="Calibri" w:hAnsi="Calibri" w:cs="Calibri"/>
        </w:rPr>
        <w:t xml:space="preserve"> </w:t>
      </w:r>
      <w:r w:rsidRPr="00304E45">
        <w:rPr>
          <w:rFonts w:ascii="Calibri" w:hAnsi="Calibri" w:cs="Calibri"/>
        </w:rPr>
        <w:t>A) Longitudinal EMG analysis in TA and SOL from 8 to 12 weeks from WT and G93A mice +/-</w:t>
      </w:r>
      <w:r>
        <w:rPr>
          <w:rFonts w:ascii="Calibri" w:hAnsi="Calibri" w:cs="Calibri"/>
        </w:rPr>
        <w:t>GCN2ib</w:t>
      </w:r>
      <w:r w:rsidRPr="00304E45">
        <w:rPr>
          <w:rFonts w:ascii="Calibri" w:hAnsi="Calibri" w:cs="Calibri"/>
        </w:rPr>
        <w:t xml:space="preserve">. As already observed in Figure </w:t>
      </w:r>
      <w:r w:rsidR="00E83A5E">
        <w:rPr>
          <w:rFonts w:ascii="Calibri" w:hAnsi="Calibri" w:cs="Calibri"/>
        </w:rPr>
        <w:t>1</w:t>
      </w:r>
      <w:r w:rsidRPr="00304E45">
        <w:rPr>
          <w:rFonts w:ascii="Calibri" w:hAnsi="Calibri" w:cs="Calibri"/>
        </w:rPr>
        <w:t xml:space="preserve">, </w:t>
      </w:r>
      <w:r>
        <w:rPr>
          <w:rFonts w:ascii="Calibri" w:hAnsi="Calibri" w:cs="Calibri"/>
        </w:rPr>
        <w:t>GCN2ib</w:t>
      </w:r>
      <w:r w:rsidRPr="00304E45">
        <w:rPr>
          <w:rFonts w:ascii="Calibri" w:hAnsi="Calibri" w:cs="Calibri"/>
        </w:rPr>
        <w:t xml:space="preserve">-treated G93A mice experience a delay in the number of activations per second (# activations/s) </w:t>
      </w:r>
      <w:r>
        <w:rPr>
          <w:rFonts w:ascii="Calibri" w:hAnsi="Calibri" w:cs="Calibri"/>
        </w:rPr>
        <w:t>compared to</w:t>
      </w:r>
      <w:r w:rsidRPr="00304E45">
        <w:rPr>
          <w:rFonts w:ascii="Calibri" w:hAnsi="Calibri" w:cs="Calibri"/>
        </w:rPr>
        <w:t xml:space="preserve"> non-treated G93A mice</w:t>
      </w:r>
      <w:r>
        <w:rPr>
          <w:rFonts w:ascii="Calibri" w:hAnsi="Calibri" w:cs="Calibri"/>
        </w:rPr>
        <w:t xml:space="preserve">. </w:t>
      </w:r>
      <w:bookmarkStart w:id="0" w:name="OLE_LINK1"/>
      <w:r w:rsidRPr="00FF106C">
        <w:t xml:space="preserve">Two-way </w:t>
      </w:r>
      <w:r w:rsidR="00E83A5E">
        <w:t>Repeated Measures (</w:t>
      </w:r>
      <w:r w:rsidRPr="00FF106C">
        <w:t>RM</w:t>
      </w:r>
      <w:r w:rsidR="00E83A5E">
        <w:t>)</w:t>
      </w:r>
      <w:r w:rsidRPr="00FF106C">
        <w:t xml:space="preserve"> ANOVA; Time (</w:t>
      </w:r>
      <w:r w:rsidRPr="00FF106C">
        <w:rPr>
          <w:rFonts w:ascii="Calibri" w:hAnsi="Calibri" w:cs="Calibri"/>
        </w:rPr>
        <w:t>F</w:t>
      </w:r>
      <w:r w:rsidRPr="00FF106C">
        <w:rPr>
          <w:rFonts w:ascii="Calibri" w:hAnsi="Calibri" w:cs="Calibri"/>
          <w:vertAlign w:val="subscript"/>
        </w:rPr>
        <w:t>1, 7</w:t>
      </w:r>
      <w:r w:rsidRPr="00FF106C">
        <w:rPr>
          <w:rFonts w:ascii="Calibri" w:hAnsi="Calibri" w:cs="Calibri"/>
        </w:rPr>
        <w:t xml:space="preserve"> = 9.966, p&lt;0.05), Condition </w:t>
      </w:r>
      <w:r w:rsidRPr="00FF106C">
        <w:t>(</w:t>
      </w:r>
      <w:r w:rsidRPr="00FF106C">
        <w:rPr>
          <w:rFonts w:ascii="Calibri" w:hAnsi="Calibri" w:cs="Calibri"/>
        </w:rPr>
        <w:t>F</w:t>
      </w:r>
      <w:r w:rsidRPr="00FF106C">
        <w:rPr>
          <w:rFonts w:ascii="Calibri" w:hAnsi="Calibri" w:cs="Calibri"/>
          <w:vertAlign w:val="subscript"/>
        </w:rPr>
        <w:t>1, 7</w:t>
      </w:r>
      <w:r w:rsidRPr="00FF106C">
        <w:rPr>
          <w:rFonts w:ascii="Calibri" w:hAnsi="Calibri" w:cs="Calibri"/>
        </w:rPr>
        <w:t xml:space="preserve"> = 7.687, p&lt; 0.05)</w:t>
      </w:r>
      <w:r>
        <w:rPr>
          <w:rFonts w:ascii="Calibri" w:hAnsi="Calibri" w:cs="Calibri"/>
        </w:rPr>
        <w:t>.</w:t>
      </w:r>
      <w:bookmarkEnd w:id="0"/>
      <w:r>
        <w:rPr>
          <w:rFonts w:ascii="Calibri" w:hAnsi="Calibri" w:cs="Calibri"/>
        </w:rPr>
        <w:t xml:space="preserve"> </w:t>
      </w:r>
      <w:r w:rsidRPr="00FF106C">
        <w:rPr>
          <w:rFonts w:ascii="Calibri" w:hAnsi="Calibri" w:cs="Calibri"/>
        </w:rPr>
        <w:t>Box plots with median and 25th and 75th percentile</w:t>
      </w:r>
      <w:r w:rsidR="00045658">
        <w:rPr>
          <w:rFonts w:ascii="Calibri" w:hAnsi="Calibri" w:cs="Calibri"/>
        </w:rPr>
        <w:t xml:space="preserve"> </w:t>
      </w:r>
      <w:r w:rsidR="00045658" w:rsidRPr="00DF3168">
        <w:rPr>
          <w:rFonts w:ascii="Calibri" w:hAnsi="Calibri" w:cs="Calibri"/>
        </w:rPr>
        <w:t>(“+”outlier)</w:t>
      </w:r>
      <w:r>
        <w:rPr>
          <w:rFonts w:ascii="Calibri" w:hAnsi="Calibri" w:cs="Calibri"/>
        </w:rPr>
        <w:t xml:space="preserve">. </w:t>
      </w:r>
      <w:r w:rsidRPr="007C2847">
        <w:rPr>
          <w:rFonts w:ascii="Calibri" w:hAnsi="Calibri" w:cs="Calibri"/>
        </w:rPr>
        <w:t xml:space="preserve">B) GCN2ib treatment delays the disease clinical score of </w:t>
      </w:r>
      <w:r>
        <w:rPr>
          <w:rFonts w:ascii="Calibri" w:hAnsi="Calibri" w:cs="Calibri"/>
        </w:rPr>
        <w:t xml:space="preserve">non-treated </w:t>
      </w:r>
      <w:r w:rsidRPr="007C2847">
        <w:rPr>
          <w:rFonts w:ascii="Calibri" w:hAnsi="Calibri" w:cs="Calibri"/>
        </w:rPr>
        <w:t>G93A mice.</w:t>
      </w:r>
      <w:r>
        <w:rPr>
          <w:rFonts w:ascii="Calibri" w:hAnsi="Calibri" w:cs="Calibri"/>
        </w:rPr>
        <w:t xml:space="preserve"> </w:t>
      </w:r>
      <w:r w:rsidRPr="009F55D2">
        <w:t>Two-way RM ANOVA; Time (</w:t>
      </w:r>
      <w:r w:rsidRPr="009F55D2">
        <w:rPr>
          <w:rFonts w:ascii="Calibri" w:hAnsi="Calibri" w:cs="Calibri"/>
        </w:rPr>
        <w:t>F</w:t>
      </w:r>
      <w:r w:rsidRPr="009F55D2">
        <w:rPr>
          <w:rFonts w:ascii="Calibri" w:hAnsi="Calibri" w:cs="Calibri"/>
          <w:vertAlign w:val="subscript"/>
        </w:rPr>
        <w:t>6,42</w:t>
      </w:r>
      <w:r w:rsidRPr="009F55D2">
        <w:rPr>
          <w:rFonts w:ascii="Calibri" w:hAnsi="Calibri" w:cs="Calibri"/>
        </w:rPr>
        <w:t xml:space="preserve"> = 16.82, p&lt;0.001), Condition </w:t>
      </w:r>
      <w:r w:rsidRPr="009F55D2">
        <w:t>(</w:t>
      </w:r>
      <w:r w:rsidRPr="009F55D2">
        <w:rPr>
          <w:rFonts w:ascii="Calibri" w:hAnsi="Calibri" w:cs="Calibri"/>
        </w:rPr>
        <w:t>F</w:t>
      </w:r>
      <w:r w:rsidRPr="009F55D2">
        <w:rPr>
          <w:rFonts w:ascii="Calibri" w:hAnsi="Calibri" w:cs="Calibri"/>
          <w:vertAlign w:val="subscript"/>
        </w:rPr>
        <w:t>1, 7</w:t>
      </w:r>
      <w:r w:rsidRPr="009F55D2">
        <w:rPr>
          <w:rFonts w:ascii="Calibri" w:hAnsi="Calibri" w:cs="Calibri"/>
        </w:rPr>
        <w:t xml:space="preserve"> = 94.11, p&lt; 0.05). C) Quantification of </w:t>
      </w:r>
      <w:proofErr w:type="spellStart"/>
      <w:r w:rsidRPr="009F55D2">
        <w:rPr>
          <w:rFonts w:ascii="Calibri" w:hAnsi="Calibri" w:cs="Calibri"/>
        </w:rPr>
        <w:t>ChAT</w:t>
      </w:r>
      <w:proofErr w:type="spellEnd"/>
      <w:r w:rsidRPr="00364FB2">
        <w:rPr>
          <w:rFonts w:ascii="Calibri" w:hAnsi="Calibri" w:cs="Calibri"/>
        </w:rPr>
        <w:t xml:space="preserve"> + motoneurons at 12 weeks in WT and G93A +/-</w:t>
      </w:r>
      <w:r>
        <w:rPr>
          <w:rFonts w:ascii="Calibri" w:hAnsi="Calibri" w:cs="Calibri"/>
        </w:rPr>
        <w:t>GCN2ib</w:t>
      </w:r>
      <w:r w:rsidRPr="00364FB2">
        <w:rPr>
          <w:rFonts w:ascii="Calibri" w:hAnsi="Calibri" w:cs="Calibri"/>
        </w:rPr>
        <w:t xml:space="preserve"> treatment in parallel mice cohorts. </w:t>
      </w:r>
      <w:r>
        <w:t>Two</w:t>
      </w:r>
      <w:r w:rsidRPr="00F63B4E">
        <w:t xml:space="preserve">-way ANOVA </w:t>
      </w:r>
      <w:r>
        <w:t xml:space="preserve">(Condition </w:t>
      </w:r>
      <w:r w:rsidRPr="002739BE">
        <w:rPr>
          <w:rFonts w:ascii="Calibri" w:hAnsi="Calibri" w:cs="Calibri"/>
        </w:rPr>
        <w:t>F</w:t>
      </w:r>
      <w:r w:rsidRPr="002739BE">
        <w:rPr>
          <w:rFonts w:ascii="Calibri" w:hAnsi="Calibri" w:cs="Calibri"/>
          <w:vertAlign w:val="subscript"/>
        </w:rPr>
        <w:t>1,15</w:t>
      </w:r>
      <w:r w:rsidRPr="002739BE">
        <w:rPr>
          <w:rFonts w:ascii="Calibri" w:hAnsi="Calibri" w:cs="Calibri"/>
        </w:rPr>
        <w:t xml:space="preserve"> = 15.58, **p &lt; 0.01); (Interaction F</w:t>
      </w:r>
      <w:r w:rsidRPr="002739BE">
        <w:rPr>
          <w:rFonts w:ascii="Calibri" w:hAnsi="Calibri" w:cs="Calibri"/>
          <w:vertAlign w:val="subscript"/>
        </w:rPr>
        <w:t>1,15</w:t>
      </w:r>
      <w:r w:rsidRPr="002739BE">
        <w:rPr>
          <w:rFonts w:ascii="Calibri" w:hAnsi="Calibri" w:cs="Calibri"/>
        </w:rPr>
        <w:t xml:space="preserve"> = 4.101, p =0.06). </w:t>
      </w:r>
      <w:r w:rsidRPr="00364FB2">
        <w:rPr>
          <w:rFonts w:ascii="Calibri" w:hAnsi="Calibri" w:cs="Calibri"/>
        </w:rPr>
        <w:t>SD: standard deviation</w:t>
      </w:r>
      <w:r w:rsidR="00E83A5E">
        <w:rPr>
          <w:rFonts w:ascii="Calibri" w:hAnsi="Calibri" w:cs="Calibri"/>
        </w:rPr>
        <w:t>.</w:t>
      </w:r>
    </w:p>
    <w:p w14:paraId="098E3894" w14:textId="77777777" w:rsidR="009261C0" w:rsidRDefault="009261C0" w:rsidP="009261C0">
      <w:pPr>
        <w:ind w:left="-567" w:right="-568"/>
        <w:jc w:val="both"/>
        <w:rPr>
          <w:rFonts w:ascii="Calibri" w:hAnsi="Calibri" w:cs="Calibri"/>
        </w:rPr>
      </w:pPr>
    </w:p>
    <w:p w14:paraId="301D471B" w14:textId="77777777" w:rsidR="009261C0" w:rsidRDefault="009261C0" w:rsidP="009261C0">
      <w:pPr>
        <w:jc w:val="both"/>
        <w:rPr>
          <w:b/>
          <w:bCs/>
          <w:color w:val="FF0000"/>
        </w:rPr>
      </w:pPr>
    </w:p>
    <w:p w14:paraId="6E3D9944" w14:textId="67766F3B" w:rsidR="009261C0" w:rsidRDefault="009261C0" w:rsidP="009261C0">
      <w:pPr>
        <w:spacing w:after="0" w:line="240" w:lineRule="auto"/>
        <w:jc w:val="both"/>
      </w:pPr>
    </w:p>
    <w:p w14:paraId="45961F79" w14:textId="2B423428" w:rsidR="00D73F09" w:rsidRDefault="00D73F09" w:rsidP="009261C0">
      <w:pPr>
        <w:spacing w:after="0" w:line="240" w:lineRule="auto"/>
        <w:jc w:val="both"/>
      </w:pPr>
    </w:p>
    <w:p w14:paraId="25D7BC26" w14:textId="6059BA92" w:rsidR="00D73F09" w:rsidRDefault="00D73F09" w:rsidP="009261C0">
      <w:pPr>
        <w:spacing w:after="0" w:line="240" w:lineRule="auto"/>
        <w:jc w:val="both"/>
      </w:pPr>
    </w:p>
    <w:p w14:paraId="6D5758CA" w14:textId="4AF630D9" w:rsidR="00D73F09" w:rsidRDefault="00D73F09" w:rsidP="009261C0">
      <w:pPr>
        <w:spacing w:after="0" w:line="240" w:lineRule="auto"/>
        <w:jc w:val="both"/>
      </w:pPr>
    </w:p>
    <w:p w14:paraId="61BCCB39" w14:textId="22CD341B" w:rsidR="00D73F09" w:rsidRDefault="00D73F09" w:rsidP="009261C0">
      <w:pPr>
        <w:spacing w:after="0" w:line="240" w:lineRule="auto"/>
        <w:jc w:val="both"/>
      </w:pPr>
    </w:p>
    <w:p w14:paraId="3554C6F4" w14:textId="10613BA3" w:rsidR="00D73F09" w:rsidRDefault="00D73F09" w:rsidP="009261C0">
      <w:pPr>
        <w:spacing w:after="0" w:line="240" w:lineRule="auto"/>
        <w:jc w:val="both"/>
      </w:pPr>
    </w:p>
    <w:p w14:paraId="7D398A24" w14:textId="56AA6C6C" w:rsidR="00D73F09" w:rsidRDefault="00D73F09" w:rsidP="009261C0">
      <w:pPr>
        <w:spacing w:after="0" w:line="240" w:lineRule="auto"/>
        <w:jc w:val="both"/>
      </w:pPr>
    </w:p>
    <w:p w14:paraId="630E5C39" w14:textId="38F4F39D" w:rsidR="00D323C8" w:rsidRDefault="00D323C8" w:rsidP="009261C0">
      <w:pPr>
        <w:spacing w:after="0" w:line="240" w:lineRule="auto"/>
        <w:jc w:val="both"/>
      </w:pPr>
    </w:p>
    <w:p w14:paraId="2832A002" w14:textId="77777777" w:rsidR="00D323C8" w:rsidRDefault="00D323C8" w:rsidP="009261C0">
      <w:pPr>
        <w:spacing w:after="0" w:line="240" w:lineRule="auto"/>
        <w:jc w:val="both"/>
      </w:pPr>
    </w:p>
    <w:p w14:paraId="70D06FEF" w14:textId="0763230E" w:rsidR="00D73F09" w:rsidRDefault="00D73F09" w:rsidP="009261C0">
      <w:pPr>
        <w:spacing w:after="0" w:line="240" w:lineRule="auto"/>
        <w:jc w:val="both"/>
      </w:pPr>
    </w:p>
    <w:p w14:paraId="0144940D" w14:textId="77777777" w:rsidR="00D73F09" w:rsidRDefault="00D73F09" w:rsidP="009261C0">
      <w:pPr>
        <w:spacing w:after="0" w:line="240" w:lineRule="auto"/>
        <w:jc w:val="both"/>
      </w:pPr>
    </w:p>
    <w:p w14:paraId="5B69BDD2" w14:textId="77777777" w:rsidR="00D323C8" w:rsidRPr="00653D5F" w:rsidRDefault="00D323C8" w:rsidP="009261C0">
      <w:pPr>
        <w:spacing w:after="0" w:line="240" w:lineRule="auto"/>
        <w:jc w:val="both"/>
        <w:rPr>
          <w:color w:val="FF0000"/>
        </w:rPr>
      </w:pPr>
    </w:p>
    <w:p w14:paraId="0B395F53" w14:textId="7AE71A84" w:rsidR="009261C0" w:rsidRPr="002829B0" w:rsidRDefault="009261C0" w:rsidP="00D323C8">
      <w:pPr>
        <w:pStyle w:val="Heading2"/>
        <w:rPr>
          <w:sz w:val="36"/>
          <w:szCs w:val="36"/>
        </w:rPr>
      </w:pPr>
      <w:r w:rsidRPr="002829B0">
        <w:rPr>
          <w:sz w:val="36"/>
          <w:szCs w:val="36"/>
        </w:rPr>
        <w:lastRenderedPageBreak/>
        <w:t>Supplementary Tables</w:t>
      </w:r>
    </w:p>
    <w:p w14:paraId="0EF124F5" w14:textId="77777777" w:rsidR="007E19D4" w:rsidRPr="007E19D4" w:rsidRDefault="007E19D4" w:rsidP="007E19D4"/>
    <w:p w14:paraId="330AA8E1" w14:textId="77777777" w:rsidR="009261C0" w:rsidRPr="002801CA" w:rsidRDefault="009261C0" w:rsidP="009261C0">
      <w:pPr>
        <w:rPr>
          <w:b/>
          <w:sz w:val="24"/>
          <w:szCs w:val="24"/>
        </w:rPr>
      </w:pPr>
      <w:r w:rsidRPr="00F1770F">
        <w:rPr>
          <w:b/>
          <w:sz w:val="24"/>
          <w:szCs w:val="24"/>
        </w:rPr>
        <w:t>CPH Analysis CRISPR-Cas9 mediated GCN2 inhibition</w:t>
      </w:r>
      <w:r>
        <w:fldChar w:fldCharType="begin"/>
      </w:r>
      <w:r w:rsidRPr="002801CA">
        <w:instrText xml:space="preserve"> LINK Excel.Sheet.12 "E:\\1st THESIS\\1 st PAPER\\Figura 3 Supervivencias con A92 y GCN2iB\\Documentos y datos Figura 3\\Tablas de COX GCN2  A92 Y CRISPR Experiments.xlsx" GCN2_CRISPR!F11C11:F16C15 \a \f 4 \h </w:instrText>
      </w:r>
      <w:r>
        <w:fldChar w:fldCharType="separate"/>
      </w:r>
    </w:p>
    <w:tbl>
      <w:tblPr>
        <w:tblW w:w="7420" w:type="dxa"/>
        <w:tblCellMar>
          <w:left w:w="70" w:type="dxa"/>
          <w:right w:w="70" w:type="dxa"/>
        </w:tblCellMar>
        <w:tblLook w:val="04A0" w:firstRow="1" w:lastRow="0" w:firstColumn="1" w:lastColumn="0" w:noHBand="0" w:noVBand="1"/>
      </w:tblPr>
      <w:tblGrid>
        <w:gridCol w:w="2180"/>
        <w:gridCol w:w="920"/>
        <w:gridCol w:w="1020"/>
        <w:gridCol w:w="1340"/>
        <w:gridCol w:w="1960"/>
      </w:tblGrid>
      <w:tr w:rsidR="009261C0" w:rsidRPr="00861138" w14:paraId="2995A701" w14:textId="77777777" w:rsidTr="007E19D4">
        <w:trPr>
          <w:trHeight w:val="300"/>
        </w:trPr>
        <w:tc>
          <w:tcPr>
            <w:tcW w:w="7420" w:type="dxa"/>
            <w:gridSpan w:val="5"/>
            <w:tcBorders>
              <w:top w:val="nil"/>
              <w:left w:val="nil"/>
              <w:bottom w:val="single" w:sz="4" w:space="0" w:color="auto"/>
              <w:right w:val="nil"/>
            </w:tcBorders>
            <w:shd w:val="clear" w:color="auto" w:fill="auto"/>
            <w:noWrap/>
            <w:vAlign w:val="center"/>
            <w:hideMark/>
          </w:tcPr>
          <w:p w14:paraId="3AFD7C48" w14:textId="77777777" w:rsidR="009261C0" w:rsidRPr="002C068F" w:rsidRDefault="009261C0" w:rsidP="007E19D4">
            <w:pPr>
              <w:spacing w:after="0" w:line="240" w:lineRule="auto"/>
              <w:rPr>
                <w:rFonts w:ascii="Calibri" w:eastAsia="Times New Roman" w:hAnsi="Calibri" w:cs="Calibri"/>
                <w:color w:val="000000"/>
                <w:lang w:eastAsia="es-ES_tradnl"/>
              </w:rPr>
            </w:pPr>
            <w:r>
              <w:rPr>
                <w:rFonts w:ascii="Calibri" w:eastAsia="Times New Roman" w:hAnsi="Calibri" w:cs="Calibri"/>
                <w:color w:val="000000"/>
                <w:lang w:eastAsia="es-ES_tradnl"/>
              </w:rPr>
              <w:t xml:space="preserve">Table S1. </w:t>
            </w:r>
            <w:r w:rsidRPr="002C068F">
              <w:rPr>
                <w:rFonts w:ascii="Calibri" w:eastAsia="Times New Roman" w:hAnsi="Calibri" w:cs="Calibri"/>
                <w:color w:val="000000"/>
                <w:lang w:eastAsia="es-ES_tradnl"/>
              </w:rPr>
              <w:t>CPH Analysis for neuronal survival according to group and treatment</w:t>
            </w:r>
          </w:p>
        </w:tc>
      </w:tr>
      <w:tr w:rsidR="009261C0" w:rsidRPr="002C068F" w14:paraId="4F7DA5D1" w14:textId="77777777" w:rsidTr="007E19D4">
        <w:trPr>
          <w:trHeight w:val="615"/>
        </w:trPr>
        <w:tc>
          <w:tcPr>
            <w:tcW w:w="2180" w:type="dxa"/>
            <w:tcBorders>
              <w:top w:val="nil"/>
              <w:left w:val="nil"/>
              <w:bottom w:val="single" w:sz="8" w:space="0" w:color="auto"/>
              <w:right w:val="nil"/>
            </w:tcBorders>
            <w:shd w:val="clear" w:color="auto" w:fill="auto"/>
            <w:vAlign w:val="center"/>
            <w:hideMark/>
          </w:tcPr>
          <w:p w14:paraId="6D34AAD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Variable</w:t>
            </w:r>
          </w:p>
        </w:tc>
        <w:tc>
          <w:tcPr>
            <w:tcW w:w="920" w:type="dxa"/>
            <w:tcBorders>
              <w:top w:val="nil"/>
              <w:left w:val="nil"/>
              <w:bottom w:val="single" w:sz="8" w:space="0" w:color="auto"/>
              <w:right w:val="nil"/>
            </w:tcBorders>
            <w:shd w:val="clear" w:color="auto" w:fill="auto"/>
            <w:vAlign w:val="center"/>
            <w:hideMark/>
          </w:tcPr>
          <w:p w14:paraId="188A5C3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HR</w:t>
            </w:r>
          </w:p>
        </w:tc>
        <w:tc>
          <w:tcPr>
            <w:tcW w:w="1020" w:type="dxa"/>
            <w:tcBorders>
              <w:top w:val="nil"/>
              <w:left w:val="nil"/>
              <w:bottom w:val="single" w:sz="8" w:space="0" w:color="auto"/>
              <w:right w:val="nil"/>
            </w:tcBorders>
            <w:shd w:val="clear" w:color="auto" w:fill="auto"/>
            <w:vAlign w:val="center"/>
            <w:hideMark/>
          </w:tcPr>
          <w:p w14:paraId="0F004B54"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roofErr w:type="spellStart"/>
            <w:r w:rsidRPr="002C068F">
              <w:rPr>
                <w:rFonts w:ascii="Calibri" w:eastAsia="Times New Roman" w:hAnsi="Calibri" w:cs="Calibri"/>
                <w:color w:val="000000"/>
                <w:lang w:val="es-ES_tradnl" w:eastAsia="es-ES_tradnl"/>
              </w:rPr>
              <w:t>Robust</w:t>
            </w:r>
            <w:proofErr w:type="spellEnd"/>
            <w:r w:rsidRPr="002C068F">
              <w:rPr>
                <w:rFonts w:ascii="Calibri" w:eastAsia="Times New Roman" w:hAnsi="Calibri" w:cs="Calibri"/>
                <w:color w:val="000000"/>
                <w:lang w:val="es-ES_tradnl" w:eastAsia="es-ES_tradnl"/>
              </w:rPr>
              <w:t xml:space="preserve"> </w:t>
            </w:r>
            <w:proofErr w:type="spellStart"/>
            <w:r w:rsidRPr="002C068F">
              <w:rPr>
                <w:rFonts w:ascii="Calibri" w:eastAsia="Times New Roman" w:hAnsi="Calibri" w:cs="Calibri"/>
                <w:color w:val="000000"/>
                <w:lang w:val="es-ES_tradnl" w:eastAsia="es-ES_tradnl"/>
              </w:rPr>
              <w:t>Std</w:t>
            </w:r>
            <w:proofErr w:type="spellEnd"/>
            <w:r w:rsidRPr="002C068F">
              <w:rPr>
                <w:rFonts w:ascii="Calibri" w:eastAsia="Times New Roman" w:hAnsi="Calibri" w:cs="Calibri"/>
                <w:color w:val="000000"/>
                <w:lang w:val="es-ES_tradnl" w:eastAsia="es-ES_tradnl"/>
              </w:rPr>
              <w:t xml:space="preserve">. </w:t>
            </w:r>
            <w:proofErr w:type="spellStart"/>
            <w:r w:rsidRPr="002C068F">
              <w:rPr>
                <w:rFonts w:ascii="Calibri" w:eastAsia="Times New Roman" w:hAnsi="Calibri" w:cs="Calibri"/>
                <w:color w:val="000000"/>
                <w:lang w:val="es-ES_tradnl" w:eastAsia="es-ES_tradnl"/>
              </w:rPr>
              <w:t>Err</w:t>
            </w:r>
            <w:proofErr w:type="spellEnd"/>
            <w:r w:rsidRPr="002C068F">
              <w:rPr>
                <w:rFonts w:ascii="Calibri" w:eastAsia="Times New Roman" w:hAnsi="Calibri" w:cs="Calibri"/>
                <w:color w:val="000000"/>
                <w:lang w:val="es-ES_tradnl" w:eastAsia="es-ES_tradnl"/>
              </w:rPr>
              <w:t>.</w:t>
            </w:r>
          </w:p>
        </w:tc>
        <w:tc>
          <w:tcPr>
            <w:tcW w:w="1340" w:type="dxa"/>
            <w:tcBorders>
              <w:top w:val="nil"/>
              <w:left w:val="nil"/>
              <w:bottom w:val="single" w:sz="8" w:space="0" w:color="auto"/>
              <w:right w:val="nil"/>
            </w:tcBorders>
            <w:shd w:val="clear" w:color="auto" w:fill="auto"/>
            <w:vAlign w:val="center"/>
            <w:hideMark/>
          </w:tcPr>
          <w:p w14:paraId="1956827A"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p-</w:t>
            </w:r>
            <w:proofErr w:type="spellStart"/>
            <w:r w:rsidRPr="002C068F">
              <w:rPr>
                <w:rFonts w:ascii="Calibri" w:eastAsia="Times New Roman" w:hAnsi="Calibri" w:cs="Calibri"/>
                <w:color w:val="000000"/>
                <w:lang w:val="es-ES_tradnl" w:eastAsia="es-ES_tradnl"/>
              </w:rPr>
              <w:t>Value</w:t>
            </w:r>
            <w:proofErr w:type="spellEnd"/>
          </w:p>
        </w:tc>
        <w:tc>
          <w:tcPr>
            <w:tcW w:w="1960" w:type="dxa"/>
            <w:tcBorders>
              <w:top w:val="nil"/>
              <w:left w:val="nil"/>
              <w:bottom w:val="single" w:sz="8" w:space="0" w:color="auto"/>
              <w:right w:val="nil"/>
            </w:tcBorders>
            <w:shd w:val="clear" w:color="auto" w:fill="auto"/>
            <w:vAlign w:val="center"/>
            <w:hideMark/>
          </w:tcPr>
          <w:p w14:paraId="26D8353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CI</w:t>
            </w:r>
          </w:p>
        </w:tc>
      </w:tr>
      <w:tr w:rsidR="009261C0" w:rsidRPr="002C068F" w14:paraId="7BC923C1" w14:textId="77777777" w:rsidTr="007E19D4">
        <w:trPr>
          <w:trHeight w:val="300"/>
        </w:trPr>
        <w:tc>
          <w:tcPr>
            <w:tcW w:w="2180" w:type="dxa"/>
            <w:tcBorders>
              <w:top w:val="nil"/>
              <w:left w:val="nil"/>
              <w:bottom w:val="nil"/>
              <w:right w:val="nil"/>
            </w:tcBorders>
            <w:shd w:val="clear" w:color="auto" w:fill="auto"/>
            <w:noWrap/>
            <w:vAlign w:val="center"/>
            <w:hideMark/>
          </w:tcPr>
          <w:p w14:paraId="224F16EC"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roofErr w:type="spellStart"/>
            <w:r w:rsidRPr="002C068F">
              <w:rPr>
                <w:rFonts w:ascii="Calibri" w:eastAsia="Times New Roman" w:hAnsi="Calibri" w:cs="Calibri"/>
                <w:color w:val="000000"/>
                <w:lang w:val="es-ES_tradnl" w:eastAsia="es-ES_tradnl"/>
              </w:rPr>
              <w:t>Group</w:t>
            </w:r>
            <w:proofErr w:type="spellEnd"/>
          </w:p>
        </w:tc>
        <w:tc>
          <w:tcPr>
            <w:tcW w:w="920" w:type="dxa"/>
            <w:tcBorders>
              <w:top w:val="nil"/>
              <w:left w:val="nil"/>
              <w:bottom w:val="nil"/>
              <w:right w:val="nil"/>
            </w:tcBorders>
            <w:shd w:val="clear" w:color="auto" w:fill="auto"/>
            <w:noWrap/>
            <w:vAlign w:val="center"/>
            <w:hideMark/>
          </w:tcPr>
          <w:p w14:paraId="4F2F26F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
        </w:tc>
        <w:tc>
          <w:tcPr>
            <w:tcW w:w="1020" w:type="dxa"/>
            <w:tcBorders>
              <w:top w:val="nil"/>
              <w:left w:val="nil"/>
              <w:bottom w:val="nil"/>
              <w:right w:val="nil"/>
            </w:tcBorders>
            <w:shd w:val="clear" w:color="auto" w:fill="auto"/>
            <w:noWrap/>
            <w:vAlign w:val="center"/>
            <w:hideMark/>
          </w:tcPr>
          <w:p w14:paraId="5EF6934B"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c>
          <w:tcPr>
            <w:tcW w:w="1340" w:type="dxa"/>
            <w:tcBorders>
              <w:top w:val="nil"/>
              <w:left w:val="nil"/>
              <w:bottom w:val="nil"/>
              <w:right w:val="nil"/>
            </w:tcBorders>
            <w:shd w:val="clear" w:color="auto" w:fill="auto"/>
            <w:noWrap/>
            <w:vAlign w:val="center"/>
            <w:hideMark/>
          </w:tcPr>
          <w:p w14:paraId="347D7B9D"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c>
          <w:tcPr>
            <w:tcW w:w="1960" w:type="dxa"/>
            <w:tcBorders>
              <w:top w:val="nil"/>
              <w:left w:val="nil"/>
              <w:bottom w:val="nil"/>
              <w:right w:val="nil"/>
            </w:tcBorders>
            <w:shd w:val="clear" w:color="auto" w:fill="auto"/>
            <w:noWrap/>
            <w:vAlign w:val="center"/>
            <w:hideMark/>
          </w:tcPr>
          <w:p w14:paraId="4CFC07EE"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r>
      <w:tr w:rsidR="009261C0" w:rsidRPr="002C068F" w14:paraId="27399265" w14:textId="77777777" w:rsidTr="007E19D4">
        <w:trPr>
          <w:trHeight w:val="300"/>
        </w:trPr>
        <w:tc>
          <w:tcPr>
            <w:tcW w:w="2180" w:type="dxa"/>
            <w:tcBorders>
              <w:top w:val="nil"/>
              <w:left w:val="nil"/>
              <w:right w:val="nil"/>
            </w:tcBorders>
            <w:shd w:val="clear" w:color="auto" w:fill="auto"/>
            <w:noWrap/>
            <w:vAlign w:val="center"/>
            <w:hideMark/>
          </w:tcPr>
          <w:p w14:paraId="6E6D8B5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G93A</w:t>
            </w:r>
            <w:r>
              <w:rPr>
                <w:rFonts w:ascii="Calibri" w:eastAsia="Times New Roman" w:hAnsi="Calibri" w:cs="Calibri"/>
                <w:color w:val="000000"/>
                <w:lang w:val="es-ES_tradnl" w:eastAsia="es-ES_tradnl"/>
              </w:rPr>
              <w:t>Ch</w:t>
            </w:r>
            <w:r w:rsidRPr="002C068F">
              <w:rPr>
                <w:rFonts w:ascii="Calibri" w:eastAsia="Times New Roman" w:hAnsi="Calibri" w:cs="Calibri"/>
                <w:color w:val="000000"/>
                <w:lang w:val="es-ES_tradnl" w:eastAsia="es-ES_tradnl"/>
              </w:rPr>
              <w:t>_GCN2</w:t>
            </w:r>
            <w:r>
              <w:rPr>
                <w:rFonts w:ascii="Calibri" w:eastAsia="Times New Roman" w:hAnsi="Calibri" w:cs="Calibri"/>
                <w:color w:val="000000"/>
                <w:lang w:val="es-ES_tradnl" w:eastAsia="es-ES_tradnl"/>
              </w:rPr>
              <w:t>g1</w:t>
            </w:r>
          </w:p>
        </w:tc>
        <w:tc>
          <w:tcPr>
            <w:tcW w:w="920" w:type="dxa"/>
            <w:tcBorders>
              <w:top w:val="nil"/>
              <w:left w:val="nil"/>
              <w:right w:val="nil"/>
            </w:tcBorders>
            <w:shd w:val="clear" w:color="auto" w:fill="auto"/>
            <w:noWrap/>
            <w:vAlign w:val="center"/>
            <w:hideMark/>
          </w:tcPr>
          <w:p w14:paraId="7B87558E"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0,764</w:t>
            </w:r>
          </w:p>
        </w:tc>
        <w:tc>
          <w:tcPr>
            <w:tcW w:w="1020" w:type="dxa"/>
            <w:tcBorders>
              <w:top w:val="nil"/>
              <w:left w:val="nil"/>
              <w:right w:val="nil"/>
            </w:tcBorders>
            <w:shd w:val="clear" w:color="auto" w:fill="auto"/>
            <w:noWrap/>
            <w:vAlign w:val="center"/>
            <w:hideMark/>
          </w:tcPr>
          <w:p w14:paraId="11EA1768"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0,049</w:t>
            </w:r>
          </w:p>
        </w:tc>
        <w:tc>
          <w:tcPr>
            <w:tcW w:w="1340" w:type="dxa"/>
            <w:tcBorders>
              <w:top w:val="nil"/>
              <w:left w:val="nil"/>
              <w:right w:val="nil"/>
            </w:tcBorders>
            <w:shd w:val="clear" w:color="auto" w:fill="auto"/>
            <w:noWrap/>
            <w:vAlign w:val="center"/>
            <w:hideMark/>
          </w:tcPr>
          <w:p w14:paraId="5C90BD22"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&lt; 0,001***</w:t>
            </w:r>
          </w:p>
        </w:tc>
        <w:tc>
          <w:tcPr>
            <w:tcW w:w="1960" w:type="dxa"/>
            <w:tcBorders>
              <w:top w:val="nil"/>
              <w:left w:val="nil"/>
              <w:right w:val="nil"/>
            </w:tcBorders>
            <w:shd w:val="clear" w:color="auto" w:fill="auto"/>
            <w:noWrap/>
            <w:vAlign w:val="center"/>
            <w:hideMark/>
          </w:tcPr>
          <w:p w14:paraId="37B49EB7"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0,67 - 0,87</w:t>
            </w:r>
          </w:p>
        </w:tc>
      </w:tr>
      <w:tr w:rsidR="009261C0" w:rsidRPr="002C068F" w14:paraId="6105C6CF" w14:textId="77777777" w:rsidTr="007E19D4">
        <w:trPr>
          <w:trHeight w:val="300"/>
        </w:trPr>
        <w:tc>
          <w:tcPr>
            <w:tcW w:w="2180" w:type="dxa"/>
            <w:tcBorders>
              <w:top w:val="nil"/>
              <w:left w:val="nil"/>
              <w:bottom w:val="single" w:sz="4" w:space="0" w:color="auto"/>
              <w:right w:val="nil"/>
            </w:tcBorders>
            <w:shd w:val="clear" w:color="auto" w:fill="auto"/>
            <w:noWrap/>
            <w:vAlign w:val="center"/>
            <w:hideMark/>
          </w:tcPr>
          <w:p w14:paraId="66B20435"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G93A</w:t>
            </w:r>
            <w:r>
              <w:rPr>
                <w:rFonts w:ascii="Calibri" w:eastAsia="Times New Roman" w:hAnsi="Calibri" w:cs="Calibri"/>
                <w:color w:val="000000"/>
                <w:lang w:val="es-ES_tradnl" w:eastAsia="es-ES_tradnl"/>
              </w:rPr>
              <w:t>Ch</w:t>
            </w:r>
            <w:r w:rsidRPr="002C068F">
              <w:rPr>
                <w:rFonts w:ascii="Calibri" w:eastAsia="Times New Roman" w:hAnsi="Calibri" w:cs="Calibri"/>
                <w:color w:val="000000"/>
                <w:lang w:val="es-ES_tradnl" w:eastAsia="es-ES_tradnl"/>
              </w:rPr>
              <w:t>_GCN2</w:t>
            </w:r>
            <w:r>
              <w:rPr>
                <w:rFonts w:ascii="Calibri" w:eastAsia="Times New Roman" w:hAnsi="Calibri" w:cs="Calibri"/>
                <w:color w:val="000000"/>
                <w:lang w:val="es-ES_tradnl" w:eastAsia="es-ES_tradnl"/>
              </w:rPr>
              <w:t>g2</w:t>
            </w:r>
          </w:p>
        </w:tc>
        <w:tc>
          <w:tcPr>
            <w:tcW w:w="920" w:type="dxa"/>
            <w:tcBorders>
              <w:top w:val="nil"/>
              <w:left w:val="nil"/>
              <w:bottom w:val="single" w:sz="4" w:space="0" w:color="auto"/>
              <w:right w:val="nil"/>
            </w:tcBorders>
            <w:shd w:val="clear" w:color="auto" w:fill="auto"/>
            <w:noWrap/>
            <w:vAlign w:val="center"/>
            <w:hideMark/>
          </w:tcPr>
          <w:p w14:paraId="5658451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0,779</w:t>
            </w:r>
          </w:p>
        </w:tc>
        <w:tc>
          <w:tcPr>
            <w:tcW w:w="1020" w:type="dxa"/>
            <w:tcBorders>
              <w:top w:val="nil"/>
              <w:left w:val="nil"/>
              <w:bottom w:val="single" w:sz="4" w:space="0" w:color="auto"/>
              <w:right w:val="nil"/>
            </w:tcBorders>
            <w:shd w:val="clear" w:color="auto" w:fill="auto"/>
            <w:noWrap/>
            <w:vAlign w:val="center"/>
            <w:hideMark/>
          </w:tcPr>
          <w:p w14:paraId="135F430C"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0,037</w:t>
            </w:r>
          </w:p>
        </w:tc>
        <w:tc>
          <w:tcPr>
            <w:tcW w:w="1340" w:type="dxa"/>
            <w:tcBorders>
              <w:top w:val="nil"/>
              <w:left w:val="nil"/>
              <w:bottom w:val="single" w:sz="4" w:space="0" w:color="auto"/>
              <w:right w:val="nil"/>
            </w:tcBorders>
            <w:shd w:val="clear" w:color="auto" w:fill="auto"/>
            <w:noWrap/>
            <w:vAlign w:val="center"/>
            <w:hideMark/>
          </w:tcPr>
          <w:p w14:paraId="489BE5F8"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&lt; 0,001***</w:t>
            </w:r>
          </w:p>
        </w:tc>
        <w:tc>
          <w:tcPr>
            <w:tcW w:w="1960" w:type="dxa"/>
            <w:tcBorders>
              <w:top w:val="nil"/>
              <w:left w:val="nil"/>
              <w:bottom w:val="single" w:sz="4" w:space="0" w:color="auto"/>
              <w:right w:val="nil"/>
            </w:tcBorders>
            <w:shd w:val="clear" w:color="auto" w:fill="auto"/>
            <w:noWrap/>
            <w:vAlign w:val="center"/>
            <w:hideMark/>
          </w:tcPr>
          <w:p w14:paraId="1FD2474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0,7</w:t>
            </w:r>
            <w:r>
              <w:rPr>
                <w:rFonts w:ascii="Calibri" w:eastAsia="Times New Roman" w:hAnsi="Calibri" w:cs="Calibri"/>
                <w:color w:val="000000"/>
                <w:lang w:val="es-ES_tradnl" w:eastAsia="es-ES_tradnl"/>
              </w:rPr>
              <w:t>0</w:t>
            </w:r>
            <w:r w:rsidRPr="002C068F">
              <w:rPr>
                <w:rFonts w:ascii="Calibri" w:eastAsia="Times New Roman" w:hAnsi="Calibri" w:cs="Calibri"/>
                <w:color w:val="000000"/>
                <w:lang w:val="es-ES_tradnl" w:eastAsia="es-ES_tradnl"/>
              </w:rPr>
              <w:t xml:space="preserve"> - 0,8</w:t>
            </w:r>
            <w:r>
              <w:rPr>
                <w:rFonts w:ascii="Calibri" w:eastAsia="Times New Roman" w:hAnsi="Calibri" w:cs="Calibri"/>
                <w:color w:val="000000"/>
                <w:lang w:val="es-ES_tradnl" w:eastAsia="es-ES_tradnl"/>
              </w:rPr>
              <w:t>5</w:t>
            </w:r>
          </w:p>
        </w:tc>
      </w:tr>
    </w:tbl>
    <w:p w14:paraId="35A8E6BD" w14:textId="77777777" w:rsidR="009261C0" w:rsidRDefault="009261C0" w:rsidP="009261C0">
      <w:pPr>
        <w:ind w:right="1133"/>
        <w:jc w:val="both"/>
        <w:rPr>
          <w:sz w:val="18"/>
          <w:szCs w:val="18"/>
        </w:rPr>
      </w:pPr>
      <w:r>
        <w:fldChar w:fldCharType="end"/>
      </w:r>
      <w:r w:rsidRPr="002801CA">
        <w:rPr>
          <w:sz w:val="18"/>
          <w:szCs w:val="18"/>
        </w:rPr>
        <w:t xml:space="preserve">Hazard ratio (HR) estimation for each group considering G93Ach (ctrl) as reference (HR=1). Data from three independent experiments per condition (6 total plates). Robust standard error (Robust Std. Err.) adjusted by clusters (wells) and data stratified by plate. 95% CI (Confidence Interval). </w:t>
      </w:r>
    </w:p>
    <w:p w14:paraId="2BA8BDF3" w14:textId="77777777" w:rsidR="009261C0" w:rsidRPr="0086523B" w:rsidRDefault="009261C0" w:rsidP="009261C0">
      <w:pPr>
        <w:ind w:right="1133"/>
        <w:jc w:val="both"/>
        <w:rPr>
          <w:sz w:val="18"/>
          <w:szCs w:val="18"/>
        </w:rPr>
      </w:pPr>
      <w:r>
        <w:fldChar w:fldCharType="begin"/>
      </w:r>
      <w:r w:rsidRPr="0086523B">
        <w:instrText xml:space="preserve"> LINK Excel.Sheet.12 "E:\\1st THESIS\\1 st PAPER\\Figura 3 Supervivencias con A92 y GCN2iB\\Documentos y datos Figura 3\\Tablas de COX GCN2  A92 Y CRISPR Experiments.xlsx" GCN2_CRISPR!F2C11:F7C15 \a \f 4 \h </w:instrText>
      </w:r>
      <w:r>
        <w:fldChar w:fldCharType="separate"/>
      </w:r>
    </w:p>
    <w:tbl>
      <w:tblPr>
        <w:tblW w:w="7420" w:type="dxa"/>
        <w:tblCellMar>
          <w:left w:w="70" w:type="dxa"/>
          <w:right w:w="70" w:type="dxa"/>
        </w:tblCellMar>
        <w:tblLook w:val="04A0" w:firstRow="1" w:lastRow="0" w:firstColumn="1" w:lastColumn="0" w:noHBand="0" w:noVBand="1"/>
      </w:tblPr>
      <w:tblGrid>
        <w:gridCol w:w="2180"/>
        <w:gridCol w:w="920"/>
        <w:gridCol w:w="1020"/>
        <w:gridCol w:w="1340"/>
        <w:gridCol w:w="1960"/>
      </w:tblGrid>
      <w:tr w:rsidR="009261C0" w:rsidRPr="00861138" w14:paraId="25268259" w14:textId="77777777" w:rsidTr="007E19D4">
        <w:trPr>
          <w:trHeight w:val="300"/>
        </w:trPr>
        <w:tc>
          <w:tcPr>
            <w:tcW w:w="7420" w:type="dxa"/>
            <w:gridSpan w:val="5"/>
            <w:tcBorders>
              <w:top w:val="nil"/>
              <w:left w:val="nil"/>
              <w:bottom w:val="single" w:sz="4" w:space="0" w:color="auto"/>
              <w:right w:val="nil"/>
            </w:tcBorders>
            <w:shd w:val="clear" w:color="auto" w:fill="auto"/>
            <w:noWrap/>
            <w:vAlign w:val="center"/>
            <w:hideMark/>
          </w:tcPr>
          <w:p w14:paraId="038BCC3A" w14:textId="77777777" w:rsidR="009261C0" w:rsidRPr="002C068F" w:rsidRDefault="009261C0" w:rsidP="007E19D4">
            <w:pPr>
              <w:spacing w:after="0" w:line="240" w:lineRule="auto"/>
              <w:rPr>
                <w:rFonts w:ascii="Calibri" w:eastAsia="Times New Roman" w:hAnsi="Calibri" w:cs="Calibri"/>
                <w:color w:val="000000"/>
                <w:lang w:eastAsia="es-ES_tradnl"/>
              </w:rPr>
            </w:pPr>
            <w:r>
              <w:rPr>
                <w:rFonts w:ascii="Calibri" w:eastAsia="Times New Roman" w:hAnsi="Calibri" w:cs="Calibri"/>
                <w:color w:val="000000"/>
                <w:lang w:eastAsia="es-ES_tradnl"/>
              </w:rPr>
              <w:t xml:space="preserve">Table S2. </w:t>
            </w:r>
            <w:r w:rsidRPr="002C068F">
              <w:rPr>
                <w:rFonts w:ascii="Calibri" w:eastAsia="Times New Roman" w:hAnsi="Calibri" w:cs="Calibri"/>
                <w:color w:val="000000"/>
                <w:lang w:eastAsia="es-ES_tradnl"/>
              </w:rPr>
              <w:t>CPH Analysis for neuronal survival according to group and treatment</w:t>
            </w:r>
          </w:p>
        </w:tc>
      </w:tr>
      <w:tr w:rsidR="009261C0" w:rsidRPr="002C068F" w14:paraId="77B8397E" w14:textId="77777777" w:rsidTr="007E19D4">
        <w:trPr>
          <w:trHeight w:val="615"/>
        </w:trPr>
        <w:tc>
          <w:tcPr>
            <w:tcW w:w="2180" w:type="dxa"/>
            <w:tcBorders>
              <w:top w:val="nil"/>
              <w:left w:val="nil"/>
              <w:bottom w:val="single" w:sz="8" w:space="0" w:color="auto"/>
              <w:right w:val="nil"/>
            </w:tcBorders>
            <w:shd w:val="clear" w:color="auto" w:fill="auto"/>
            <w:vAlign w:val="center"/>
            <w:hideMark/>
          </w:tcPr>
          <w:p w14:paraId="5163496D"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Variable</w:t>
            </w:r>
          </w:p>
        </w:tc>
        <w:tc>
          <w:tcPr>
            <w:tcW w:w="920" w:type="dxa"/>
            <w:tcBorders>
              <w:top w:val="nil"/>
              <w:left w:val="nil"/>
              <w:bottom w:val="single" w:sz="8" w:space="0" w:color="auto"/>
              <w:right w:val="nil"/>
            </w:tcBorders>
            <w:shd w:val="clear" w:color="auto" w:fill="auto"/>
            <w:vAlign w:val="center"/>
            <w:hideMark/>
          </w:tcPr>
          <w:p w14:paraId="6904C42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HR</w:t>
            </w:r>
          </w:p>
        </w:tc>
        <w:tc>
          <w:tcPr>
            <w:tcW w:w="1020" w:type="dxa"/>
            <w:tcBorders>
              <w:top w:val="nil"/>
              <w:left w:val="nil"/>
              <w:bottom w:val="single" w:sz="8" w:space="0" w:color="auto"/>
              <w:right w:val="nil"/>
            </w:tcBorders>
            <w:shd w:val="clear" w:color="auto" w:fill="auto"/>
            <w:vAlign w:val="center"/>
            <w:hideMark/>
          </w:tcPr>
          <w:p w14:paraId="76E6A33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roofErr w:type="spellStart"/>
            <w:r w:rsidRPr="002C068F">
              <w:rPr>
                <w:rFonts w:ascii="Calibri" w:eastAsia="Times New Roman" w:hAnsi="Calibri" w:cs="Calibri"/>
                <w:color w:val="000000"/>
                <w:lang w:val="es-ES_tradnl" w:eastAsia="es-ES_tradnl"/>
              </w:rPr>
              <w:t>Robust</w:t>
            </w:r>
            <w:proofErr w:type="spellEnd"/>
            <w:r w:rsidRPr="002C068F">
              <w:rPr>
                <w:rFonts w:ascii="Calibri" w:eastAsia="Times New Roman" w:hAnsi="Calibri" w:cs="Calibri"/>
                <w:color w:val="000000"/>
                <w:lang w:val="es-ES_tradnl" w:eastAsia="es-ES_tradnl"/>
              </w:rPr>
              <w:t xml:space="preserve"> </w:t>
            </w:r>
            <w:proofErr w:type="spellStart"/>
            <w:r w:rsidRPr="002C068F">
              <w:rPr>
                <w:rFonts w:ascii="Calibri" w:eastAsia="Times New Roman" w:hAnsi="Calibri" w:cs="Calibri"/>
                <w:color w:val="000000"/>
                <w:lang w:val="es-ES_tradnl" w:eastAsia="es-ES_tradnl"/>
              </w:rPr>
              <w:t>Std</w:t>
            </w:r>
            <w:proofErr w:type="spellEnd"/>
            <w:r w:rsidRPr="002C068F">
              <w:rPr>
                <w:rFonts w:ascii="Calibri" w:eastAsia="Times New Roman" w:hAnsi="Calibri" w:cs="Calibri"/>
                <w:color w:val="000000"/>
                <w:lang w:val="es-ES_tradnl" w:eastAsia="es-ES_tradnl"/>
              </w:rPr>
              <w:t xml:space="preserve">. </w:t>
            </w:r>
            <w:proofErr w:type="spellStart"/>
            <w:r w:rsidRPr="002C068F">
              <w:rPr>
                <w:rFonts w:ascii="Calibri" w:eastAsia="Times New Roman" w:hAnsi="Calibri" w:cs="Calibri"/>
                <w:color w:val="000000"/>
                <w:lang w:val="es-ES_tradnl" w:eastAsia="es-ES_tradnl"/>
              </w:rPr>
              <w:t>Err</w:t>
            </w:r>
            <w:proofErr w:type="spellEnd"/>
            <w:r w:rsidRPr="002C068F">
              <w:rPr>
                <w:rFonts w:ascii="Calibri" w:eastAsia="Times New Roman" w:hAnsi="Calibri" w:cs="Calibri"/>
                <w:color w:val="000000"/>
                <w:lang w:val="es-ES_tradnl" w:eastAsia="es-ES_tradnl"/>
              </w:rPr>
              <w:t>.</w:t>
            </w:r>
          </w:p>
        </w:tc>
        <w:tc>
          <w:tcPr>
            <w:tcW w:w="1340" w:type="dxa"/>
            <w:tcBorders>
              <w:top w:val="nil"/>
              <w:left w:val="nil"/>
              <w:bottom w:val="single" w:sz="8" w:space="0" w:color="auto"/>
              <w:right w:val="nil"/>
            </w:tcBorders>
            <w:shd w:val="clear" w:color="auto" w:fill="auto"/>
            <w:vAlign w:val="center"/>
            <w:hideMark/>
          </w:tcPr>
          <w:p w14:paraId="090FC5D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p-</w:t>
            </w:r>
            <w:proofErr w:type="spellStart"/>
            <w:r w:rsidRPr="002C068F">
              <w:rPr>
                <w:rFonts w:ascii="Calibri" w:eastAsia="Times New Roman" w:hAnsi="Calibri" w:cs="Calibri"/>
                <w:color w:val="000000"/>
                <w:lang w:val="es-ES_tradnl" w:eastAsia="es-ES_tradnl"/>
              </w:rPr>
              <w:t>Value</w:t>
            </w:r>
            <w:proofErr w:type="spellEnd"/>
          </w:p>
        </w:tc>
        <w:tc>
          <w:tcPr>
            <w:tcW w:w="1960" w:type="dxa"/>
            <w:tcBorders>
              <w:top w:val="nil"/>
              <w:left w:val="nil"/>
              <w:bottom w:val="single" w:sz="8" w:space="0" w:color="auto"/>
              <w:right w:val="nil"/>
            </w:tcBorders>
            <w:shd w:val="clear" w:color="auto" w:fill="auto"/>
            <w:vAlign w:val="center"/>
            <w:hideMark/>
          </w:tcPr>
          <w:p w14:paraId="3D260C72"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CI</w:t>
            </w:r>
          </w:p>
        </w:tc>
      </w:tr>
      <w:tr w:rsidR="009261C0" w:rsidRPr="002C068F" w14:paraId="167374A3" w14:textId="77777777" w:rsidTr="007E19D4">
        <w:trPr>
          <w:trHeight w:val="300"/>
        </w:trPr>
        <w:tc>
          <w:tcPr>
            <w:tcW w:w="2180" w:type="dxa"/>
            <w:tcBorders>
              <w:top w:val="nil"/>
              <w:left w:val="nil"/>
              <w:bottom w:val="nil"/>
              <w:right w:val="nil"/>
            </w:tcBorders>
            <w:shd w:val="clear" w:color="auto" w:fill="auto"/>
            <w:noWrap/>
            <w:vAlign w:val="center"/>
            <w:hideMark/>
          </w:tcPr>
          <w:p w14:paraId="71828CEF"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roofErr w:type="spellStart"/>
            <w:r w:rsidRPr="002C068F">
              <w:rPr>
                <w:rFonts w:ascii="Calibri" w:eastAsia="Times New Roman" w:hAnsi="Calibri" w:cs="Calibri"/>
                <w:color w:val="000000"/>
                <w:lang w:val="es-ES_tradnl" w:eastAsia="es-ES_tradnl"/>
              </w:rPr>
              <w:t>Group</w:t>
            </w:r>
            <w:proofErr w:type="spellEnd"/>
          </w:p>
        </w:tc>
        <w:tc>
          <w:tcPr>
            <w:tcW w:w="920" w:type="dxa"/>
            <w:tcBorders>
              <w:top w:val="nil"/>
              <w:left w:val="nil"/>
              <w:bottom w:val="nil"/>
              <w:right w:val="nil"/>
            </w:tcBorders>
            <w:shd w:val="clear" w:color="auto" w:fill="auto"/>
            <w:noWrap/>
            <w:vAlign w:val="center"/>
            <w:hideMark/>
          </w:tcPr>
          <w:p w14:paraId="386597E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
        </w:tc>
        <w:tc>
          <w:tcPr>
            <w:tcW w:w="1020" w:type="dxa"/>
            <w:tcBorders>
              <w:top w:val="nil"/>
              <w:left w:val="nil"/>
              <w:bottom w:val="nil"/>
              <w:right w:val="nil"/>
            </w:tcBorders>
            <w:shd w:val="clear" w:color="auto" w:fill="auto"/>
            <w:noWrap/>
            <w:vAlign w:val="center"/>
            <w:hideMark/>
          </w:tcPr>
          <w:p w14:paraId="2C811BC3"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c>
          <w:tcPr>
            <w:tcW w:w="1340" w:type="dxa"/>
            <w:tcBorders>
              <w:top w:val="nil"/>
              <w:left w:val="nil"/>
              <w:bottom w:val="nil"/>
              <w:right w:val="nil"/>
            </w:tcBorders>
            <w:shd w:val="clear" w:color="auto" w:fill="auto"/>
            <w:noWrap/>
            <w:vAlign w:val="center"/>
            <w:hideMark/>
          </w:tcPr>
          <w:p w14:paraId="7012CD12"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c>
          <w:tcPr>
            <w:tcW w:w="1960" w:type="dxa"/>
            <w:tcBorders>
              <w:top w:val="nil"/>
              <w:left w:val="nil"/>
              <w:bottom w:val="nil"/>
              <w:right w:val="nil"/>
            </w:tcBorders>
            <w:shd w:val="clear" w:color="auto" w:fill="auto"/>
            <w:noWrap/>
            <w:vAlign w:val="center"/>
            <w:hideMark/>
          </w:tcPr>
          <w:p w14:paraId="1C522573"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r>
      <w:tr w:rsidR="009261C0" w:rsidRPr="002C068F" w14:paraId="2F1D689B" w14:textId="77777777" w:rsidTr="007E19D4">
        <w:trPr>
          <w:trHeight w:val="300"/>
        </w:trPr>
        <w:tc>
          <w:tcPr>
            <w:tcW w:w="2180" w:type="dxa"/>
            <w:tcBorders>
              <w:top w:val="nil"/>
              <w:left w:val="nil"/>
              <w:right w:val="nil"/>
            </w:tcBorders>
            <w:shd w:val="clear" w:color="auto" w:fill="auto"/>
            <w:noWrap/>
            <w:vAlign w:val="center"/>
            <w:hideMark/>
          </w:tcPr>
          <w:p w14:paraId="664E4C1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Ch_GCN2</w:t>
            </w:r>
            <w:r>
              <w:rPr>
                <w:rFonts w:ascii="Calibri" w:eastAsia="Times New Roman" w:hAnsi="Calibri" w:cs="Calibri"/>
                <w:color w:val="000000"/>
                <w:lang w:val="es-ES_tradnl" w:eastAsia="es-ES_tradnl"/>
              </w:rPr>
              <w:t>g1</w:t>
            </w:r>
          </w:p>
        </w:tc>
        <w:tc>
          <w:tcPr>
            <w:tcW w:w="920" w:type="dxa"/>
            <w:tcBorders>
              <w:top w:val="nil"/>
              <w:left w:val="nil"/>
              <w:right w:val="nil"/>
            </w:tcBorders>
            <w:shd w:val="clear" w:color="auto" w:fill="auto"/>
            <w:noWrap/>
            <w:vAlign w:val="center"/>
            <w:hideMark/>
          </w:tcPr>
          <w:p w14:paraId="64CA9F2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0,96</w:t>
            </w:r>
            <w:r>
              <w:rPr>
                <w:rFonts w:ascii="Calibri" w:eastAsia="Times New Roman" w:hAnsi="Calibri" w:cs="Calibri"/>
                <w:color w:val="000000"/>
                <w:lang w:val="es-ES_tradnl" w:eastAsia="es-ES_tradnl"/>
              </w:rPr>
              <w:t>7</w:t>
            </w:r>
          </w:p>
        </w:tc>
        <w:tc>
          <w:tcPr>
            <w:tcW w:w="1020" w:type="dxa"/>
            <w:tcBorders>
              <w:top w:val="nil"/>
              <w:left w:val="nil"/>
              <w:right w:val="nil"/>
            </w:tcBorders>
            <w:shd w:val="clear" w:color="auto" w:fill="auto"/>
            <w:noWrap/>
            <w:vAlign w:val="center"/>
            <w:hideMark/>
          </w:tcPr>
          <w:p w14:paraId="4C491C0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0,07</w:t>
            </w:r>
            <w:r>
              <w:rPr>
                <w:rFonts w:ascii="Calibri" w:eastAsia="Times New Roman" w:hAnsi="Calibri" w:cs="Calibri"/>
                <w:color w:val="000000"/>
                <w:lang w:val="es-ES_tradnl" w:eastAsia="es-ES_tradnl"/>
              </w:rPr>
              <w:t>5</w:t>
            </w:r>
          </w:p>
        </w:tc>
        <w:tc>
          <w:tcPr>
            <w:tcW w:w="1340" w:type="dxa"/>
            <w:tcBorders>
              <w:top w:val="nil"/>
              <w:left w:val="nil"/>
              <w:right w:val="nil"/>
            </w:tcBorders>
            <w:shd w:val="clear" w:color="auto" w:fill="auto"/>
            <w:noWrap/>
            <w:vAlign w:val="center"/>
            <w:hideMark/>
          </w:tcPr>
          <w:p w14:paraId="2BC4DF22"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0,6</w:t>
            </w:r>
            <w:r>
              <w:rPr>
                <w:rFonts w:ascii="Calibri" w:eastAsia="Times New Roman" w:hAnsi="Calibri" w:cs="Calibri"/>
                <w:color w:val="000000"/>
                <w:lang w:val="es-ES_tradnl" w:eastAsia="es-ES_tradnl"/>
              </w:rPr>
              <w:t>73</w:t>
            </w:r>
          </w:p>
        </w:tc>
        <w:tc>
          <w:tcPr>
            <w:tcW w:w="1960" w:type="dxa"/>
            <w:tcBorders>
              <w:top w:val="nil"/>
              <w:left w:val="nil"/>
              <w:right w:val="nil"/>
            </w:tcBorders>
            <w:shd w:val="clear" w:color="auto" w:fill="auto"/>
            <w:noWrap/>
            <w:vAlign w:val="center"/>
            <w:hideMark/>
          </w:tcPr>
          <w:p w14:paraId="3AB0E3BC"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0,83 - 1,13</w:t>
            </w:r>
          </w:p>
        </w:tc>
      </w:tr>
      <w:tr w:rsidR="009261C0" w:rsidRPr="002C068F" w14:paraId="665A0657" w14:textId="77777777" w:rsidTr="007E19D4">
        <w:trPr>
          <w:trHeight w:val="300"/>
        </w:trPr>
        <w:tc>
          <w:tcPr>
            <w:tcW w:w="2180" w:type="dxa"/>
            <w:tcBorders>
              <w:top w:val="nil"/>
              <w:left w:val="nil"/>
              <w:bottom w:val="single" w:sz="4" w:space="0" w:color="auto"/>
              <w:right w:val="nil"/>
            </w:tcBorders>
            <w:shd w:val="clear" w:color="auto" w:fill="auto"/>
            <w:noWrap/>
            <w:vAlign w:val="center"/>
            <w:hideMark/>
          </w:tcPr>
          <w:p w14:paraId="1642DCD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Ch_GCN2</w:t>
            </w:r>
            <w:r>
              <w:rPr>
                <w:rFonts w:ascii="Calibri" w:eastAsia="Times New Roman" w:hAnsi="Calibri" w:cs="Calibri"/>
                <w:color w:val="000000"/>
                <w:lang w:val="es-ES_tradnl" w:eastAsia="es-ES_tradnl"/>
              </w:rPr>
              <w:t>g</w:t>
            </w:r>
            <w:r w:rsidRPr="002C068F">
              <w:rPr>
                <w:rFonts w:ascii="Calibri" w:eastAsia="Times New Roman" w:hAnsi="Calibri" w:cs="Calibri"/>
                <w:color w:val="000000"/>
                <w:lang w:val="es-ES_tradnl" w:eastAsia="es-ES_tradnl"/>
              </w:rPr>
              <w:t>2</w:t>
            </w:r>
          </w:p>
        </w:tc>
        <w:tc>
          <w:tcPr>
            <w:tcW w:w="920" w:type="dxa"/>
            <w:tcBorders>
              <w:top w:val="nil"/>
              <w:left w:val="nil"/>
              <w:bottom w:val="single" w:sz="4" w:space="0" w:color="auto"/>
              <w:right w:val="nil"/>
            </w:tcBorders>
            <w:shd w:val="clear" w:color="auto" w:fill="auto"/>
            <w:noWrap/>
            <w:vAlign w:val="center"/>
            <w:hideMark/>
          </w:tcPr>
          <w:p w14:paraId="1E1E4E51"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0,99</w:t>
            </w:r>
            <w:r>
              <w:rPr>
                <w:rFonts w:ascii="Calibri" w:eastAsia="Times New Roman" w:hAnsi="Calibri" w:cs="Calibri"/>
                <w:color w:val="000000"/>
                <w:lang w:val="es-ES_tradnl" w:eastAsia="es-ES_tradnl"/>
              </w:rPr>
              <w:t>1</w:t>
            </w:r>
          </w:p>
        </w:tc>
        <w:tc>
          <w:tcPr>
            <w:tcW w:w="1020" w:type="dxa"/>
            <w:tcBorders>
              <w:top w:val="nil"/>
              <w:left w:val="nil"/>
              <w:bottom w:val="single" w:sz="4" w:space="0" w:color="auto"/>
              <w:right w:val="nil"/>
            </w:tcBorders>
            <w:shd w:val="clear" w:color="auto" w:fill="auto"/>
            <w:noWrap/>
            <w:vAlign w:val="center"/>
            <w:hideMark/>
          </w:tcPr>
          <w:p w14:paraId="0BAF2DB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0,07</w:t>
            </w:r>
            <w:r>
              <w:rPr>
                <w:rFonts w:ascii="Calibri" w:eastAsia="Times New Roman" w:hAnsi="Calibri" w:cs="Calibri"/>
                <w:color w:val="000000"/>
                <w:lang w:val="es-ES_tradnl" w:eastAsia="es-ES_tradnl"/>
              </w:rPr>
              <w:t>4</w:t>
            </w:r>
          </w:p>
        </w:tc>
        <w:tc>
          <w:tcPr>
            <w:tcW w:w="1340" w:type="dxa"/>
            <w:tcBorders>
              <w:top w:val="nil"/>
              <w:left w:val="nil"/>
              <w:bottom w:val="single" w:sz="4" w:space="0" w:color="auto"/>
              <w:right w:val="nil"/>
            </w:tcBorders>
            <w:shd w:val="clear" w:color="auto" w:fill="auto"/>
            <w:noWrap/>
            <w:vAlign w:val="center"/>
            <w:hideMark/>
          </w:tcPr>
          <w:p w14:paraId="5A7A0A2A"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0,9</w:t>
            </w:r>
            <w:r>
              <w:rPr>
                <w:rFonts w:ascii="Calibri" w:eastAsia="Times New Roman" w:hAnsi="Calibri" w:cs="Calibri"/>
                <w:color w:val="000000"/>
                <w:lang w:val="es-ES_tradnl" w:eastAsia="es-ES_tradnl"/>
              </w:rPr>
              <w:t>0</w:t>
            </w:r>
            <w:r w:rsidRPr="002C068F">
              <w:rPr>
                <w:rFonts w:ascii="Calibri" w:eastAsia="Times New Roman" w:hAnsi="Calibri" w:cs="Calibri"/>
                <w:color w:val="000000"/>
                <w:lang w:val="es-ES_tradnl" w:eastAsia="es-ES_tradnl"/>
              </w:rPr>
              <w:t>1</w:t>
            </w:r>
          </w:p>
        </w:tc>
        <w:tc>
          <w:tcPr>
            <w:tcW w:w="1960" w:type="dxa"/>
            <w:tcBorders>
              <w:top w:val="nil"/>
              <w:left w:val="nil"/>
              <w:bottom w:val="single" w:sz="4" w:space="0" w:color="auto"/>
              <w:right w:val="nil"/>
            </w:tcBorders>
            <w:shd w:val="clear" w:color="auto" w:fill="auto"/>
            <w:noWrap/>
            <w:vAlign w:val="center"/>
            <w:hideMark/>
          </w:tcPr>
          <w:p w14:paraId="16E4E60C"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0,86 - 1,1</w:t>
            </w:r>
            <w:r>
              <w:rPr>
                <w:rFonts w:ascii="Calibri" w:eastAsia="Times New Roman" w:hAnsi="Calibri" w:cs="Calibri"/>
                <w:color w:val="000000"/>
                <w:lang w:val="es-ES_tradnl" w:eastAsia="es-ES_tradnl"/>
              </w:rPr>
              <w:t>5</w:t>
            </w:r>
          </w:p>
        </w:tc>
      </w:tr>
    </w:tbl>
    <w:p w14:paraId="26B22959" w14:textId="77777777" w:rsidR="009261C0" w:rsidRPr="00185376" w:rsidRDefault="009261C0" w:rsidP="009261C0">
      <w:pPr>
        <w:ind w:right="1133"/>
        <w:rPr>
          <w:sz w:val="18"/>
          <w:szCs w:val="18"/>
          <w:u w:val="single"/>
        </w:rPr>
      </w:pPr>
      <w:r>
        <w:fldChar w:fldCharType="end"/>
      </w:r>
      <w:r w:rsidRPr="002801CA">
        <w:rPr>
          <w:sz w:val="18"/>
          <w:szCs w:val="18"/>
        </w:rPr>
        <w:t>Hazard ratio (HR) estimation for each group considering Ch (ctrl) as reference (HR=1). Data from three independent experiments per condition (6 total plates). Robust standard error (Robust Std. Err.) adjusted by clusters (wells) and data stratified by plate. 95% CI (Confidence Interval).</w:t>
      </w:r>
    </w:p>
    <w:p w14:paraId="1BE90AD5" w14:textId="77777777" w:rsidR="009261C0" w:rsidRDefault="009261C0" w:rsidP="009261C0">
      <w:pPr>
        <w:rPr>
          <w:b/>
          <w:sz w:val="24"/>
          <w:szCs w:val="24"/>
        </w:rPr>
      </w:pPr>
    </w:p>
    <w:p w14:paraId="56515C81" w14:textId="77777777" w:rsidR="009261C0" w:rsidRPr="002801CA" w:rsidRDefault="009261C0" w:rsidP="009261C0">
      <w:pPr>
        <w:rPr>
          <w:b/>
          <w:sz w:val="24"/>
          <w:szCs w:val="24"/>
        </w:rPr>
      </w:pPr>
      <w:r w:rsidRPr="002801CA">
        <w:rPr>
          <w:b/>
          <w:sz w:val="24"/>
          <w:szCs w:val="24"/>
        </w:rPr>
        <w:t>CPH Analysis A92 mediated GCN2 inhibition</w:t>
      </w:r>
      <w:r>
        <w:fldChar w:fldCharType="begin"/>
      </w:r>
      <w:r w:rsidRPr="002C068F">
        <w:instrText xml:space="preserve"> LINK Excel.Sheet.12 "E:\\1st THESIS\\1 st PAPER\\Figura 3 Supervivencias con A92 y GCN2iB\\Documentos y datos Figura 3\\Tablas de COX GCN2  A92 Y CRISPR Experiments.xlsx" A92!F8C11:F12C15 \a \f 4 \h </w:instrText>
      </w:r>
      <w:r>
        <w:instrText xml:space="preserve"> \* MERGEFORMAT </w:instrText>
      </w:r>
      <w:r>
        <w:fldChar w:fldCharType="separate"/>
      </w:r>
    </w:p>
    <w:tbl>
      <w:tblPr>
        <w:tblW w:w="7220" w:type="dxa"/>
        <w:tblCellMar>
          <w:left w:w="70" w:type="dxa"/>
          <w:right w:w="70" w:type="dxa"/>
        </w:tblCellMar>
        <w:tblLook w:val="04A0" w:firstRow="1" w:lastRow="0" w:firstColumn="1" w:lastColumn="0" w:noHBand="0" w:noVBand="1"/>
      </w:tblPr>
      <w:tblGrid>
        <w:gridCol w:w="2180"/>
        <w:gridCol w:w="920"/>
        <w:gridCol w:w="1020"/>
        <w:gridCol w:w="1340"/>
        <w:gridCol w:w="1760"/>
      </w:tblGrid>
      <w:tr w:rsidR="009261C0" w:rsidRPr="00861138" w14:paraId="3665C97B" w14:textId="77777777" w:rsidTr="007E19D4">
        <w:trPr>
          <w:trHeight w:val="300"/>
        </w:trPr>
        <w:tc>
          <w:tcPr>
            <w:tcW w:w="7220" w:type="dxa"/>
            <w:gridSpan w:val="5"/>
            <w:tcBorders>
              <w:top w:val="nil"/>
              <w:left w:val="nil"/>
              <w:bottom w:val="single" w:sz="4" w:space="0" w:color="auto"/>
              <w:right w:val="nil"/>
            </w:tcBorders>
            <w:shd w:val="clear" w:color="auto" w:fill="auto"/>
            <w:noWrap/>
            <w:vAlign w:val="center"/>
            <w:hideMark/>
          </w:tcPr>
          <w:p w14:paraId="0A569383" w14:textId="77777777" w:rsidR="009261C0" w:rsidRPr="002C068F" w:rsidRDefault="009261C0" w:rsidP="007E19D4">
            <w:pPr>
              <w:spacing w:after="0" w:line="240" w:lineRule="auto"/>
              <w:rPr>
                <w:rFonts w:ascii="Calibri" w:eastAsia="Times New Roman" w:hAnsi="Calibri" w:cs="Calibri"/>
                <w:color w:val="000000"/>
                <w:lang w:eastAsia="es-ES_tradnl"/>
              </w:rPr>
            </w:pPr>
            <w:r>
              <w:rPr>
                <w:rFonts w:ascii="Calibri" w:eastAsia="Times New Roman" w:hAnsi="Calibri" w:cs="Calibri"/>
                <w:color w:val="000000"/>
                <w:lang w:eastAsia="es-ES_tradnl"/>
              </w:rPr>
              <w:t xml:space="preserve">Table S3. </w:t>
            </w:r>
            <w:r w:rsidRPr="002C068F">
              <w:rPr>
                <w:rFonts w:ascii="Calibri" w:eastAsia="Times New Roman" w:hAnsi="Calibri" w:cs="Calibri"/>
                <w:color w:val="000000"/>
                <w:lang w:eastAsia="es-ES_tradnl"/>
              </w:rPr>
              <w:t>CPH Analysis for neuronal survival according to group and treatment</w:t>
            </w:r>
          </w:p>
        </w:tc>
      </w:tr>
      <w:tr w:rsidR="009261C0" w:rsidRPr="002C068F" w14:paraId="74ED514B" w14:textId="77777777" w:rsidTr="007E19D4">
        <w:trPr>
          <w:trHeight w:val="615"/>
        </w:trPr>
        <w:tc>
          <w:tcPr>
            <w:tcW w:w="2180" w:type="dxa"/>
            <w:tcBorders>
              <w:top w:val="nil"/>
              <w:left w:val="nil"/>
              <w:bottom w:val="single" w:sz="8" w:space="0" w:color="auto"/>
              <w:right w:val="nil"/>
            </w:tcBorders>
            <w:shd w:val="clear" w:color="auto" w:fill="auto"/>
            <w:vAlign w:val="center"/>
            <w:hideMark/>
          </w:tcPr>
          <w:p w14:paraId="79EF32B2"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Variable</w:t>
            </w:r>
          </w:p>
        </w:tc>
        <w:tc>
          <w:tcPr>
            <w:tcW w:w="920" w:type="dxa"/>
            <w:tcBorders>
              <w:top w:val="nil"/>
              <w:left w:val="nil"/>
              <w:bottom w:val="single" w:sz="8" w:space="0" w:color="auto"/>
              <w:right w:val="nil"/>
            </w:tcBorders>
            <w:shd w:val="clear" w:color="auto" w:fill="auto"/>
            <w:vAlign w:val="center"/>
            <w:hideMark/>
          </w:tcPr>
          <w:p w14:paraId="6878CDA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HR</w:t>
            </w:r>
          </w:p>
        </w:tc>
        <w:tc>
          <w:tcPr>
            <w:tcW w:w="1020" w:type="dxa"/>
            <w:tcBorders>
              <w:top w:val="nil"/>
              <w:left w:val="nil"/>
              <w:bottom w:val="single" w:sz="8" w:space="0" w:color="auto"/>
              <w:right w:val="nil"/>
            </w:tcBorders>
            <w:shd w:val="clear" w:color="auto" w:fill="auto"/>
            <w:vAlign w:val="center"/>
            <w:hideMark/>
          </w:tcPr>
          <w:p w14:paraId="7D764439"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roofErr w:type="spellStart"/>
            <w:r w:rsidRPr="002C068F">
              <w:rPr>
                <w:rFonts w:ascii="Calibri" w:eastAsia="Times New Roman" w:hAnsi="Calibri" w:cs="Calibri"/>
                <w:color w:val="000000"/>
                <w:lang w:val="es-ES_tradnl" w:eastAsia="es-ES_tradnl"/>
              </w:rPr>
              <w:t>Robust</w:t>
            </w:r>
            <w:proofErr w:type="spellEnd"/>
            <w:r w:rsidRPr="002C068F">
              <w:rPr>
                <w:rFonts w:ascii="Calibri" w:eastAsia="Times New Roman" w:hAnsi="Calibri" w:cs="Calibri"/>
                <w:color w:val="000000"/>
                <w:lang w:val="es-ES_tradnl" w:eastAsia="es-ES_tradnl"/>
              </w:rPr>
              <w:t xml:space="preserve"> </w:t>
            </w:r>
            <w:proofErr w:type="spellStart"/>
            <w:r w:rsidRPr="002C068F">
              <w:rPr>
                <w:rFonts w:ascii="Calibri" w:eastAsia="Times New Roman" w:hAnsi="Calibri" w:cs="Calibri"/>
                <w:color w:val="000000"/>
                <w:lang w:val="es-ES_tradnl" w:eastAsia="es-ES_tradnl"/>
              </w:rPr>
              <w:t>Std</w:t>
            </w:r>
            <w:proofErr w:type="spellEnd"/>
            <w:r w:rsidRPr="002C068F">
              <w:rPr>
                <w:rFonts w:ascii="Calibri" w:eastAsia="Times New Roman" w:hAnsi="Calibri" w:cs="Calibri"/>
                <w:color w:val="000000"/>
                <w:lang w:val="es-ES_tradnl" w:eastAsia="es-ES_tradnl"/>
              </w:rPr>
              <w:t xml:space="preserve">. </w:t>
            </w:r>
            <w:proofErr w:type="spellStart"/>
            <w:r w:rsidRPr="002C068F">
              <w:rPr>
                <w:rFonts w:ascii="Calibri" w:eastAsia="Times New Roman" w:hAnsi="Calibri" w:cs="Calibri"/>
                <w:color w:val="000000"/>
                <w:lang w:val="es-ES_tradnl" w:eastAsia="es-ES_tradnl"/>
              </w:rPr>
              <w:t>Err</w:t>
            </w:r>
            <w:proofErr w:type="spellEnd"/>
            <w:r w:rsidRPr="002C068F">
              <w:rPr>
                <w:rFonts w:ascii="Calibri" w:eastAsia="Times New Roman" w:hAnsi="Calibri" w:cs="Calibri"/>
                <w:color w:val="000000"/>
                <w:lang w:val="es-ES_tradnl" w:eastAsia="es-ES_tradnl"/>
              </w:rPr>
              <w:t>.</w:t>
            </w:r>
          </w:p>
        </w:tc>
        <w:tc>
          <w:tcPr>
            <w:tcW w:w="1340" w:type="dxa"/>
            <w:tcBorders>
              <w:top w:val="nil"/>
              <w:left w:val="nil"/>
              <w:bottom w:val="single" w:sz="8" w:space="0" w:color="auto"/>
              <w:right w:val="nil"/>
            </w:tcBorders>
            <w:shd w:val="clear" w:color="auto" w:fill="auto"/>
            <w:vAlign w:val="center"/>
            <w:hideMark/>
          </w:tcPr>
          <w:p w14:paraId="3D2446A1"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p-</w:t>
            </w:r>
            <w:proofErr w:type="spellStart"/>
            <w:r w:rsidRPr="002C068F">
              <w:rPr>
                <w:rFonts w:ascii="Calibri" w:eastAsia="Times New Roman" w:hAnsi="Calibri" w:cs="Calibri"/>
                <w:color w:val="000000"/>
                <w:lang w:val="es-ES_tradnl" w:eastAsia="es-ES_tradnl"/>
              </w:rPr>
              <w:t>Value</w:t>
            </w:r>
            <w:proofErr w:type="spellEnd"/>
          </w:p>
        </w:tc>
        <w:tc>
          <w:tcPr>
            <w:tcW w:w="1760" w:type="dxa"/>
            <w:tcBorders>
              <w:top w:val="nil"/>
              <w:left w:val="nil"/>
              <w:bottom w:val="single" w:sz="8" w:space="0" w:color="auto"/>
              <w:right w:val="nil"/>
            </w:tcBorders>
            <w:shd w:val="clear" w:color="auto" w:fill="auto"/>
            <w:vAlign w:val="center"/>
            <w:hideMark/>
          </w:tcPr>
          <w:p w14:paraId="33B6552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CI</w:t>
            </w:r>
          </w:p>
        </w:tc>
      </w:tr>
      <w:tr w:rsidR="009261C0" w:rsidRPr="002C068F" w14:paraId="770C937F" w14:textId="77777777" w:rsidTr="007E19D4">
        <w:trPr>
          <w:trHeight w:val="300"/>
        </w:trPr>
        <w:tc>
          <w:tcPr>
            <w:tcW w:w="2180" w:type="dxa"/>
            <w:tcBorders>
              <w:top w:val="nil"/>
              <w:left w:val="nil"/>
              <w:bottom w:val="nil"/>
              <w:right w:val="nil"/>
            </w:tcBorders>
            <w:shd w:val="clear" w:color="auto" w:fill="auto"/>
            <w:noWrap/>
            <w:vAlign w:val="center"/>
            <w:hideMark/>
          </w:tcPr>
          <w:p w14:paraId="4F5496D1"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roofErr w:type="spellStart"/>
            <w:r w:rsidRPr="002C068F">
              <w:rPr>
                <w:rFonts w:ascii="Calibri" w:eastAsia="Times New Roman" w:hAnsi="Calibri" w:cs="Calibri"/>
                <w:color w:val="000000"/>
                <w:lang w:val="es-ES_tradnl" w:eastAsia="es-ES_tradnl"/>
              </w:rPr>
              <w:t>Group</w:t>
            </w:r>
            <w:proofErr w:type="spellEnd"/>
          </w:p>
        </w:tc>
        <w:tc>
          <w:tcPr>
            <w:tcW w:w="920" w:type="dxa"/>
            <w:tcBorders>
              <w:top w:val="nil"/>
              <w:left w:val="nil"/>
              <w:bottom w:val="nil"/>
              <w:right w:val="nil"/>
            </w:tcBorders>
            <w:shd w:val="clear" w:color="auto" w:fill="auto"/>
            <w:noWrap/>
            <w:vAlign w:val="center"/>
            <w:hideMark/>
          </w:tcPr>
          <w:p w14:paraId="7B2AB167"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
        </w:tc>
        <w:tc>
          <w:tcPr>
            <w:tcW w:w="1020" w:type="dxa"/>
            <w:tcBorders>
              <w:top w:val="nil"/>
              <w:left w:val="nil"/>
              <w:bottom w:val="nil"/>
              <w:right w:val="nil"/>
            </w:tcBorders>
            <w:shd w:val="clear" w:color="auto" w:fill="auto"/>
            <w:noWrap/>
            <w:vAlign w:val="center"/>
            <w:hideMark/>
          </w:tcPr>
          <w:p w14:paraId="2FE4C8AF"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c>
          <w:tcPr>
            <w:tcW w:w="1340" w:type="dxa"/>
            <w:tcBorders>
              <w:top w:val="nil"/>
              <w:left w:val="nil"/>
              <w:bottom w:val="nil"/>
              <w:right w:val="nil"/>
            </w:tcBorders>
            <w:shd w:val="clear" w:color="auto" w:fill="auto"/>
            <w:noWrap/>
            <w:vAlign w:val="center"/>
            <w:hideMark/>
          </w:tcPr>
          <w:p w14:paraId="76F3BC9C"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c>
          <w:tcPr>
            <w:tcW w:w="1760" w:type="dxa"/>
            <w:tcBorders>
              <w:top w:val="nil"/>
              <w:left w:val="nil"/>
              <w:bottom w:val="nil"/>
              <w:right w:val="nil"/>
            </w:tcBorders>
            <w:shd w:val="clear" w:color="auto" w:fill="auto"/>
            <w:noWrap/>
            <w:vAlign w:val="center"/>
            <w:hideMark/>
          </w:tcPr>
          <w:p w14:paraId="7F97A11B"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r>
      <w:tr w:rsidR="009261C0" w:rsidRPr="002C068F" w14:paraId="2C4E0971" w14:textId="77777777" w:rsidTr="007E19D4">
        <w:trPr>
          <w:trHeight w:val="300"/>
        </w:trPr>
        <w:tc>
          <w:tcPr>
            <w:tcW w:w="2180" w:type="dxa"/>
            <w:tcBorders>
              <w:top w:val="nil"/>
              <w:left w:val="nil"/>
              <w:bottom w:val="nil"/>
              <w:right w:val="nil"/>
            </w:tcBorders>
            <w:shd w:val="clear" w:color="auto" w:fill="auto"/>
            <w:noWrap/>
            <w:vAlign w:val="center"/>
            <w:hideMark/>
          </w:tcPr>
          <w:p w14:paraId="388377B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G93ACh+A92 (0,5µm)</w:t>
            </w:r>
          </w:p>
        </w:tc>
        <w:tc>
          <w:tcPr>
            <w:tcW w:w="920" w:type="dxa"/>
            <w:tcBorders>
              <w:top w:val="nil"/>
              <w:left w:val="nil"/>
              <w:bottom w:val="nil"/>
              <w:right w:val="nil"/>
            </w:tcBorders>
            <w:shd w:val="clear" w:color="auto" w:fill="auto"/>
            <w:noWrap/>
            <w:vAlign w:val="center"/>
            <w:hideMark/>
          </w:tcPr>
          <w:p w14:paraId="26951FDF"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0,71</w:t>
            </w:r>
          </w:p>
        </w:tc>
        <w:tc>
          <w:tcPr>
            <w:tcW w:w="1020" w:type="dxa"/>
            <w:tcBorders>
              <w:top w:val="nil"/>
              <w:left w:val="nil"/>
              <w:bottom w:val="nil"/>
              <w:right w:val="nil"/>
            </w:tcBorders>
            <w:shd w:val="clear" w:color="auto" w:fill="auto"/>
            <w:noWrap/>
            <w:vAlign w:val="center"/>
            <w:hideMark/>
          </w:tcPr>
          <w:p w14:paraId="41F466CF"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0,0225</w:t>
            </w:r>
          </w:p>
        </w:tc>
        <w:tc>
          <w:tcPr>
            <w:tcW w:w="1340" w:type="dxa"/>
            <w:tcBorders>
              <w:top w:val="nil"/>
              <w:left w:val="nil"/>
              <w:right w:val="nil"/>
            </w:tcBorders>
            <w:shd w:val="clear" w:color="auto" w:fill="auto"/>
            <w:noWrap/>
            <w:vAlign w:val="center"/>
            <w:hideMark/>
          </w:tcPr>
          <w:p w14:paraId="5818E0E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&lt; 0,001***</w:t>
            </w:r>
          </w:p>
        </w:tc>
        <w:tc>
          <w:tcPr>
            <w:tcW w:w="1760" w:type="dxa"/>
            <w:tcBorders>
              <w:top w:val="nil"/>
              <w:left w:val="nil"/>
              <w:bottom w:val="nil"/>
              <w:right w:val="nil"/>
            </w:tcBorders>
            <w:shd w:val="clear" w:color="auto" w:fill="auto"/>
            <w:noWrap/>
            <w:vAlign w:val="center"/>
            <w:hideMark/>
          </w:tcPr>
          <w:p w14:paraId="4D78BF41"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0,67 - 0,76</w:t>
            </w:r>
          </w:p>
        </w:tc>
      </w:tr>
      <w:tr w:rsidR="009261C0" w:rsidRPr="002C068F" w14:paraId="1168DC78" w14:textId="77777777" w:rsidTr="007E19D4">
        <w:trPr>
          <w:trHeight w:val="300"/>
        </w:trPr>
        <w:tc>
          <w:tcPr>
            <w:tcW w:w="2180" w:type="dxa"/>
            <w:tcBorders>
              <w:top w:val="nil"/>
              <w:left w:val="nil"/>
              <w:bottom w:val="single" w:sz="4" w:space="0" w:color="auto"/>
              <w:right w:val="nil"/>
            </w:tcBorders>
            <w:shd w:val="clear" w:color="auto" w:fill="auto"/>
            <w:noWrap/>
            <w:vAlign w:val="center"/>
            <w:hideMark/>
          </w:tcPr>
          <w:p w14:paraId="48CCEBF2"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G93ACh+A92 (1µm)</w:t>
            </w:r>
          </w:p>
        </w:tc>
        <w:tc>
          <w:tcPr>
            <w:tcW w:w="920" w:type="dxa"/>
            <w:tcBorders>
              <w:top w:val="nil"/>
              <w:left w:val="nil"/>
              <w:bottom w:val="single" w:sz="4" w:space="0" w:color="auto"/>
              <w:right w:val="nil"/>
            </w:tcBorders>
            <w:shd w:val="clear" w:color="auto" w:fill="auto"/>
            <w:noWrap/>
            <w:vAlign w:val="center"/>
            <w:hideMark/>
          </w:tcPr>
          <w:p w14:paraId="78849015"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0,82</w:t>
            </w:r>
          </w:p>
        </w:tc>
        <w:tc>
          <w:tcPr>
            <w:tcW w:w="1020" w:type="dxa"/>
            <w:tcBorders>
              <w:top w:val="nil"/>
              <w:left w:val="nil"/>
              <w:bottom w:val="single" w:sz="4" w:space="0" w:color="auto"/>
              <w:right w:val="nil"/>
            </w:tcBorders>
            <w:shd w:val="clear" w:color="auto" w:fill="auto"/>
            <w:noWrap/>
            <w:vAlign w:val="center"/>
            <w:hideMark/>
          </w:tcPr>
          <w:p w14:paraId="1098686C"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0,0257</w:t>
            </w:r>
          </w:p>
        </w:tc>
        <w:tc>
          <w:tcPr>
            <w:tcW w:w="1340" w:type="dxa"/>
            <w:tcBorders>
              <w:top w:val="nil"/>
              <w:left w:val="nil"/>
              <w:bottom w:val="single" w:sz="4" w:space="0" w:color="auto"/>
              <w:right w:val="nil"/>
            </w:tcBorders>
            <w:shd w:val="clear" w:color="auto" w:fill="auto"/>
            <w:noWrap/>
            <w:vAlign w:val="center"/>
            <w:hideMark/>
          </w:tcPr>
          <w:p w14:paraId="41EAB53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&lt; 0,001***</w:t>
            </w:r>
          </w:p>
        </w:tc>
        <w:tc>
          <w:tcPr>
            <w:tcW w:w="1760" w:type="dxa"/>
            <w:tcBorders>
              <w:top w:val="nil"/>
              <w:left w:val="nil"/>
              <w:bottom w:val="single" w:sz="4" w:space="0" w:color="auto"/>
              <w:right w:val="nil"/>
            </w:tcBorders>
            <w:shd w:val="clear" w:color="auto" w:fill="auto"/>
            <w:noWrap/>
            <w:vAlign w:val="center"/>
            <w:hideMark/>
          </w:tcPr>
          <w:p w14:paraId="643647AE"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0,77 - 0,87</w:t>
            </w:r>
          </w:p>
        </w:tc>
      </w:tr>
    </w:tbl>
    <w:p w14:paraId="7EDE9D8A" w14:textId="77777777" w:rsidR="009261C0" w:rsidRPr="00AC5418" w:rsidRDefault="009261C0" w:rsidP="009261C0">
      <w:pPr>
        <w:ind w:right="1416"/>
        <w:rPr>
          <w:sz w:val="18"/>
          <w:szCs w:val="18"/>
        </w:rPr>
      </w:pPr>
      <w:r>
        <w:rPr>
          <w:u w:val="single"/>
        </w:rPr>
        <w:fldChar w:fldCharType="end"/>
      </w:r>
      <w:r w:rsidRPr="002801CA">
        <w:rPr>
          <w:sz w:val="18"/>
          <w:szCs w:val="18"/>
        </w:rPr>
        <w:t xml:space="preserve">Hazard ratio (HR) estimation for each group considering G93ACh+veh group as reference (HR=1). Data from five independent experiments per condition (10 total plates). Robust standard error (Robust Std. Err.) adjusted by clusters (wells) and data stratified by plate. 95% CI (Confidence Interval). </w:t>
      </w:r>
      <w:r>
        <w:fldChar w:fldCharType="begin"/>
      </w:r>
      <w:r>
        <w:instrText xml:space="preserve"> LINK Excel.Sheet.12 "E:\\1st THESIS\\1 st PAPER\\Figura 3 Supervivencias con A92 y GCN2iB\\Documentos y datos Figura 3\\Tablas de COX GCN2  A92 Y CRISPR Experiments.xlsx" A92!F15C11:F19C15 \a \f 4 \h </w:instrText>
      </w:r>
      <w:r>
        <w:fldChar w:fldCharType="separate"/>
      </w:r>
    </w:p>
    <w:tbl>
      <w:tblPr>
        <w:tblW w:w="7220" w:type="dxa"/>
        <w:tblCellMar>
          <w:left w:w="70" w:type="dxa"/>
          <w:right w:w="70" w:type="dxa"/>
        </w:tblCellMar>
        <w:tblLook w:val="04A0" w:firstRow="1" w:lastRow="0" w:firstColumn="1" w:lastColumn="0" w:noHBand="0" w:noVBand="1"/>
      </w:tblPr>
      <w:tblGrid>
        <w:gridCol w:w="2180"/>
        <w:gridCol w:w="920"/>
        <w:gridCol w:w="1020"/>
        <w:gridCol w:w="1340"/>
        <w:gridCol w:w="1760"/>
      </w:tblGrid>
      <w:tr w:rsidR="009261C0" w:rsidRPr="00861138" w14:paraId="0E9A3E7A" w14:textId="77777777" w:rsidTr="007E19D4">
        <w:trPr>
          <w:trHeight w:val="300"/>
        </w:trPr>
        <w:tc>
          <w:tcPr>
            <w:tcW w:w="7220" w:type="dxa"/>
            <w:gridSpan w:val="5"/>
            <w:tcBorders>
              <w:top w:val="nil"/>
              <w:left w:val="nil"/>
              <w:bottom w:val="single" w:sz="4" w:space="0" w:color="auto"/>
              <w:right w:val="nil"/>
            </w:tcBorders>
            <w:shd w:val="clear" w:color="auto" w:fill="auto"/>
            <w:noWrap/>
            <w:vAlign w:val="center"/>
            <w:hideMark/>
          </w:tcPr>
          <w:p w14:paraId="3D4EAEF2" w14:textId="77777777" w:rsidR="009261C0" w:rsidRPr="002C068F" w:rsidRDefault="009261C0" w:rsidP="007E19D4">
            <w:pPr>
              <w:spacing w:after="0" w:line="240" w:lineRule="auto"/>
              <w:rPr>
                <w:rFonts w:ascii="Calibri" w:eastAsia="Times New Roman" w:hAnsi="Calibri" w:cs="Calibri"/>
                <w:color w:val="000000"/>
                <w:lang w:eastAsia="es-ES_tradnl"/>
              </w:rPr>
            </w:pPr>
            <w:r>
              <w:rPr>
                <w:rFonts w:ascii="Calibri" w:eastAsia="Times New Roman" w:hAnsi="Calibri" w:cs="Calibri"/>
                <w:color w:val="000000"/>
                <w:lang w:eastAsia="es-ES_tradnl"/>
              </w:rPr>
              <w:t xml:space="preserve">Table S4. </w:t>
            </w:r>
            <w:r w:rsidRPr="002C068F">
              <w:rPr>
                <w:rFonts w:ascii="Calibri" w:eastAsia="Times New Roman" w:hAnsi="Calibri" w:cs="Calibri"/>
                <w:color w:val="000000"/>
                <w:lang w:eastAsia="es-ES_tradnl"/>
              </w:rPr>
              <w:t>CPH Analysis for neuronal survival according to group and treatment</w:t>
            </w:r>
          </w:p>
        </w:tc>
      </w:tr>
      <w:tr w:rsidR="009261C0" w:rsidRPr="002C068F" w14:paraId="4131DA3A" w14:textId="77777777" w:rsidTr="007E19D4">
        <w:trPr>
          <w:trHeight w:val="615"/>
        </w:trPr>
        <w:tc>
          <w:tcPr>
            <w:tcW w:w="2180" w:type="dxa"/>
            <w:tcBorders>
              <w:top w:val="nil"/>
              <w:left w:val="nil"/>
              <w:bottom w:val="single" w:sz="8" w:space="0" w:color="auto"/>
              <w:right w:val="nil"/>
            </w:tcBorders>
            <w:shd w:val="clear" w:color="auto" w:fill="auto"/>
            <w:vAlign w:val="center"/>
            <w:hideMark/>
          </w:tcPr>
          <w:p w14:paraId="4E5B898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Variable</w:t>
            </w:r>
          </w:p>
        </w:tc>
        <w:tc>
          <w:tcPr>
            <w:tcW w:w="920" w:type="dxa"/>
            <w:tcBorders>
              <w:top w:val="nil"/>
              <w:left w:val="nil"/>
              <w:bottom w:val="single" w:sz="8" w:space="0" w:color="auto"/>
              <w:right w:val="nil"/>
            </w:tcBorders>
            <w:shd w:val="clear" w:color="auto" w:fill="auto"/>
            <w:vAlign w:val="center"/>
            <w:hideMark/>
          </w:tcPr>
          <w:p w14:paraId="28B7537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HR</w:t>
            </w:r>
          </w:p>
        </w:tc>
        <w:tc>
          <w:tcPr>
            <w:tcW w:w="1020" w:type="dxa"/>
            <w:tcBorders>
              <w:top w:val="nil"/>
              <w:left w:val="nil"/>
              <w:bottom w:val="single" w:sz="8" w:space="0" w:color="auto"/>
              <w:right w:val="nil"/>
            </w:tcBorders>
            <w:shd w:val="clear" w:color="auto" w:fill="auto"/>
            <w:vAlign w:val="center"/>
            <w:hideMark/>
          </w:tcPr>
          <w:p w14:paraId="1C09ACC9"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roofErr w:type="spellStart"/>
            <w:r w:rsidRPr="002C068F">
              <w:rPr>
                <w:rFonts w:ascii="Calibri" w:eastAsia="Times New Roman" w:hAnsi="Calibri" w:cs="Calibri"/>
                <w:color w:val="000000"/>
                <w:lang w:val="es-ES_tradnl" w:eastAsia="es-ES_tradnl"/>
              </w:rPr>
              <w:t>Robust</w:t>
            </w:r>
            <w:proofErr w:type="spellEnd"/>
            <w:r w:rsidRPr="002C068F">
              <w:rPr>
                <w:rFonts w:ascii="Calibri" w:eastAsia="Times New Roman" w:hAnsi="Calibri" w:cs="Calibri"/>
                <w:color w:val="000000"/>
                <w:lang w:val="es-ES_tradnl" w:eastAsia="es-ES_tradnl"/>
              </w:rPr>
              <w:t xml:space="preserve"> </w:t>
            </w:r>
            <w:proofErr w:type="spellStart"/>
            <w:r w:rsidRPr="002C068F">
              <w:rPr>
                <w:rFonts w:ascii="Calibri" w:eastAsia="Times New Roman" w:hAnsi="Calibri" w:cs="Calibri"/>
                <w:color w:val="000000"/>
                <w:lang w:val="es-ES_tradnl" w:eastAsia="es-ES_tradnl"/>
              </w:rPr>
              <w:t>Std</w:t>
            </w:r>
            <w:proofErr w:type="spellEnd"/>
            <w:r w:rsidRPr="002C068F">
              <w:rPr>
                <w:rFonts w:ascii="Calibri" w:eastAsia="Times New Roman" w:hAnsi="Calibri" w:cs="Calibri"/>
                <w:color w:val="000000"/>
                <w:lang w:val="es-ES_tradnl" w:eastAsia="es-ES_tradnl"/>
              </w:rPr>
              <w:t xml:space="preserve">. </w:t>
            </w:r>
            <w:proofErr w:type="spellStart"/>
            <w:r w:rsidRPr="002C068F">
              <w:rPr>
                <w:rFonts w:ascii="Calibri" w:eastAsia="Times New Roman" w:hAnsi="Calibri" w:cs="Calibri"/>
                <w:color w:val="000000"/>
                <w:lang w:val="es-ES_tradnl" w:eastAsia="es-ES_tradnl"/>
              </w:rPr>
              <w:t>Err</w:t>
            </w:r>
            <w:proofErr w:type="spellEnd"/>
            <w:r w:rsidRPr="002C068F">
              <w:rPr>
                <w:rFonts w:ascii="Calibri" w:eastAsia="Times New Roman" w:hAnsi="Calibri" w:cs="Calibri"/>
                <w:color w:val="000000"/>
                <w:lang w:val="es-ES_tradnl" w:eastAsia="es-ES_tradnl"/>
              </w:rPr>
              <w:t>.</w:t>
            </w:r>
          </w:p>
        </w:tc>
        <w:tc>
          <w:tcPr>
            <w:tcW w:w="1340" w:type="dxa"/>
            <w:tcBorders>
              <w:top w:val="nil"/>
              <w:left w:val="nil"/>
              <w:bottom w:val="single" w:sz="8" w:space="0" w:color="auto"/>
              <w:right w:val="nil"/>
            </w:tcBorders>
            <w:shd w:val="clear" w:color="auto" w:fill="auto"/>
            <w:vAlign w:val="center"/>
            <w:hideMark/>
          </w:tcPr>
          <w:p w14:paraId="3A366978"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p-</w:t>
            </w:r>
            <w:proofErr w:type="spellStart"/>
            <w:r w:rsidRPr="002C068F">
              <w:rPr>
                <w:rFonts w:ascii="Calibri" w:eastAsia="Times New Roman" w:hAnsi="Calibri" w:cs="Calibri"/>
                <w:color w:val="000000"/>
                <w:lang w:val="es-ES_tradnl" w:eastAsia="es-ES_tradnl"/>
              </w:rPr>
              <w:t>Value</w:t>
            </w:r>
            <w:proofErr w:type="spellEnd"/>
          </w:p>
        </w:tc>
        <w:tc>
          <w:tcPr>
            <w:tcW w:w="1760" w:type="dxa"/>
            <w:tcBorders>
              <w:top w:val="nil"/>
              <w:left w:val="nil"/>
              <w:bottom w:val="single" w:sz="8" w:space="0" w:color="auto"/>
              <w:right w:val="nil"/>
            </w:tcBorders>
            <w:shd w:val="clear" w:color="auto" w:fill="auto"/>
            <w:vAlign w:val="center"/>
            <w:hideMark/>
          </w:tcPr>
          <w:p w14:paraId="54790140"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CI</w:t>
            </w:r>
          </w:p>
        </w:tc>
      </w:tr>
      <w:tr w:rsidR="009261C0" w:rsidRPr="002C068F" w14:paraId="4A377183" w14:textId="77777777" w:rsidTr="007E19D4">
        <w:trPr>
          <w:trHeight w:val="300"/>
        </w:trPr>
        <w:tc>
          <w:tcPr>
            <w:tcW w:w="2180" w:type="dxa"/>
            <w:tcBorders>
              <w:top w:val="nil"/>
              <w:left w:val="nil"/>
              <w:bottom w:val="nil"/>
              <w:right w:val="nil"/>
            </w:tcBorders>
            <w:shd w:val="clear" w:color="auto" w:fill="auto"/>
            <w:noWrap/>
            <w:vAlign w:val="center"/>
            <w:hideMark/>
          </w:tcPr>
          <w:p w14:paraId="308DC514"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roofErr w:type="spellStart"/>
            <w:r w:rsidRPr="002C068F">
              <w:rPr>
                <w:rFonts w:ascii="Calibri" w:eastAsia="Times New Roman" w:hAnsi="Calibri" w:cs="Calibri"/>
                <w:color w:val="000000"/>
                <w:lang w:val="es-ES_tradnl" w:eastAsia="es-ES_tradnl"/>
              </w:rPr>
              <w:t>Group</w:t>
            </w:r>
            <w:proofErr w:type="spellEnd"/>
          </w:p>
        </w:tc>
        <w:tc>
          <w:tcPr>
            <w:tcW w:w="920" w:type="dxa"/>
            <w:tcBorders>
              <w:top w:val="nil"/>
              <w:left w:val="nil"/>
              <w:bottom w:val="nil"/>
              <w:right w:val="nil"/>
            </w:tcBorders>
            <w:shd w:val="clear" w:color="auto" w:fill="auto"/>
            <w:noWrap/>
            <w:vAlign w:val="center"/>
            <w:hideMark/>
          </w:tcPr>
          <w:p w14:paraId="49CE5A38"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p>
        </w:tc>
        <w:tc>
          <w:tcPr>
            <w:tcW w:w="1020" w:type="dxa"/>
            <w:tcBorders>
              <w:top w:val="nil"/>
              <w:left w:val="nil"/>
              <w:bottom w:val="nil"/>
              <w:right w:val="nil"/>
            </w:tcBorders>
            <w:shd w:val="clear" w:color="auto" w:fill="auto"/>
            <w:noWrap/>
            <w:vAlign w:val="center"/>
            <w:hideMark/>
          </w:tcPr>
          <w:p w14:paraId="0C67FAE7"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c>
          <w:tcPr>
            <w:tcW w:w="1340" w:type="dxa"/>
            <w:tcBorders>
              <w:top w:val="nil"/>
              <w:left w:val="nil"/>
              <w:bottom w:val="nil"/>
              <w:right w:val="nil"/>
            </w:tcBorders>
            <w:shd w:val="clear" w:color="auto" w:fill="auto"/>
            <w:noWrap/>
            <w:vAlign w:val="center"/>
            <w:hideMark/>
          </w:tcPr>
          <w:p w14:paraId="0C111A42"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c>
          <w:tcPr>
            <w:tcW w:w="1760" w:type="dxa"/>
            <w:tcBorders>
              <w:top w:val="nil"/>
              <w:left w:val="nil"/>
              <w:bottom w:val="nil"/>
              <w:right w:val="nil"/>
            </w:tcBorders>
            <w:shd w:val="clear" w:color="auto" w:fill="auto"/>
            <w:noWrap/>
            <w:vAlign w:val="center"/>
            <w:hideMark/>
          </w:tcPr>
          <w:p w14:paraId="0728FB25" w14:textId="77777777" w:rsidR="009261C0" w:rsidRPr="002C068F" w:rsidRDefault="009261C0" w:rsidP="007E19D4">
            <w:pPr>
              <w:spacing w:after="0" w:line="240" w:lineRule="auto"/>
              <w:jc w:val="center"/>
              <w:rPr>
                <w:rFonts w:ascii="Times New Roman" w:eastAsia="Times New Roman" w:hAnsi="Times New Roman" w:cs="Times New Roman"/>
                <w:sz w:val="20"/>
                <w:szCs w:val="20"/>
                <w:lang w:val="es-ES_tradnl" w:eastAsia="es-ES_tradnl"/>
              </w:rPr>
            </w:pPr>
          </w:p>
        </w:tc>
      </w:tr>
      <w:tr w:rsidR="009261C0" w:rsidRPr="002C068F" w14:paraId="6786BBC2" w14:textId="77777777" w:rsidTr="007E19D4">
        <w:trPr>
          <w:trHeight w:val="300"/>
        </w:trPr>
        <w:tc>
          <w:tcPr>
            <w:tcW w:w="2180" w:type="dxa"/>
            <w:tcBorders>
              <w:top w:val="nil"/>
              <w:left w:val="nil"/>
              <w:bottom w:val="nil"/>
              <w:right w:val="nil"/>
            </w:tcBorders>
            <w:shd w:val="clear" w:color="auto" w:fill="auto"/>
            <w:noWrap/>
            <w:vAlign w:val="center"/>
            <w:hideMark/>
          </w:tcPr>
          <w:p w14:paraId="4C0A9BD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Ch+A92 (0,5µm)</w:t>
            </w:r>
          </w:p>
        </w:tc>
        <w:tc>
          <w:tcPr>
            <w:tcW w:w="920" w:type="dxa"/>
            <w:tcBorders>
              <w:top w:val="nil"/>
              <w:left w:val="nil"/>
              <w:bottom w:val="nil"/>
              <w:right w:val="nil"/>
            </w:tcBorders>
            <w:shd w:val="clear" w:color="auto" w:fill="auto"/>
            <w:noWrap/>
            <w:vAlign w:val="center"/>
            <w:hideMark/>
          </w:tcPr>
          <w:p w14:paraId="4E09342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0,78</w:t>
            </w:r>
          </w:p>
        </w:tc>
        <w:tc>
          <w:tcPr>
            <w:tcW w:w="1020" w:type="dxa"/>
            <w:tcBorders>
              <w:top w:val="nil"/>
              <w:left w:val="nil"/>
              <w:bottom w:val="nil"/>
              <w:right w:val="nil"/>
            </w:tcBorders>
            <w:shd w:val="clear" w:color="auto" w:fill="auto"/>
            <w:noWrap/>
            <w:vAlign w:val="center"/>
            <w:hideMark/>
          </w:tcPr>
          <w:p w14:paraId="522202EC"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0,026</w:t>
            </w:r>
          </w:p>
        </w:tc>
        <w:tc>
          <w:tcPr>
            <w:tcW w:w="1340" w:type="dxa"/>
            <w:tcBorders>
              <w:top w:val="nil"/>
              <w:left w:val="nil"/>
              <w:right w:val="nil"/>
            </w:tcBorders>
            <w:shd w:val="clear" w:color="auto" w:fill="auto"/>
            <w:noWrap/>
            <w:vAlign w:val="center"/>
            <w:hideMark/>
          </w:tcPr>
          <w:p w14:paraId="7DD6FA4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&lt; 0,001***</w:t>
            </w:r>
          </w:p>
        </w:tc>
        <w:tc>
          <w:tcPr>
            <w:tcW w:w="1760" w:type="dxa"/>
            <w:tcBorders>
              <w:top w:val="nil"/>
              <w:left w:val="nil"/>
              <w:bottom w:val="nil"/>
              <w:right w:val="nil"/>
            </w:tcBorders>
            <w:shd w:val="clear" w:color="auto" w:fill="auto"/>
            <w:noWrap/>
            <w:vAlign w:val="center"/>
            <w:hideMark/>
          </w:tcPr>
          <w:p w14:paraId="3B4BD713"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0,73 - 0,84</w:t>
            </w:r>
          </w:p>
        </w:tc>
      </w:tr>
      <w:tr w:rsidR="009261C0" w:rsidRPr="002C068F" w14:paraId="37695ABB" w14:textId="77777777" w:rsidTr="007E19D4">
        <w:trPr>
          <w:trHeight w:val="300"/>
        </w:trPr>
        <w:tc>
          <w:tcPr>
            <w:tcW w:w="2180" w:type="dxa"/>
            <w:tcBorders>
              <w:top w:val="nil"/>
              <w:left w:val="nil"/>
              <w:bottom w:val="single" w:sz="4" w:space="0" w:color="auto"/>
              <w:right w:val="nil"/>
            </w:tcBorders>
            <w:shd w:val="clear" w:color="auto" w:fill="auto"/>
            <w:noWrap/>
            <w:vAlign w:val="center"/>
            <w:hideMark/>
          </w:tcPr>
          <w:p w14:paraId="36DDE2BC"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Ch+A92 (1µm)</w:t>
            </w:r>
          </w:p>
        </w:tc>
        <w:tc>
          <w:tcPr>
            <w:tcW w:w="920" w:type="dxa"/>
            <w:tcBorders>
              <w:top w:val="nil"/>
              <w:left w:val="nil"/>
              <w:bottom w:val="single" w:sz="4" w:space="0" w:color="auto"/>
              <w:right w:val="nil"/>
            </w:tcBorders>
            <w:shd w:val="clear" w:color="auto" w:fill="auto"/>
            <w:noWrap/>
            <w:vAlign w:val="center"/>
            <w:hideMark/>
          </w:tcPr>
          <w:p w14:paraId="7950174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0,86</w:t>
            </w:r>
          </w:p>
        </w:tc>
        <w:tc>
          <w:tcPr>
            <w:tcW w:w="1020" w:type="dxa"/>
            <w:tcBorders>
              <w:top w:val="nil"/>
              <w:left w:val="nil"/>
              <w:bottom w:val="single" w:sz="4" w:space="0" w:color="auto"/>
              <w:right w:val="nil"/>
            </w:tcBorders>
            <w:shd w:val="clear" w:color="auto" w:fill="auto"/>
            <w:noWrap/>
            <w:vAlign w:val="center"/>
            <w:hideMark/>
          </w:tcPr>
          <w:p w14:paraId="109A7FA6"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0,028</w:t>
            </w:r>
          </w:p>
        </w:tc>
        <w:tc>
          <w:tcPr>
            <w:tcW w:w="1340" w:type="dxa"/>
            <w:tcBorders>
              <w:top w:val="nil"/>
              <w:left w:val="nil"/>
              <w:bottom w:val="single" w:sz="4" w:space="0" w:color="auto"/>
              <w:right w:val="nil"/>
            </w:tcBorders>
            <w:shd w:val="clear" w:color="auto" w:fill="auto"/>
            <w:noWrap/>
            <w:vAlign w:val="center"/>
            <w:hideMark/>
          </w:tcPr>
          <w:p w14:paraId="121FD042"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&lt; 0,001***</w:t>
            </w:r>
          </w:p>
        </w:tc>
        <w:tc>
          <w:tcPr>
            <w:tcW w:w="1760" w:type="dxa"/>
            <w:tcBorders>
              <w:top w:val="nil"/>
              <w:left w:val="nil"/>
              <w:bottom w:val="single" w:sz="4" w:space="0" w:color="auto"/>
              <w:right w:val="nil"/>
            </w:tcBorders>
            <w:shd w:val="clear" w:color="auto" w:fill="auto"/>
            <w:noWrap/>
            <w:vAlign w:val="center"/>
            <w:hideMark/>
          </w:tcPr>
          <w:p w14:paraId="69853C5B" w14:textId="77777777" w:rsidR="009261C0" w:rsidRPr="002C068F" w:rsidRDefault="009261C0" w:rsidP="007E19D4">
            <w:pPr>
              <w:spacing w:after="0" w:line="240" w:lineRule="auto"/>
              <w:jc w:val="center"/>
              <w:rPr>
                <w:rFonts w:ascii="Calibri" w:eastAsia="Times New Roman" w:hAnsi="Calibri" w:cs="Calibri"/>
                <w:color w:val="000000"/>
                <w:lang w:val="es-ES_tradnl" w:eastAsia="es-ES_tradnl"/>
              </w:rPr>
            </w:pPr>
            <w:r w:rsidRPr="002C068F">
              <w:rPr>
                <w:rFonts w:ascii="Calibri" w:eastAsia="Times New Roman" w:hAnsi="Calibri" w:cs="Calibri"/>
                <w:color w:val="000000"/>
                <w:lang w:val="es-ES_tradnl" w:eastAsia="es-ES_tradnl"/>
              </w:rPr>
              <w:t>0,80 - 0,91</w:t>
            </w:r>
          </w:p>
        </w:tc>
      </w:tr>
    </w:tbl>
    <w:p w14:paraId="145453DF" w14:textId="7B919281" w:rsidR="007E19D4" w:rsidRPr="00EA09F4" w:rsidRDefault="009261C0" w:rsidP="009261C0">
      <w:pPr>
        <w:ind w:right="1133"/>
        <w:rPr>
          <w:sz w:val="18"/>
          <w:szCs w:val="18"/>
        </w:rPr>
      </w:pPr>
      <w:r>
        <w:rPr>
          <w:b/>
        </w:rPr>
        <w:fldChar w:fldCharType="end"/>
      </w:r>
      <w:r w:rsidRPr="002801CA">
        <w:rPr>
          <w:sz w:val="18"/>
          <w:szCs w:val="18"/>
        </w:rPr>
        <w:t xml:space="preserve">Hazard ratio (HR) estimation for each group considering G93ACh+veh group as reference (HR=1). Data from five independent experiments per condition (10 total plates). Robust standard error (Robust Std. Err.) adjusted by clusters (wells) and data stratified by plate. </w:t>
      </w:r>
      <w:r w:rsidRPr="00EA09F4">
        <w:rPr>
          <w:sz w:val="18"/>
          <w:szCs w:val="18"/>
        </w:rPr>
        <w:t xml:space="preserve">95% CI (Confidence Interval). </w:t>
      </w:r>
    </w:p>
    <w:p w14:paraId="52526E82" w14:textId="6B13D792" w:rsidR="002829B0" w:rsidRDefault="009261C0" w:rsidP="002829B0">
      <w:pPr>
        <w:pStyle w:val="Heading2"/>
        <w:rPr>
          <w:sz w:val="36"/>
          <w:szCs w:val="36"/>
        </w:rPr>
      </w:pPr>
      <w:r w:rsidRPr="002829B0">
        <w:rPr>
          <w:sz w:val="36"/>
          <w:szCs w:val="36"/>
        </w:rPr>
        <w:lastRenderedPageBreak/>
        <w:t xml:space="preserve">Supplementary Statistical Analysis Figure </w:t>
      </w:r>
      <w:r w:rsidR="00CE19AF" w:rsidRPr="002829B0">
        <w:rPr>
          <w:sz w:val="36"/>
          <w:szCs w:val="36"/>
        </w:rPr>
        <w:t>1</w:t>
      </w:r>
      <w:r w:rsidR="00F07375">
        <w:rPr>
          <w:sz w:val="36"/>
          <w:szCs w:val="36"/>
        </w:rPr>
        <w:t>j</w:t>
      </w:r>
    </w:p>
    <w:p w14:paraId="5FACA9A4" w14:textId="77777777" w:rsidR="002829B0" w:rsidRPr="002829B0" w:rsidRDefault="002829B0" w:rsidP="002829B0"/>
    <w:p w14:paraId="31D9045C" w14:textId="41F44045" w:rsidR="002829B0" w:rsidRPr="002829B0" w:rsidRDefault="009261C0" w:rsidP="002829B0">
      <w:pPr>
        <w:pStyle w:val="Heading3"/>
        <w:spacing w:afterLines="120" w:after="288"/>
        <w:rPr>
          <w:rFonts w:ascii="Times New Roman" w:eastAsia="Times New Roman" w:hAnsi="Times New Roman" w:cs="Times New Roman"/>
          <w:color w:val="auto"/>
          <w:sz w:val="32"/>
          <w:szCs w:val="32"/>
          <w:lang w:eastAsia="es-ES"/>
        </w:rPr>
      </w:pPr>
      <w:r w:rsidRPr="002829B0">
        <w:rPr>
          <w:rFonts w:ascii="Times New Roman" w:eastAsia="Times New Roman" w:hAnsi="Times New Roman" w:cs="Times New Roman"/>
          <w:color w:val="auto"/>
          <w:sz w:val="32"/>
          <w:szCs w:val="32"/>
          <w:lang w:eastAsia="es-ES"/>
        </w:rPr>
        <w:t>EMG evolution in TA muscle</w:t>
      </w:r>
    </w:p>
    <w:p w14:paraId="3CC94D69" w14:textId="023CFE1E" w:rsidR="009261C0" w:rsidRPr="002829B0" w:rsidRDefault="009261C0" w:rsidP="002829B0">
      <w:pPr>
        <w:spacing w:afterLines="120" w:after="288"/>
        <w:rPr>
          <w:rFonts w:ascii="Times New Roman" w:hAnsi="Times New Roman" w:cs="Times New Roman"/>
          <w:b/>
          <w:sz w:val="28"/>
          <w:szCs w:val="28"/>
          <w:lang w:eastAsia="es-ES"/>
        </w:rPr>
      </w:pPr>
      <w:r w:rsidRPr="002829B0">
        <w:rPr>
          <w:rFonts w:ascii="Times New Roman" w:hAnsi="Times New Roman" w:cs="Times New Roman"/>
          <w:b/>
          <w:sz w:val="28"/>
          <w:szCs w:val="28"/>
          <w:lang w:eastAsia="es-ES"/>
        </w:rPr>
        <w:t>Repeated Measures ANOVA for 4 groups, 5 time points</w:t>
      </w:r>
    </w:p>
    <w:p w14:paraId="11AB7F41" w14:textId="77777777" w:rsidR="009261C0" w:rsidRDefault="009261C0" w:rsidP="009261C0">
      <w:pPr>
        <w:spacing w:after="0" w:line="240" w:lineRule="auto"/>
        <w:rPr>
          <w:rFonts w:ascii="Times New Roman" w:eastAsia="Times New Roman" w:hAnsi="Times New Roman" w:cs="Times New Roman"/>
          <w:lang w:eastAsia="es-ES"/>
        </w:rPr>
      </w:pPr>
      <w:r w:rsidRPr="00376408">
        <w:rPr>
          <w:rFonts w:ascii="Times New Roman" w:eastAsia="Times New Roman" w:hAnsi="Times New Roman" w:cs="Times New Roman"/>
          <w:lang w:eastAsia="es-ES"/>
        </w:rPr>
        <w:t>2-way mixed ANOVA com</w:t>
      </w:r>
      <w:r>
        <w:rPr>
          <w:rFonts w:ascii="Times New Roman" w:eastAsia="Times New Roman" w:hAnsi="Times New Roman" w:cs="Times New Roman"/>
          <w:lang w:eastAsia="es-ES"/>
        </w:rPr>
        <w:t xml:space="preserve">paring the evolution of EMG activity among the two genotypes and treatment (4 groups) </w:t>
      </w:r>
      <w:r w:rsidRPr="00376408">
        <w:rPr>
          <w:rFonts w:ascii="Times New Roman" w:eastAsia="Times New Roman" w:hAnsi="Times New Roman" w:cs="Times New Roman"/>
          <w:lang w:eastAsia="es-ES"/>
        </w:rPr>
        <w:t xml:space="preserve">reveals a significant effect </w:t>
      </w:r>
      <w:r>
        <w:rPr>
          <w:rFonts w:ascii="Times New Roman" w:eastAsia="Times New Roman" w:hAnsi="Times New Roman" w:cs="Times New Roman"/>
          <w:lang w:eastAsia="es-ES"/>
        </w:rPr>
        <w:t>of</w:t>
      </w:r>
      <w:r w:rsidRPr="00376408">
        <w:rPr>
          <w:rFonts w:ascii="Times New Roman" w:eastAsia="Times New Roman" w:hAnsi="Times New Roman" w:cs="Times New Roman"/>
          <w:lang w:eastAsia="es-ES"/>
        </w:rPr>
        <w:t xml:space="preserve"> time, group, and interaction factors, </w:t>
      </w:r>
      <w:r>
        <w:rPr>
          <w:rFonts w:ascii="Times New Roman" w:eastAsia="Times New Roman" w:hAnsi="Times New Roman" w:cs="Times New Roman"/>
          <w:lang w:eastAsia="es-ES"/>
        </w:rPr>
        <w:t>probing</w:t>
      </w:r>
      <w:r w:rsidRPr="00376408">
        <w:rPr>
          <w:rFonts w:ascii="Times New Roman" w:eastAsia="Times New Roman" w:hAnsi="Times New Roman" w:cs="Times New Roman"/>
          <w:lang w:eastAsia="es-ES"/>
        </w:rPr>
        <w:t xml:space="preserve"> that the evolution of the EMG activity is different in the different groups</w:t>
      </w:r>
    </w:p>
    <w:tbl>
      <w:tblPr>
        <w:tblW w:w="0" w:type="auto"/>
        <w:tblCellMar>
          <w:top w:w="15" w:type="dxa"/>
          <w:left w:w="15" w:type="dxa"/>
          <w:bottom w:w="15" w:type="dxa"/>
          <w:right w:w="15" w:type="dxa"/>
        </w:tblCellMar>
        <w:tblLook w:val="04A0" w:firstRow="1" w:lastRow="0" w:firstColumn="1" w:lastColumn="0" w:noHBand="0" w:noVBand="1"/>
      </w:tblPr>
      <w:tblGrid>
        <w:gridCol w:w="1461"/>
        <w:gridCol w:w="36"/>
        <w:gridCol w:w="1939"/>
        <w:gridCol w:w="138"/>
        <w:gridCol w:w="1456"/>
        <w:gridCol w:w="54"/>
        <w:gridCol w:w="635"/>
        <w:gridCol w:w="36"/>
        <w:gridCol w:w="1243"/>
        <w:gridCol w:w="52"/>
        <w:gridCol w:w="525"/>
        <w:gridCol w:w="36"/>
        <w:gridCol w:w="595"/>
        <w:gridCol w:w="36"/>
      </w:tblGrid>
      <w:tr w:rsidR="009261C0" w:rsidRPr="00A3609F" w14:paraId="69C71886" w14:textId="77777777" w:rsidTr="007E19D4">
        <w:trPr>
          <w:tblHeader/>
        </w:trPr>
        <w:tc>
          <w:tcPr>
            <w:tcW w:w="0" w:type="auto"/>
            <w:gridSpan w:val="14"/>
            <w:tcBorders>
              <w:top w:val="nil"/>
              <w:left w:val="nil"/>
              <w:bottom w:val="single" w:sz="6" w:space="0" w:color="000000"/>
              <w:right w:val="nil"/>
            </w:tcBorders>
            <w:vAlign w:val="center"/>
            <w:hideMark/>
          </w:tcPr>
          <w:p w14:paraId="7B3D9D60" w14:textId="77777777" w:rsidR="009261C0" w:rsidRDefault="009261C0" w:rsidP="007E19D4">
            <w:pPr>
              <w:spacing w:after="0" w:line="240" w:lineRule="auto"/>
              <w:rPr>
                <w:rFonts w:ascii="Times New Roman" w:eastAsia="Times New Roman" w:hAnsi="Times New Roman" w:cs="Times New Roman"/>
                <w:b/>
                <w:bCs/>
                <w:lang w:eastAsia="es-ES"/>
              </w:rPr>
            </w:pPr>
          </w:p>
          <w:p w14:paraId="05CB77FF" w14:textId="77777777" w:rsidR="009261C0" w:rsidRPr="00A3609F" w:rsidRDefault="009261C0" w:rsidP="007E19D4">
            <w:pPr>
              <w:spacing w:after="0" w:line="240" w:lineRule="auto"/>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 xml:space="preserve">Within Subjects Effects </w:t>
            </w:r>
          </w:p>
        </w:tc>
      </w:tr>
      <w:tr w:rsidR="009261C0" w:rsidRPr="00A3609F" w14:paraId="68B7C5A0" w14:textId="77777777" w:rsidTr="007E19D4">
        <w:trPr>
          <w:tblHeader/>
        </w:trPr>
        <w:tc>
          <w:tcPr>
            <w:tcW w:w="0" w:type="auto"/>
            <w:gridSpan w:val="2"/>
            <w:tcBorders>
              <w:top w:val="nil"/>
              <w:left w:val="nil"/>
              <w:bottom w:val="single" w:sz="6" w:space="0" w:color="000000"/>
              <w:right w:val="nil"/>
            </w:tcBorders>
            <w:vAlign w:val="center"/>
            <w:hideMark/>
          </w:tcPr>
          <w:p w14:paraId="1604B0F0"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4D049C03"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Sphericity Correction</w:t>
            </w:r>
          </w:p>
        </w:tc>
        <w:tc>
          <w:tcPr>
            <w:tcW w:w="0" w:type="auto"/>
            <w:gridSpan w:val="2"/>
            <w:tcBorders>
              <w:top w:val="nil"/>
              <w:left w:val="nil"/>
              <w:bottom w:val="single" w:sz="6" w:space="0" w:color="000000"/>
              <w:right w:val="nil"/>
            </w:tcBorders>
            <w:vAlign w:val="center"/>
            <w:hideMark/>
          </w:tcPr>
          <w:p w14:paraId="44E1FB1A"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2C6AF062"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1D94B493"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6CE01E20"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6CF0B0B3"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p</w:t>
            </w:r>
          </w:p>
        </w:tc>
      </w:tr>
      <w:tr w:rsidR="009261C0" w:rsidRPr="00A3609F" w14:paraId="2735F4F4" w14:textId="77777777" w:rsidTr="007E19D4">
        <w:tc>
          <w:tcPr>
            <w:tcW w:w="0" w:type="auto"/>
            <w:tcBorders>
              <w:top w:val="nil"/>
              <w:left w:val="nil"/>
              <w:bottom w:val="nil"/>
              <w:right w:val="nil"/>
            </w:tcBorders>
            <w:vAlign w:val="center"/>
            <w:hideMark/>
          </w:tcPr>
          <w:p w14:paraId="6D257C0A"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Weeks</w:t>
            </w:r>
          </w:p>
        </w:tc>
        <w:tc>
          <w:tcPr>
            <w:tcW w:w="0" w:type="auto"/>
            <w:tcBorders>
              <w:top w:val="nil"/>
              <w:left w:val="nil"/>
              <w:bottom w:val="nil"/>
              <w:right w:val="nil"/>
            </w:tcBorders>
            <w:vAlign w:val="center"/>
            <w:hideMark/>
          </w:tcPr>
          <w:p w14:paraId="52148192"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7BB9447"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72346A9D"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FEB0EE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11086.453</w:t>
            </w:r>
          </w:p>
        </w:tc>
        <w:tc>
          <w:tcPr>
            <w:tcW w:w="0" w:type="auto"/>
            <w:tcBorders>
              <w:top w:val="nil"/>
              <w:left w:val="nil"/>
              <w:bottom w:val="nil"/>
              <w:right w:val="nil"/>
            </w:tcBorders>
            <w:vAlign w:val="center"/>
            <w:hideMark/>
          </w:tcPr>
          <w:p w14:paraId="57A8B114"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D9E265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4.000</w:t>
            </w:r>
          </w:p>
        </w:tc>
        <w:tc>
          <w:tcPr>
            <w:tcW w:w="0" w:type="auto"/>
            <w:tcBorders>
              <w:top w:val="nil"/>
              <w:left w:val="nil"/>
              <w:bottom w:val="nil"/>
              <w:right w:val="nil"/>
            </w:tcBorders>
            <w:vAlign w:val="center"/>
            <w:hideMark/>
          </w:tcPr>
          <w:p w14:paraId="37314B18"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91AA4D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2771.613</w:t>
            </w:r>
          </w:p>
        </w:tc>
        <w:tc>
          <w:tcPr>
            <w:tcW w:w="0" w:type="auto"/>
            <w:tcBorders>
              <w:top w:val="nil"/>
              <w:left w:val="nil"/>
              <w:bottom w:val="nil"/>
              <w:right w:val="nil"/>
            </w:tcBorders>
            <w:vAlign w:val="center"/>
            <w:hideMark/>
          </w:tcPr>
          <w:p w14:paraId="0E31E29C"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ACF37B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9.120</w:t>
            </w:r>
          </w:p>
        </w:tc>
        <w:tc>
          <w:tcPr>
            <w:tcW w:w="0" w:type="auto"/>
            <w:tcBorders>
              <w:top w:val="nil"/>
              <w:left w:val="nil"/>
              <w:bottom w:val="nil"/>
              <w:right w:val="nil"/>
            </w:tcBorders>
            <w:vAlign w:val="center"/>
            <w:hideMark/>
          </w:tcPr>
          <w:p w14:paraId="6A9A28EC"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720C8B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&lt; .001</w:t>
            </w:r>
          </w:p>
        </w:tc>
        <w:tc>
          <w:tcPr>
            <w:tcW w:w="0" w:type="auto"/>
            <w:tcBorders>
              <w:top w:val="nil"/>
              <w:left w:val="nil"/>
              <w:bottom w:val="nil"/>
              <w:right w:val="nil"/>
            </w:tcBorders>
            <w:vAlign w:val="center"/>
            <w:hideMark/>
          </w:tcPr>
          <w:p w14:paraId="7FC0EC4B" w14:textId="77777777" w:rsidR="009261C0" w:rsidRPr="00A3609F" w:rsidRDefault="009261C0" w:rsidP="007E19D4">
            <w:pPr>
              <w:spacing w:after="0" w:line="240" w:lineRule="auto"/>
              <w:rPr>
                <w:rFonts w:ascii="Times New Roman" w:eastAsia="Times New Roman" w:hAnsi="Times New Roman" w:cs="Times New Roman"/>
                <w:lang w:eastAsia="es-ES"/>
              </w:rPr>
            </w:pPr>
          </w:p>
        </w:tc>
      </w:tr>
      <w:tr w:rsidR="009261C0" w:rsidRPr="00A3609F" w14:paraId="7CCD8618" w14:textId="77777777" w:rsidTr="007E19D4">
        <w:tc>
          <w:tcPr>
            <w:tcW w:w="0" w:type="auto"/>
            <w:tcBorders>
              <w:top w:val="nil"/>
              <w:left w:val="nil"/>
              <w:bottom w:val="nil"/>
              <w:right w:val="nil"/>
            </w:tcBorders>
            <w:vAlign w:val="center"/>
            <w:hideMark/>
          </w:tcPr>
          <w:p w14:paraId="5C030A48"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xml:space="preserve">Weeks </w:t>
            </w:r>
            <w:r w:rsidRPr="00A3609F">
              <w:rPr>
                <w:rFonts w:ascii="Segoe UI Symbol" w:eastAsia="Times New Roman" w:hAnsi="Segoe UI Symbol" w:cs="Segoe UI Symbol"/>
                <w:sz w:val="18"/>
                <w:szCs w:val="18"/>
                <w:lang w:eastAsia="es-ES"/>
              </w:rPr>
              <w:t>✻</w:t>
            </w:r>
            <w:r w:rsidRPr="00A3609F">
              <w:rPr>
                <w:rFonts w:ascii="Times New Roman" w:eastAsia="Times New Roman" w:hAnsi="Times New Roman" w:cs="Times New Roman"/>
                <w:lang w:eastAsia="es-ES"/>
              </w:rPr>
              <w:t xml:space="preserve"> Group</w:t>
            </w:r>
          </w:p>
        </w:tc>
        <w:tc>
          <w:tcPr>
            <w:tcW w:w="0" w:type="auto"/>
            <w:tcBorders>
              <w:top w:val="nil"/>
              <w:left w:val="nil"/>
              <w:bottom w:val="nil"/>
              <w:right w:val="nil"/>
            </w:tcBorders>
            <w:vAlign w:val="center"/>
            <w:hideMark/>
          </w:tcPr>
          <w:p w14:paraId="7BAE5D98"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B499092"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003C10BA"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B5A616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15174.190</w:t>
            </w:r>
          </w:p>
        </w:tc>
        <w:tc>
          <w:tcPr>
            <w:tcW w:w="0" w:type="auto"/>
            <w:tcBorders>
              <w:top w:val="nil"/>
              <w:left w:val="nil"/>
              <w:bottom w:val="nil"/>
              <w:right w:val="nil"/>
            </w:tcBorders>
            <w:vAlign w:val="center"/>
            <w:hideMark/>
          </w:tcPr>
          <w:p w14:paraId="755757E0"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2D3221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12.000</w:t>
            </w:r>
          </w:p>
        </w:tc>
        <w:tc>
          <w:tcPr>
            <w:tcW w:w="0" w:type="auto"/>
            <w:tcBorders>
              <w:top w:val="nil"/>
              <w:left w:val="nil"/>
              <w:bottom w:val="nil"/>
              <w:right w:val="nil"/>
            </w:tcBorders>
            <w:vAlign w:val="center"/>
            <w:hideMark/>
          </w:tcPr>
          <w:p w14:paraId="68CF8D9E"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D78C84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1264.516</w:t>
            </w:r>
          </w:p>
        </w:tc>
        <w:tc>
          <w:tcPr>
            <w:tcW w:w="0" w:type="auto"/>
            <w:tcBorders>
              <w:top w:val="nil"/>
              <w:left w:val="nil"/>
              <w:bottom w:val="nil"/>
              <w:right w:val="nil"/>
            </w:tcBorders>
            <w:vAlign w:val="center"/>
            <w:hideMark/>
          </w:tcPr>
          <w:p w14:paraId="1DA747FF"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581C82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4.161</w:t>
            </w:r>
          </w:p>
        </w:tc>
        <w:tc>
          <w:tcPr>
            <w:tcW w:w="0" w:type="auto"/>
            <w:tcBorders>
              <w:top w:val="nil"/>
              <w:left w:val="nil"/>
              <w:bottom w:val="nil"/>
              <w:right w:val="nil"/>
            </w:tcBorders>
            <w:vAlign w:val="center"/>
            <w:hideMark/>
          </w:tcPr>
          <w:p w14:paraId="4EE80A5C"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6E239D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&lt; .001</w:t>
            </w:r>
          </w:p>
        </w:tc>
        <w:tc>
          <w:tcPr>
            <w:tcW w:w="0" w:type="auto"/>
            <w:tcBorders>
              <w:top w:val="nil"/>
              <w:left w:val="nil"/>
              <w:bottom w:val="nil"/>
              <w:right w:val="nil"/>
            </w:tcBorders>
            <w:vAlign w:val="center"/>
            <w:hideMark/>
          </w:tcPr>
          <w:p w14:paraId="1FD300AC" w14:textId="77777777" w:rsidR="009261C0" w:rsidRPr="00A3609F" w:rsidRDefault="009261C0" w:rsidP="007E19D4">
            <w:pPr>
              <w:spacing w:after="0" w:line="240" w:lineRule="auto"/>
              <w:rPr>
                <w:rFonts w:ascii="Times New Roman" w:eastAsia="Times New Roman" w:hAnsi="Times New Roman" w:cs="Times New Roman"/>
                <w:lang w:eastAsia="es-ES"/>
              </w:rPr>
            </w:pPr>
          </w:p>
        </w:tc>
      </w:tr>
      <w:tr w:rsidR="009261C0" w:rsidRPr="00A3609F" w14:paraId="5CDC0B50" w14:textId="77777777" w:rsidTr="007E19D4">
        <w:tc>
          <w:tcPr>
            <w:tcW w:w="0" w:type="auto"/>
            <w:tcBorders>
              <w:top w:val="nil"/>
              <w:left w:val="nil"/>
              <w:bottom w:val="nil"/>
              <w:right w:val="nil"/>
            </w:tcBorders>
            <w:vAlign w:val="center"/>
            <w:hideMark/>
          </w:tcPr>
          <w:p w14:paraId="739E4F16"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1B4CEF50"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1858E53"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2BB2042F"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75746A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21881.490</w:t>
            </w:r>
          </w:p>
        </w:tc>
        <w:tc>
          <w:tcPr>
            <w:tcW w:w="0" w:type="auto"/>
            <w:tcBorders>
              <w:top w:val="nil"/>
              <w:left w:val="nil"/>
              <w:bottom w:val="nil"/>
              <w:right w:val="nil"/>
            </w:tcBorders>
            <w:vAlign w:val="center"/>
            <w:hideMark/>
          </w:tcPr>
          <w:p w14:paraId="1A3D7A3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387314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72.000</w:t>
            </w:r>
          </w:p>
        </w:tc>
        <w:tc>
          <w:tcPr>
            <w:tcW w:w="0" w:type="auto"/>
            <w:tcBorders>
              <w:top w:val="nil"/>
              <w:left w:val="nil"/>
              <w:bottom w:val="nil"/>
              <w:right w:val="nil"/>
            </w:tcBorders>
            <w:vAlign w:val="center"/>
            <w:hideMark/>
          </w:tcPr>
          <w:p w14:paraId="347A56B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45CC5B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303.910</w:t>
            </w:r>
          </w:p>
        </w:tc>
        <w:tc>
          <w:tcPr>
            <w:tcW w:w="0" w:type="auto"/>
            <w:tcBorders>
              <w:top w:val="nil"/>
              <w:left w:val="nil"/>
              <w:bottom w:val="nil"/>
              <w:right w:val="nil"/>
            </w:tcBorders>
            <w:vAlign w:val="center"/>
            <w:hideMark/>
          </w:tcPr>
          <w:p w14:paraId="0619587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563B16A" w14:textId="77777777" w:rsidR="009261C0" w:rsidRPr="00A3609F"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2C99DD5E" w14:textId="77777777" w:rsidR="009261C0" w:rsidRPr="00A3609F"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25CE18E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6E9ECAE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37D96E31" w14:textId="77777777" w:rsidTr="007E19D4">
        <w:tc>
          <w:tcPr>
            <w:tcW w:w="0" w:type="auto"/>
            <w:gridSpan w:val="14"/>
            <w:tcBorders>
              <w:top w:val="nil"/>
              <w:left w:val="nil"/>
              <w:bottom w:val="single" w:sz="12" w:space="0" w:color="000000"/>
              <w:right w:val="nil"/>
            </w:tcBorders>
            <w:vAlign w:val="center"/>
            <w:hideMark/>
          </w:tcPr>
          <w:p w14:paraId="00AAE9D6" w14:textId="77777777" w:rsidR="009261C0" w:rsidRPr="00A3609F"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5F504283" w14:textId="77777777" w:rsidTr="007E19D4">
        <w:tc>
          <w:tcPr>
            <w:tcW w:w="0" w:type="auto"/>
            <w:gridSpan w:val="14"/>
            <w:tcBorders>
              <w:top w:val="nil"/>
              <w:left w:val="nil"/>
              <w:bottom w:val="nil"/>
              <w:right w:val="nil"/>
            </w:tcBorders>
            <w:vAlign w:val="center"/>
            <w:hideMark/>
          </w:tcPr>
          <w:p w14:paraId="2B65112A"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i/>
                <w:iCs/>
                <w:lang w:eastAsia="es-ES"/>
              </w:rPr>
              <w:t>Note.</w:t>
            </w:r>
            <w:r w:rsidRPr="00A3609F">
              <w:rPr>
                <w:rFonts w:ascii="Times New Roman" w:eastAsia="Times New Roman" w:hAnsi="Times New Roman" w:cs="Times New Roman"/>
                <w:lang w:eastAsia="es-ES"/>
              </w:rPr>
              <w:t xml:space="preserve">  Type II Sum of Squares</w:t>
            </w:r>
          </w:p>
        </w:tc>
      </w:tr>
    </w:tbl>
    <w:p w14:paraId="251475A8" w14:textId="77777777" w:rsidR="009261C0" w:rsidRPr="00A3609F" w:rsidRDefault="009261C0" w:rsidP="009261C0">
      <w:pPr>
        <w:spacing w:after="126"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886"/>
        <w:gridCol w:w="36"/>
        <w:gridCol w:w="1456"/>
        <w:gridCol w:w="54"/>
        <w:gridCol w:w="250"/>
        <w:gridCol w:w="36"/>
        <w:gridCol w:w="1243"/>
        <w:gridCol w:w="52"/>
        <w:gridCol w:w="635"/>
        <w:gridCol w:w="36"/>
        <w:gridCol w:w="595"/>
        <w:gridCol w:w="36"/>
      </w:tblGrid>
      <w:tr w:rsidR="009261C0" w:rsidRPr="00A3609F" w14:paraId="1B7C33EA" w14:textId="77777777" w:rsidTr="007E19D4">
        <w:trPr>
          <w:tblHeader/>
        </w:trPr>
        <w:tc>
          <w:tcPr>
            <w:tcW w:w="0" w:type="auto"/>
            <w:gridSpan w:val="12"/>
            <w:tcBorders>
              <w:top w:val="nil"/>
              <w:left w:val="nil"/>
              <w:bottom w:val="single" w:sz="6" w:space="0" w:color="000000"/>
              <w:right w:val="nil"/>
            </w:tcBorders>
            <w:vAlign w:val="center"/>
            <w:hideMark/>
          </w:tcPr>
          <w:p w14:paraId="1CF26E3F" w14:textId="77777777" w:rsidR="009261C0" w:rsidRPr="00A3609F" w:rsidRDefault="009261C0" w:rsidP="007E19D4">
            <w:pPr>
              <w:spacing w:after="0" w:line="240" w:lineRule="auto"/>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 xml:space="preserve">Between Subjects Effects </w:t>
            </w:r>
          </w:p>
        </w:tc>
      </w:tr>
      <w:tr w:rsidR="009261C0" w:rsidRPr="00A3609F" w14:paraId="76A260F6" w14:textId="77777777" w:rsidTr="007E19D4">
        <w:trPr>
          <w:tblHeader/>
        </w:trPr>
        <w:tc>
          <w:tcPr>
            <w:tcW w:w="0" w:type="auto"/>
            <w:gridSpan w:val="2"/>
            <w:tcBorders>
              <w:top w:val="nil"/>
              <w:left w:val="nil"/>
              <w:bottom w:val="single" w:sz="6" w:space="0" w:color="000000"/>
              <w:right w:val="nil"/>
            </w:tcBorders>
            <w:vAlign w:val="center"/>
            <w:hideMark/>
          </w:tcPr>
          <w:p w14:paraId="06E0675C"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69E9F59B"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4F803C8F"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05A02074"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6B09C832"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71521FFF"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p</w:t>
            </w:r>
          </w:p>
        </w:tc>
      </w:tr>
      <w:tr w:rsidR="009261C0" w:rsidRPr="00A3609F" w14:paraId="4FAF66B3" w14:textId="77777777" w:rsidTr="007E19D4">
        <w:tc>
          <w:tcPr>
            <w:tcW w:w="0" w:type="auto"/>
            <w:tcBorders>
              <w:top w:val="nil"/>
              <w:left w:val="nil"/>
              <w:bottom w:val="nil"/>
              <w:right w:val="nil"/>
            </w:tcBorders>
            <w:vAlign w:val="center"/>
            <w:hideMark/>
          </w:tcPr>
          <w:p w14:paraId="4E6EA9CA"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Group</w:t>
            </w:r>
          </w:p>
        </w:tc>
        <w:tc>
          <w:tcPr>
            <w:tcW w:w="0" w:type="auto"/>
            <w:tcBorders>
              <w:top w:val="nil"/>
              <w:left w:val="nil"/>
              <w:bottom w:val="nil"/>
              <w:right w:val="nil"/>
            </w:tcBorders>
            <w:vAlign w:val="center"/>
            <w:hideMark/>
          </w:tcPr>
          <w:p w14:paraId="06747DEF"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E0FDB3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17900.614</w:t>
            </w:r>
          </w:p>
        </w:tc>
        <w:tc>
          <w:tcPr>
            <w:tcW w:w="0" w:type="auto"/>
            <w:tcBorders>
              <w:top w:val="nil"/>
              <w:left w:val="nil"/>
              <w:bottom w:val="nil"/>
              <w:right w:val="nil"/>
            </w:tcBorders>
            <w:vAlign w:val="center"/>
            <w:hideMark/>
          </w:tcPr>
          <w:p w14:paraId="015AB3D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FB107A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3</w:t>
            </w:r>
          </w:p>
        </w:tc>
        <w:tc>
          <w:tcPr>
            <w:tcW w:w="0" w:type="auto"/>
            <w:tcBorders>
              <w:top w:val="nil"/>
              <w:left w:val="nil"/>
              <w:bottom w:val="nil"/>
              <w:right w:val="nil"/>
            </w:tcBorders>
            <w:vAlign w:val="center"/>
            <w:hideMark/>
          </w:tcPr>
          <w:p w14:paraId="1580853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E84512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5966.871</w:t>
            </w:r>
          </w:p>
        </w:tc>
        <w:tc>
          <w:tcPr>
            <w:tcW w:w="0" w:type="auto"/>
            <w:tcBorders>
              <w:top w:val="nil"/>
              <w:left w:val="nil"/>
              <w:bottom w:val="nil"/>
              <w:right w:val="nil"/>
            </w:tcBorders>
            <w:vAlign w:val="center"/>
            <w:hideMark/>
          </w:tcPr>
          <w:p w14:paraId="352970F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1E05DE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10.058</w:t>
            </w:r>
          </w:p>
        </w:tc>
        <w:tc>
          <w:tcPr>
            <w:tcW w:w="0" w:type="auto"/>
            <w:tcBorders>
              <w:top w:val="nil"/>
              <w:left w:val="nil"/>
              <w:bottom w:val="nil"/>
              <w:right w:val="nil"/>
            </w:tcBorders>
            <w:vAlign w:val="center"/>
            <w:hideMark/>
          </w:tcPr>
          <w:p w14:paraId="677E042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873668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&lt; .001</w:t>
            </w:r>
          </w:p>
        </w:tc>
        <w:tc>
          <w:tcPr>
            <w:tcW w:w="0" w:type="auto"/>
            <w:tcBorders>
              <w:top w:val="nil"/>
              <w:left w:val="nil"/>
              <w:bottom w:val="nil"/>
              <w:right w:val="nil"/>
            </w:tcBorders>
            <w:vAlign w:val="center"/>
            <w:hideMark/>
          </w:tcPr>
          <w:p w14:paraId="2E32032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085A1431" w14:textId="77777777" w:rsidTr="007E19D4">
        <w:tc>
          <w:tcPr>
            <w:tcW w:w="0" w:type="auto"/>
            <w:tcBorders>
              <w:top w:val="nil"/>
              <w:left w:val="nil"/>
              <w:bottom w:val="nil"/>
              <w:right w:val="nil"/>
            </w:tcBorders>
            <w:vAlign w:val="center"/>
            <w:hideMark/>
          </w:tcPr>
          <w:p w14:paraId="1703CD14"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07DF28E6"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730AE9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10678.239</w:t>
            </w:r>
          </w:p>
        </w:tc>
        <w:tc>
          <w:tcPr>
            <w:tcW w:w="0" w:type="auto"/>
            <w:tcBorders>
              <w:top w:val="nil"/>
              <w:left w:val="nil"/>
              <w:bottom w:val="nil"/>
              <w:right w:val="nil"/>
            </w:tcBorders>
            <w:vAlign w:val="center"/>
            <w:hideMark/>
          </w:tcPr>
          <w:p w14:paraId="41A7733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FFB9E9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18</w:t>
            </w:r>
          </w:p>
        </w:tc>
        <w:tc>
          <w:tcPr>
            <w:tcW w:w="0" w:type="auto"/>
            <w:tcBorders>
              <w:top w:val="nil"/>
              <w:left w:val="nil"/>
              <w:bottom w:val="nil"/>
              <w:right w:val="nil"/>
            </w:tcBorders>
            <w:vAlign w:val="center"/>
            <w:hideMark/>
          </w:tcPr>
          <w:p w14:paraId="03007EC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50D0D7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593.235</w:t>
            </w:r>
          </w:p>
        </w:tc>
        <w:tc>
          <w:tcPr>
            <w:tcW w:w="0" w:type="auto"/>
            <w:tcBorders>
              <w:top w:val="nil"/>
              <w:left w:val="nil"/>
              <w:bottom w:val="nil"/>
              <w:right w:val="nil"/>
            </w:tcBorders>
            <w:vAlign w:val="center"/>
            <w:hideMark/>
          </w:tcPr>
          <w:p w14:paraId="20CA27E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66AD1EC" w14:textId="77777777" w:rsidR="009261C0" w:rsidRPr="00A3609F"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4B03F2E5" w14:textId="77777777" w:rsidR="009261C0" w:rsidRPr="00A3609F"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718A22D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5B668DC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65AD51E7" w14:textId="77777777" w:rsidTr="007E19D4">
        <w:tc>
          <w:tcPr>
            <w:tcW w:w="0" w:type="auto"/>
            <w:gridSpan w:val="12"/>
            <w:tcBorders>
              <w:top w:val="nil"/>
              <w:left w:val="nil"/>
              <w:bottom w:val="single" w:sz="12" w:space="0" w:color="000000"/>
              <w:right w:val="nil"/>
            </w:tcBorders>
            <w:vAlign w:val="center"/>
            <w:hideMark/>
          </w:tcPr>
          <w:p w14:paraId="02C549D0" w14:textId="77777777" w:rsidR="009261C0" w:rsidRPr="00A3609F"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44B97830" w14:textId="77777777" w:rsidTr="007E19D4">
        <w:tc>
          <w:tcPr>
            <w:tcW w:w="0" w:type="auto"/>
            <w:gridSpan w:val="12"/>
            <w:tcBorders>
              <w:top w:val="nil"/>
              <w:left w:val="nil"/>
              <w:bottom w:val="nil"/>
              <w:right w:val="nil"/>
            </w:tcBorders>
            <w:vAlign w:val="center"/>
            <w:hideMark/>
          </w:tcPr>
          <w:p w14:paraId="452C049B"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i/>
                <w:iCs/>
                <w:lang w:eastAsia="es-ES"/>
              </w:rPr>
              <w:t>Note.</w:t>
            </w:r>
            <w:r w:rsidRPr="00A3609F">
              <w:rPr>
                <w:rFonts w:ascii="Times New Roman" w:eastAsia="Times New Roman" w:hAnsi="Times New Roman" w:cs="Times New Roman"/>
                <w:lang w:eastAsia="es-ES"/>
              </w:rPr>
              <w:t xml:space="preserve">  Type II Sum of Squares</w:t>
            </w:r>
          </w:p>
        </w:tc>
      </w:tr>
    </w:tbl>
    <w:p w14:paraId="1A44A707" w14:textId="77777777" w:rsidR="009261C0" w:rsidRPr="00376408" w:rsidRDefault="009261C0" w:rsidP="009261C0">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770"/>
        <w:gridCol w:w="36"/>
        <w:gridCol w:w="1265"/>
        <w:gridCol w:w="36"/>
        <w:gridCol w:w="150"/>
        <w:gridCol w:w="39"/>
        <w:gridCol w:w="635"/>
        <w:gridCol w:w="36"/>
        <w:gridCol w:w="635"/>
        <w:gridCol w:w="36"/>
        <w:gridCol w:w="635"/>
        <w:gridCol w:w="36"/>
        <w:gridCol w:w="2063"/>
        <w:gridCol w:w="142"/>
      </w:tblGrid>
      <w:tr w:rsidR="009261C0" w:rsidRPr="00A3609F" w14:paraId="60FDD927" w14:textId="77777777" w:rsidTr="007E19D4">
        <w:trPr>
          <w:tblHeader/>
        </w:trPr>
        <w:tc>
          <w:tcPr>
            <w:tcW w:w="0" w:type="auto"/>
            <w:gridSpan w:val="14"/>
            <w:tcBorders>
              <w:top w:val="nil"/>
              <w:left w:val="nil"/>
              <w:bottom w:val="single" w:sz="6" w:space="0" w:color="000000"/>
              <w:right w:val="nil"/>
            </w:tcBorders>
            <w:vAlign w:val="center"/>
            <w:hideMark/>
          </w:tcPr>
          <w:p w14:paraId="56C865FF" w14:textId="77777777" w:rsidR="009261C0" w:rsidRPr="00A3609F" w:rsidRDefault="009261C0" w:rsidP="007E19D4">
            <w:pPr>
              <w:spacing w:after="0" w:line="240" w:lineRule="auto"/>
              <w:rPr>
                <w:rFonts w:ascii="Times New Roman" w:eastAsia="Times New Roman" w:hAnsi="Times New Roman" w:cs="Times New Roman"/>
                <w:b/>
                <w:bCs/>
                <w:lang w:eastAsia="es-ES"/>
              </w:rPr>
            </w:pPr>
            <w:proofErr w:type="spellStart"/>
            <w:r w:rsidRPr="00A3609F">
              <w:rPr>
                <w:rFonts w:ascii="Times New Roman" w:eastAsia="Times New Roman" w:hAnsi="Times New Roman" w:cs="Times New Roman"/>
                <w:b/>
                <w:bCs/>
                <w:lang w:eastAsia="es-ES"/>
              </w:rPr>
              <w:t>Descriptives</w:t>
            </w:r>
            <w:proofErr w:type="spellEnd"/>
            <w:r w:rsidRPr="00A3609F">
              <w:rPr>
                <w:rFonts w:ascii="Times New Roman" w:eastAsia="Times New Roman" w:hAnsi="Times New Roman" w:cs="Times New Roman"/>
                <w:b/>
                <w:bCs/>
                <w:lang w:eastAsia="es-ES"/>
              </w:rPr>
              <w:t xml:space="preserve"> </w:t>
            </w:r>
          </w:p>
        </w:tc>
      </w:tr>
      <w:tr w:rsidR="009261C0" w:rsidRPr="00A3609F" w14:paraId="0182DE33" w14:textId="77777777" w:rsidTr="007E19D4">
        <w:trPr>
          <w:tblHeader/>
        </w:trPr>
        <w:tc>
          <w:tcPr>
            <w:tcW w:w="0" w:type="auto"/>
            <w:gridSpan w:val="2"/>
            <w:tcBorders>
              <w:top w:val="nil"/>
              <w:left w:val="nil"/>
              <w:bottom w:val="single" w:sz="6" w:space="0" w:color="000000"/>
              <w:right w:val="nil"/>
            </w:tcBorders>
            <w:vAlign w:val="center"/>
            <w:hideMark/>
          </w:tcPr>
          <w:p w14:paraId="05808E21"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Weeks</w:t>
            </w:r>
          </w:p>
        </w:tc>
        <w:tc>
          <w:tcPr>
            <w:tcW w:w="0" w:type="auto"/>
            <w:gridSpan w:val="2"/>
            <w:tcBorders>
              <w:top w:val="nil"/>
              <w:left w:val="nil"/>
              <w:bottom w:val="single" w:sz="6" w:space="0" w:color="000000"/>
              <w:right w:val="nil"/>
            </w:tcBorders>
            <w:vAlign w:val="center"/>
            <w:hideMark/>
          </w:tcPr>
          <w:p w14:paraId="2FD93D1D"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Group</w:t>
            </w:r>
          </w:p>
        </w:tc>
        <w:tc>
          <w:tcPr>
            <w:tcW w:w="0" w:type="auto"/>
            <w:gridSpan w:val="2"/>
            <w:tcBorders>
              <w:top w:val="nil"/>
              <w:left w:val="nil"/>
              <w:bottom w:val="single" w:sz="6" w:space="0" w:color="000000"/>
              <w:right w:val="nil"/>
            </w:tcBorders>
            <w:vAlign w:val="center"/>
            <w:hideMark/>
          </w:tcPr>
          <w:p w14:paraId="3C0A530F"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N</w:t>
            </w:r>
          </w:p>
        </w:tc>
        <w:tc>
          <w:tcPr>
            <w:tcW w:w="0" w:type="auto"/>
            <w:gridSpan w:val="2"/>
            <w:tcBorders>
              <w:top w:val="nil"/>
              <w:left w:val="nil"/>
              <w:bottom w:val="single" w:sz="6" w:space="0" w:color="000000"/>
              <w:right w:val="nil"/>
            </w:tcBorders>
            <w:vAlign w:val="center"/>
            <w:hideMark/>
          </w:tcPr>
          <w:p w14:paraId="732131E6"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Mean</w:t>
            </w:r>
          </w:p>
        </w:tc>
        <w:tc>
          <w:tcPr>
            <w:tcW w:w="0" w:type="auto"/>
            <w:gridSpan w:val="2"/>
            <w:tcBorders>
              <w:top w:val="nil"/>
              <w:left w:val="nil"/>
              <w:bottom w:val="single" w:sz="6" w:space="0" w:color="000000"/>
              <w:right w:val="nil"/>
            </w:tcBorders>
            <w:vAlign w:val="center"/>
            <w:hideMark/>
          </w:tcPr>
          <w:p w14:paraId="5B844162"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SD</w:t>
            </w:r>
          </w:p>
        </w:tc>
        <w:tc>
          <w:tcPr>
            <w:tcW w:w="0" w:type="auto"/>
            <w:gridSpan w:val="2"/>
            <w:tcBorders>
              <w:top w:val="nil"/>
              <w:left w:val="nil"/>
              <w:bottom w:val="single" w:sz="6" w:space="0" w:color="000000"/>
              <w:right w:val="nil"/>
            </w:tcBorders>
            <w:vAlign w:val="center"/>
            <w:hideMark/>
          </w:tcPr>
          <w:p w14:paraId="7BCD3E1D"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SE</w:t>
            </w:r>
          </w:p>
        </w:tc>
        <w:tc>
          <w:tcPr>
            <w:tcW w:w="0" w:type="auto"/>
            <w:gridSpan w:val="2"/>
            <w:tcBorders>
              <w:top w:val="nil"/>
              <w:left w:val="nil"/>
              <w:bottom w:val="single" w:sz="6" w:space="0" w:color="000000"/>
              <w:right w:val="nil"/>
            </w:tcBorders>
            <w:vAlign w:val="center"/>
            <w:hideMark/>
          </w:tcPr>
          <w:p w14:paraId="0BD4E5DC" w14:textId="77777777" w:rsidR="009261C0" w:rsidRPr="00A3609F" w:rsidRDefault="009261C0" w:rsidP="007E19D4">
            <w:pPr>
              <w:spacing w:after="0" w:line="240" w:lineRule="auto"/>
              <w:jc w:val="center"/>
              <w:rPr>
                <w:rFonts w:ascii="Times New Roman" w:eastAsia="Times New Roman" w:hAnsi="Times New Roman" w:cs="Times New Roman"/>
                <w:b/>
                <w:bCs/>
                <w:lang w:eastAsia="es-ES"/>
              </w:rPr>
            </w:pPr>
            <w:r w:rsidRPr="00A3609F">
              <w:rPr>
                <w:rFonts w:ascii="Times New Roman" w:eastAsia="Times New Roman" w:hAnsi="Times New Roman" w:cs="Times New Roman"/>
                <w:b/>
                <w:bCs/>
                <w:lang w:eastAsia="es-ES"/>
              </w:rPr>
              <w:t>Coefficient of variation</w:t>
            </w:r>
          </w:p>
        </w:tc>
      </w:tr>
      <w:tr w:rsidR="009261C0" w:rsidRPr="00A3609F" w14:paraId="2D6CF56F" w14:textId="77777777" w:rsidTr="007E19D4">
        <w:tc>
          <w:tcPr>
            <w:tcW w:w="0" w:type="auto"/>
            <w:tcBorders>
              <w:top w:val="nil"/>
              <w:left w:val="nil"/>
              <w:bottom w:val="nil"/>
              <w:right w:val="nil"/>
            </w:tcBorders>
            <w:vAlign w:val="center"/>
            <w:hideMark/>
          </w:tcPr>
          <w:p w14:paraId="149303A0"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week 8</w:t>
            </w:r>
          </w:p>
        </w:tc>
        <w:tc>
          <w:tcPr>
            <w:tcW w:w="0" w:type="auto"/>
            <w:tcBorders>
              <w:top w:val="nil"/>
              <w:left w:val="nil"/>
              <w:bottom w:val="nil"/>
              <w:right w:val="nil"/>
            </w:tcBorders>
            <w:vAlign w:val="center"/>
            <w:hideMark/>
          </w:tcPr>
          <w:p w14:paraId="66FED456"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924C9F6"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7364B4EF"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97E3B7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7ABC542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5F5CCE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0.075</w:t>
            </w:r>
          </w:p>
        </w:tc>
        <w:tc>
          <w:tcPr>
            <w:tcW w:w="0" w:type="auto"/>
            <w:tcBorders>
              <w:top w:val="nil"/>
              <w:left w:val="nil"/>
              <w:bottom w:val="nil"/>
              <w:right w:val="nil"/>
            </w:tcBorders>
            <w:vAlign w:val="center"/>
            <w:hideMark/>
          </w:tcPr>
          <w:p w14:paraId="61C2F80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FB15E1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0.082</w:t>
            </w:r>
          </w:p>
        </w:tc>
        <w:tc>
          <w:tcPr>
            <w:tcW w:w="0" w:type="auto"/>
            <w:tcBorders>
              <w:top w:val="nil"/>
              <w:left w:val="nil"/>
              <w:bottom w:val="nil"/>
              <w:right w:val="nil"/>
            </w:tcBorders>
            <w:vAlign w:val="center"/>
            <w:hideMark/>
          </w:tcPr>
          <w:p w14:paraId="22743BE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02ADDB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0.034</w:t>
            </w:r>
          </w:p>
        </w:tc>
        <w:tc>
          <w:tcPr>
            <w:tcW w:w="0" w:type="auto"/>
            <w:tcBorders>
              <w:top w:val="nil"/>
              <w:left w:val="nil"/>
              <w:bottom w:val="nil"/>
              <w:right w:val="nil"/>
            </w:tcBorders>
            <w:vAlign w:val="center"/>
            <w:hideMark/>
          </w:tcPr>
          <w:p w14:paraId="6787A1C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956E86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1.099</w:t>
            </w:r>
          </w:p>
        </w:tc>
        <w:tc>
          <w:tcPr>
            <w:tcW w:w="0" w:type="auto"/>
            <w:tcBorders>
              <w:top w:val="nil"/>
              <w:left w:val="nil"/>
              <w:bottom w:val="nil"/>
              <w:right w:val="nil"/>
            </w:tcBorders>
            <w:vAlign w:val="center"/>
            <w:hideMark/>
          </w:tcPr>
          <w:p w14:paraId="761F64D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7D755601" w14:textId="77777777" w:rsidTr="007E19D4">
        <w:tc>
          <w:tcPr>
            <w:tcW w:w="0" w:type="auto"/>
            <w:tcBorders>
              <w:top w:val="nil"/>
              <w:left w:val="nil"/>
              <w:bottom w:val="nil"/>
              <w:right w:val="nil"/>
            </w:tcBorders>
            <w:vAlign w:val="center"/>
            <w:hideMark/>
          </w:tcPr>
          <w:p w14:paraId="48106F14"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9821E3E"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FCF1168"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55DB974D"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4483A9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41FD8A7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6B6444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0.390</w:t>
            </w:r>
          </w:p>
        </w:tc>
        <w:tc>
          <w:tcPr>
            <w:tcW w:w="0" w:type="auto"/>
            <w:tcBorders>
              <w:top w:val="nil"/>
              <w:left w:val="nil"/>
              <w:bottom w:val="nil"/>
              <w:right w:val="nil"/>
            </w:tcBorders>
            <w:vAlign w:val="center"/>
            <w:hideMark/>
          </w:tcPr>
          <w:p w14:paraId="09676A5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F6629D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0.636</w:t>
            </w:r>
          </w:p>
        </w:tc>
        <w:tc>
          <w:tcPr>
            <w:tcW w:w="0" w:type="auto"/>
            <w:tcBorders>
              <w:top w:val="nil"/>
              <w:left w:val="nil"/>
              <w:bottom w:val="nil"/>
              <w:right w:val="nil"/>
            </w:tcBorders>
            <w:vAlign w:val="center"/>
            <w:hideMark/>
          </w:tcPr>
          <w:p w14:paraId="6D6038C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F7021E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0.260</w:t>
            </w:r>
          </w:p>
        </w:tc>
        <w:tc>
          <w:tcPr>
            <w:tcW w:w="0" w:type="auto"/>
            <w:tcBorders>
              <w:top w:val="nil"/>
              <w:left w:val="nil"/>
              <w:bottom w:val="nil"/>
              <w:right w:val="nil"/>
            </w:tcBorders>
            <w:vAlign w:val="center"/>
            <w:hideMark/>
          </w:tcPr>
          <w:p w14:paraId="2BD1B0D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67A606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1.629</w:t>
            </w:r>
          </w:p>
        </w:tc>
        <w:tc>
          <w:tcPr>
            <w:tcW w:w="0" w:type="auto"/>
            <w:tcBorders>
              <w:top w:val="nil"/>
              <w:left w:val="nil"/>
              <w:bottom w:val="nil"/>
              <w:right w:val="nil"/>
            </w:tcBorders>
            <w:vAlign w:val="center"/>
            <w:hideMark/>
          </w:tcPr>
          <w:p w14:paraId="3FD22F8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3F019443" w14:textId="77777777" w:rsidTr="007E19D4">
        <w:tc>
          <w:tcPr>
            <w:tcW w:w="0" w:type="auto"/>
            <w:tcBorders>
              <w:top w:val="nil"/>
              <w:left w:val="nil"/>
              <w:bottom w:val="nil"/>
              <w:right w:val="nil"/>
            </w:tcBorders>
            <w:vAlign w:val="center"/>
            <w:hideMark/>
          </w:tcPr>
          <w:p w14:paraId="19716505"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E3D1FA6"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9F3EAEF"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1D88C58B"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30F1C9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15C7D3E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E19D82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0.240</w:t>
            </w:r>
          </w:p>
        </w:tc>
        <w:tc>
          <w:tcPr>
            <w:tcW w:w="0" w:type="auto"/>
            <w:tcBorders>
              <w:top w:val="nil"/>
              <w:left w:val="nil"/>
              <w:bottom w:val="nil"/>
              <w:right w:val="nil"/>
            </w:tcBorders>
            <w:vAlign w:val="center"/>
            <w:hideMark/>
          </w:tcPr>
          <w:p w14:paraId="30854A3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47C42B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0.366</w:t>
            </w:r>
          </w:p>
        </w:tc>
        <w:tc>
          <w:tcPr>
            <w:tcW w:w="0" w:type="auto"/>
            <w:tcBorders>
              <w:top w:val="nil"/>
              <w:left w:val="nil"/>
              <w:bottom w:val="nil"/>
              <w:right w:val="nil"/>
            </w:tcBorders>
            <w:vAlign w:val="center"/>
            <w:hideMark/>
          </w:tcPr>
          <w:p w14:paraId="2E177B0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5D7CFF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0.149</w:t>
            </w:r>
          </w:p>
        </w:tc>
        <w:tc>
          <w:tcPr>
            <w:tcW w:w="0" w:type="auto"/>
            <w:tcBorders>
              <w:top w:val="nil"/>
              <w:left w:val="nil"/>
              <w:bottom w:val="nil"/>
              <w:right w:val="nil"/>
            </w:tcBorders>
            <w:vAlign w:val="center"/>
            <w:hideMark/>
          </w:tcPr>
          <w:p w14:paraId="53527D2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E97A75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1.525</w:t>
            </w:r>
          </w:p>
        </w:tc>
        <w:tc>
          <w:tcPr>
            <w:tcW w:w="0" w:type="auto"/>
            <w:tcBorders>
              <w:top w:val="nil"/>
              <w:left w:val="nil"/>
              <w:bottom w:val="nil"/>
              <w:right w:val="nil"/>
            </w:tcBorders>
            <w:vAlign w:val="center"/>
            <w:hideMark/>
          </w:tcPr>
          <w:p w14:paraId="3AFAB51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2561F21C" w14:textId="77777777" w:rsidTr="007E19D4">
        <w:tc>
          <w:tcPr>
            <w:tcW w:w="0" w:type="auto"/>
            <w:tcBorders>
              <w:top w:val="nil"/>
              <w:left w:val="nil"/>
              <w:bottom w:val="nil"/>
              <w:right w:val="nil"/>
            </w:tcBorders>
            <w:vAlign w:val="center"/>
            <w:hideMark/>
          </w:tcPr>
          <w:p w14:paraId="3AA19992"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648D3799"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89AE650"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09825CF6"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935114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33E578D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559769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0.030</w:t>
            </w:r>
          </w:p>
        </w:tc>
        <w:tc>
          <w:tcPr>
            <w:tcW w:w="0" w:type="auto"/>
            <w:tcBorders>
              <w:top w:val="nil"/>
              <w:left w:val="nil"/>
              <w:bottom w:val="nil"/>
              <w:right w:val="nil"/>
            </w:tcBorders>
            <w:vAlign w:val="center"/>
            <w:hideMark/>
          </w:tcPr>
          <w:p w14:paraId="5428732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ED74EC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0.030</w:t>
            </w:r>
          </w:p>
        </w:tc>
        <w:tc>
          <w:tcPr>
            <w:tcW w:w="0" w:type="auto"/>
            <w:tcBorders>
              <w:top w:val="nil"/>
              <w:left w:val="nil"/>
              <w:bottom w:val="nil"/>
              <w:right w:val="nil"/>
            </w:tcBorders>
            <w:vAlign w:val="center"/>
            <w:hideMark/>
          </w:tcPr>
          <w:p w14:paraId="14F6026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CC8238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0.015</w:t>
            </w:r>
          </w:p>
        </w:tc>
        <w:tc>
          <w:tcPr>
            <w:tcW w:w="0" w:type="auto"/>
            <w:tcBorders>
              <w:top w:val="nil"/>
              <w:left w:val="nil"/>
              <w:bottom w:val="nil"/>
              <w:right w:val="nil"/>
            </w:tcBorders>
            <w:vAlign w:val="center"/>
            <w:hideMark/>
          </w:tcPr>
          <w:p w14:paraId="6506FB2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7DD171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1.016</w:t>
            </w:r>
          </w:p>
        </w:tc>
        <w:tc>
          <w:tcPr>
            <w:tcW w:w="0" w:type="auto"/>
            <w:tcBorders>
              <w:top w:val="nil"/>
              <w:left w:val="nil"/>
              <w:bottom w:val="nil"/>
              <w:right w:val="nil"/>
            </w:tcBorders>
            <w:vAlign w:val="center"/>
            <w:hideMark/>
          </w:tcPr>
          <w:p w14:paraId="57CB17E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62456A05" w14:textId="77777777" w:rsidTr="007E19D4">
        <w:tc>
          <w:tcPr>
            <w:tcW w:w="0" w:type="auto"/>
            <w:tcBorders>
              <w:top w:val="nil"/>
              <w:left w:val="nil"/>
              <w:bottom w:val="nil"/>
              <w:right w:val="nil"/>
            </w:tcBorders>
            <w:vAlign w:val="center"/>
            <w:hideMark/>
          </w:tcPr>
          <w:p w14:paraId="3991DE2F"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week 10</w:t>
            </w:r>
          </w:p>
        </w:tc>
        <w:tc>
          <w:tcPr>
            <w:tcW w:w="0" w:type="auto"/>
            <w:tcBorders>
              <w:top w:val="nil"/>
              <w:left w:val="nil"/>
              <w:bottom w:val="nil"/>
              <w:right w:val="nil"/>
            </w:tcBorders>
            <w:vAlign w:val="center"/>
            <w:hideMark/>
          </w:tcPr>
          <w:p w14:paraId="2C058BE4"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BD462FF"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4DE6C12E"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88DD4F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642F8D4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F4BA13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4.946</w:t>
            </w:r>
          </w:p>
        </w:tc>
        <w:tc>
          <w:tcPr>
            <w:tcW w:w="0" w:type="auto"/>
            <w:tcBorders>
              <w:top w:val="nil"/>
              <w:left w:val="nil"/>
              <w:bottom w:val="nil"/>
              <w:right w:val="nil"/>
            </w:tcBorders>
            <w:vAlign w:val="center"/>
            <w:hideMark/>
          </w:tcPr>
          <w:p w14:paraId="63741B8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8503F5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3.845</w:t>
            </w:r>
          </w:p>
        </w:tc>
        <w:tc>
          <w:tcPr>
            <w:tcW w:w="0" w:type="auto"/>
            <w:tcBorders>
              <w:top w:val="nil"/>
              <w:left w:val="nil"/>
              <w:bottom w:val="nil"/>
              <w:right w:val="nil"/>
            </w:tcBorders>
            <w:vAlign w:val="center"/>
            <w:hideMark/>
          </w:tcPr>
          <w:p w14:paraId="399AC2C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12EFB9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1.570</w:t>
            </w:r>
          </w:p>
        </w:tc>
        <w:tc>
          <w:tcPr>
            <w:tcW w:w="0" w:type="auto"/>
            <w:tcBorders>
              <w:top w:val="nil"/>
              <w:left w:val="nil"/>
              <w:bottom w:val="nil"/>
              <w:right w:val="nil"/>
            </w:tcBorders>
            <w:vAlign w:val="center"/>
            <w:hideMark/>
          </w:tcPr>
          <w:p w14:paraId="0276017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423A5A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0.778</w:t>
            </w:r>
          </w:p>
        </w:tc>
        <w:tc>
          <w:tcPr>
            <w:tcW w:w="0" w:type="auto"/>
            <w:tcBorders>
              <w:top w:val="nil"/>
              <w:left w:val="nil"/>
              <w:bottom w:val="nil"/>
              <w:right w:val="nil"/>
            </w:tcBorders>
            <w:vAlign w:val="center"/>
            <w:hideMark/>
          </w:tcPr>
          <w:p w14:paraId="6697A29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7FF32426" w14:textId="77777777" w:rsidTr="007E19D4">
        <w:tc>
          <w:tcPr>
            <w:tcW w:w="0" w:type="auto"/>
            <w:tcBorders>
              <w:top w:val="nil"/>
              <w:left w:val="nil"/>
              <w:bottom w:val="nil"/>
              <w:right w:val="nil"/>
            </w:tcBorders>
            <w:vAlign w:val="center"/>
            <w:hideMark/>
          </w:tcPr>
          <w:p w14:paraId="1C012985"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73A295C6"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F58D18E"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4D6BFB8B"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29DDDD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3D551D0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546B8A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7.265</w:t>
            </w:r>
          </w:p>
        </w:tc>
        <w:tc>
          <w:tcPr>
            <w:tcW w:w="0" w:type="auto"/>
            <w:tcBorders>
              <w:top w:val="nil"/>
              <w:left w:val="nil"/>
              <w:bottom w:val="nil"/>
              <w:right w:val="nil"/>
            </w:tcBorders>
            <w:vAlign w:val="center"/>
            <w:hideMark/>
          </w:tcPr>
          <w:p w14:paraId="0525EFB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B697F7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8.765</w:t>
            </w:r>
          </w:p>
        </w:tc>
        <w:tc>
          <w:tcPr>
            <w:tcW w:w="0" w:type="auto"/>
            <w:tcBorders>
              <w:top w:val="nil"/>
              <w:left w:val="nil"/>
              <w:bottom w:val="nil"/>
              <w:right w:val="nil"/>
            </w:tcBorders>
            <w:vAlign w:val="center"/>
            <w:hideMark/>
          </w:tcPr>
          <w:p w14:paraId="394CD9F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452C6B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3.578</w:t>
            </w:r>
          </w:p>
        </w:tc>
        <w:tc>
          <w:tcPr>
            <w:tcW w:w="0" w:type="auto"/>
            <w:tcBorders>
              <w:top w:val="nil"/>
              <w:left w:val="nil"/>
              <w:bottom w:val="nil"/>
              <w:right w:val="nil"/>
            </w:tcBorders>
            <w:vAlign w:val="center"/>
            <w:hideMark/>
          </w:tcPr>
          <w:p w14:paraId="069E99E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D83D01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1.206</w:t>
            </w:r>
          </w:p>
        </w:tc>
        <w:tc>
          <w:tcPr>
            <w:tcW w:w="0" w:type="auto"/>
            <w:tcBorders>
              <w:top w:val="nil"/>
              <w:left w:val="nil"/>
              <w:bottom w:val="nil"/>
              <w:right w:val="nil"/>
            </w:tcBorders>
            <w:vAlign w:val="center"/>
            <w:hideMark/>
          </w:tcPr>
          <w:p w14:paraId="14D30F0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248E55B6" w14:textId="77777777" w:rsidTr="007E19D4">
        <w:tc>
          <w:tcPr>
            <w:tcW w:w="0" w:type="auto"/>
            <w:tcBorders>
              <w:top w:val="nil"/>
              <w:left w:val="nil"/>
              <w:bottom w:val="nil"/>
              <w:right w:val="nil"/>
            </w:tcBorders>
            <w:vAlign w:val="center"/>
            <w:hideMark/>
          </w:tcPr>
          <w:p w14:paraId="2DBECC01"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0BA50221"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44F7591"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075E23C1"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18E620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0E547CB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A424DB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0.721</w:t>
            </w:r>
          </w:p>
        </w:tc>
        <w:tc>
          <w:tcPr>
            <w:tcW w:w="0" w:type="auto"/>
            <w:tcBorders>
              <w:top w:val="nil"/>
              <w:left w:val="nil"/>
              <w:bottom w:val="nil"/>
              <w:right w:val="nil"/>
            </w:tcBorders>
            <w:vAlign w:val="center"/>
            <w:hideMark/>
          </w:tcPr>
          <w:p w14:paraId="3CABD39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6E0786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1.022</w:t>
            </w:r>
          </w:p>
        </w:tc>
        <w:tc>
          <w:tcPr>
            <w:tcW w:w="0" w:type="auto"/>
            <w:tcBorders>
              <w:top w:val="nil"/>
              <w:left w:val="nil"/>
              <w:bottom w:val="nil"/>
              <w:right w:val="nil"/>
            </w:tcBorders>
            <w:vAlign w:val="center"/>
            <w:hideMark/>
          </w:tcPr>
          <w:p w14:paraId="0C78FF7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8EE04A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0.417</w:t>
            </w:r>
          </w:p>
        </w:tc>
        <w:tc>
          <w:tcPr>
            <w:tcW w:w="0" w:type="auto"/>
            <w:tcBorders>
              <w:top w:val="nil"/>
              <w:left w:val="nil"/>
              <w:bottom w:val="nil"/>
              <w:right w:val="nil"/>
            </w:tcBorders>
            <w:vAlign w:val="center"/>
            <w:hideMark/>
          </w:tcPr>
          <w:p w14:paraId="7E343A0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4A2F87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1.418</w:t>
            </w:r>
          </w:p>
        </w:tc>
        <w:tc>
          <w:tcPr>
            <w:tcW w:w="0" w:type="auto"/>
            <w:tcBorders>
              <w:top w:val="nil"/>
              <w:left w:val="nil"/>
              <w:bottom w:val="nil"/>
              <w:right w:val="nil"/>
            </w:tcBorders>
            <w:vAlign w:val="center"/>
            <w:hideMark/>
          </w:tcPr>
          <w:p w14:paraId="6B22792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2754D6EA" w14:textId="77777777" w:rsidTr="007E19D4">
        <w:tc>
          <w:tcPr>
            <w:tcW w:w="0" w:type="auto"/>
            <w:tcBorders>
              <w:top w:val="nil"/>
              <w:left w:val="nil"/>
              <w:bottom w:val="nil"/>
              <w:right w:val="nil"/>
            </w:tcBorders>
            <w:vAlign w:val="center"/>
            <w:hideMark/>
          </w:tcPr>
          <w:p w14:paraId="037AF5DF"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1F371BD1"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032F66C"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5E244A60"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146271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6B5715A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6E7195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0.759</w:t>
            </w:r>
          </w:p>
        </w:tc>
        <w:tc>
          <w:tcPr>
            <w:tcW w:w="0" w:type="auto"/>
            <w:tcBorders>
              <w:top w:val="nil"/>
              <w:left w:val="nil"/>
              <w:bottom w:val="nil"/>
              <w:right w:val="nil"/>
            </w:tcBorders>
            <w:vAlign w:val="center"/>
            <w:hideMark/>
          </w:tcPr>
          <w:p w14:paraId="6AC2E3F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1B01C4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1.164</w:t>
            </w:r>
          </w:p>
        </w:tc>
        <w:tc>
          <w:tcPr>
            <w:tcW w:w="0" w:type="auto"/>
            <w:tcBorders>
              <w:top w:val="nil"/>
              <w:left w:val="nil"/>
              <w:bottom w:val="nil"/>
              <w:right w:val="nil"/>
            </w:tcBorders>
            <w:vAlign w:val="center"/>
            <w:hideMark/>
          </w:tcPr>
          <w:p w14:paraId="6C3A77D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A14199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0.582</w:t>
            </w:r>
          </w:p>
        </w:tc>
        <w:tc>
          <w:tcPr>
            <w:tcW w:w="0" w:type="auto"/>
            <w:tcBorders>
              <w:top w:val="nil"/>
              <w:left w:val="nil"/>
              <w:bottom w:val="nil"/>
              <w:right w:val="nil"/>
            </w:tcBorders>
            <w:vAlign w:val="center"/>
            <w:hideMark/>
          </w:tcPr>
          <w:p w14:paraId="1027AA5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CBE098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1.535</w:t>
            </w:r>
          </w:p>
        </w:tc>
        <w:tc>
          <w:tcPr>
            <w:tcW w:w="0" w:type="auto"/>
            <w:tcBorders>
              <w:top w:val="nil"/>
              <w:left w:val="nil"/>
              <w:bottom w:val="nil"/>
              <w:right w:val="nil"/>
            </w:tcBorders>
            <w:vAlign w:val="center"/>
            <w:hideMark/>
          </w:tcPr>
          <w:p w14:paraId="0180053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6D31E6A5" w14:textId="77777777" w:rsidTr="007E19D4">
        <w:tc>
          <w:tcPr>
            <w:tcW w:w="0" w:type="auto"/>
            <w:tcBorders>
              <w:top w:val="nil"/>
              <w:left w:val="nil"/>
              <w:bottom w:val="nil"/>
              <w:right w:val="nil"/>
            </w:tcBorders>
            <w:vAlign w:val="center"/>
            <w:hideMark/>
          </w:tcPr>
          <w:p w14:paraId="7CC590DE"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week 12</w:t>
            </w:r>
          </w:p>
        </w:tc>
        <w:tc>
          <w:tcPr>
            <w:tcW w:w="0" w:type="auto"/>
            <w:tcBorders>
              <w:top w:val="nil"/>
              <w:left w:val="nil"/>
              <w:bottom w:val="nil"/>
              <w:right w:val="nil"/>
            </w:tcBorders>
            <w:vAlign w:val="center"/>
            <w:hideMark/>
          </w:tcPr>
          <w:p w14:paraId="42539364"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B4A336E"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08A3BD1C"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C9A8CD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201A4B1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BBF2DD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5.698</w:t>
            </w:r>
          </w:p>
        </w:tc>
        <w:tc>
          <w:tcPr>
            <w:tcW w:w="0" w:type="auto"/>
            <w:tcBorders>
              <w:top w:val="nil"/>
              <w:left w:val="nil"/>
              <w:bottom w:val="nil"/>
              <w:right w:val="nil"/>
            </w:tcBorders>
            <w:vAlign w:val="center"/>
            <w:hideMark/>
          </w:tcPr>
          <w:p w14:paraId="604E2FF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2935D5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4.109</w:t>
            </w:r>
          </w:p>
        </w:tc>
        <w:tc>
          <w:tcPr>
            <w:tcW w:w="0" w:type="auto"/>
            <w:tcBorders>
              <w:top w:val="nil"/>
              <w:left w:val="nil"/>
              <w:bottom w:val="nil"/>
              <w:right w:val="nil"/>
            </w:tcBorders>
            <w:vAlign w:val="center"/>
            <w:hideMark/>
          </w:tcPr>
          <w:p w14:paraId="5A71A6E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51DD2C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1.677</w:t>
            </w:r>
          </w:p>
        </w:tc>
        <w:tc>
          <w:tcPr>
            <w:tcW w:w="0" w:type="auto"/>
            <w:tcBorders>
              <w:top w:val="nil"/>
              <w:left w:val="nil"/>
              <w:bottom w:val="nil"/>
              <w:right w:val="nil"/>
            </w:tcBorders>
            <w:vAlign w:val="center"/>
            <w:hideMark/>
          </w:tcPr>
          <w:p w14:paraId="742AE4D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9AFFA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0.721</w:t>
            </w:r>
          </w:p>
        </w:tc>
        <w:tc>
          <w:tcPr>
            <w:tcW w:w="0" w:type="auto"/>
            <w:tcBorders>
              <w:top w:val="nil"/>
              <w:left w:val="nil"/>
              <w:bottom w:val="nil"/>
              <w:right w:val="nil"/>
            </w:tcBorders>
            <w:vAlign w:val="center"/>
            <w:hideMark/>
          </w:tcPr>
          <w:p w14:paraId="514F606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2216DF0E" w14:textId="77777777" w:rsidTr="007E19D4">
        <w:tc>
          <w:tcPr>
            <w:tcW w:w="0" w:type="auto"/>
            <w:tcBorders>
              <w:top w:val="nil"/>
              <w:left w:val="nil"/>
              <w:bottom w:val="nil"/>
              <w:right w:val="nil"/>
            </w:tcBorders>
            <w:vAlign w:val="center"/>
            <w:hideMark/>
          </w:tcPr>
          <w:p w14:paraId="2E6A2D9F"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A64F2F8"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DC9F580"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57DC0E6F"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022977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3A1A3DC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BBFB01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42.076</w:t>
            </w:r>
          </w:p>
        </w:tc>
        <w:tc>
          <w:tcPr>
            <w:tcW w:w="0" w:type="auto"/>
            <w:tcBorders>
              <w:top w:val="nil"/>
              <w:left w:val="nil"/>
              <w:bottom w:val="nil"/>
              <w:right w:val="nil"/>
            </w:tcBorders>
            <w:vAlign w:val="center"/>
            <w:hideMark/>
          </w:tcPr>
          <w:p w14:paraId="23D324D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638442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23.830</w:t>
            </w:r>
          </w:p>
        </w:tc>
        <w:tc>
          <w:tcPr>
            <w:tcW w:w="0" w:type="auto"/>
            <w:tcBorders>
              <w:top w:val="nil"/>
              <w:left w:val="nil"/>
              <w:bottom w:val="nil"/>
              <w:right w:val="nil"/>
            </w:tcBorders>
            <w:vAlign w:val="center"/>
            <w:hideMark/>
          </w:tcPr>
          <w:p w14:paraId="679CAC3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088B96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9.728</w:t>
            </w:r>
          </w:p>
        </w:tc>
        <w:tc>
          <w:tcPr>
            <w:tcW w:w="0" w:type="auto"/>
            <w:tcBorders>
              <w:top w:val="nil"/>
              <w:left w:val="nil"/>
              <w:bottom w:val="nil"/>
              <w:right w:val="nil"/>
            </w:tcBorders>
            <w:vAlign w:val="center"/>
            <w:hideMark/>
          </w:tcPr>
          <w:p w14:paraId="183CF64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5C0466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0.566</w:t>
            </w:r>
          </w:p>
        </w:tc>
        <w:tc>
          <w:tcPr>
            <w:tcW w:w="0" w:type="auto"/>
            <w:tcBorders>
              <w:top w:val="nil"/>
              <w:left w:val="nil"/>
              <w:bottom w:val="nil"/>
              <w:right w:val="nil"/>
            </w:tcBorders>
            <w:vAlign w:val="center"/>
            <w:hideMark/>
          </w:tcPr>
          <w:p w14:paraId="6C58B4A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09BB5399" w14:textId="77777777" w:rsidTr="007E19D4">
        <w:tc>
          <w:tcPr>
            <w:tcW w:w="0" w:type="auto"/>
            <w:tcBorders>
              <w:top w:val="nil"/>
              <w:left w:val="nil"/>
              <w:bottom w:val="nil"/>
              <w:right w:val="nil"/>
            </w:tcBorders>
            <w:vAlign w:val="center"/>
            <w:hideMark/>
          </w:tcPr>
          <w:p w14:paraId="6277F014"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E4220DC"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9F3597C"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47BCC16A"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F54D16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63F24AB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129105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0.140</w:t>
            </w:r>
          </w:p>
        </w:tc>
        <w:tc>
          <w:tcPr>
            <w:tcW w:w="0" w:type="auto"/>
            <w:tcBorders>
              <w:top w:val="nil"/>
              <w:left w:val="nil"/>
              <w:bottom w:val="nil"/>
              <w:right w:val="nil"/>
            </w:tcBorders>
            <w:vAlign w:val="center"/>
            <w:hideMark/>
          </w:tcPr>
          <w:p w14:paraId="7F64CCD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913623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0.230</w:t>
            </w:r>
          </w:p>
        </w:tc>
        <w:tc>
          <w:tcPr>
            <w:tcW w:w="0" w:type="auto"/>
            <w:tcBorders>
              <w:top w:val="nil"/>
              <w:left w:val="nil"/>
              <w:bottom w:val="nil"/>
              <w:right w:val="nil"/>
            </w:tcBorders>
            <w:vAlign w:val="center"/>
            <w:hideMark/>
          </w:tcPr>
          <w:p w14:paraId="57ACD46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C5CE17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0.094</w:t>
            </w:r>
          </w:p>
        </w:tc>
        <w:tc>
          <w:tcPr>
            <w:tcW w:w="0" w:type="auto"/>
            <w:tcBorders>
              <w:top w:val="nil"/>
              <w:left w:val="nil"/>
              <w:bottom w:val="nil"/>
              <w:right w:val="nil"/>
            </w:tcBorders>
            <w:vAlign w:val="center"/>
            <w:hideMark/>
          </w:tcPr>
          <w:p w14:paraId="324148C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D90B70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1.643</w:t>
            </w:r>
          </w:p>
        </w:tc>
        <w:tc>
          <w:tcPr>
            <w:tcW w:w="0" w:type="auto"/>
            <w:tcBorders>
              <w:top w:val="nil"/>
              <w:left w:val="nil"/>
              <w:bottom w:val="nil"/>
              <w:right w:val="nil"/>
            </w:tcBorders>
            <w:vAlign w:val="center"/>
            <w:hideMark/>
          </w:tcPr>
          <w:p w14:paraId="03CA7A1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6966AD7C" w14:textId="77777777" w:rsidTr="007E19D4">
        <w:tc>
          <w:tcPr>
            <w:tcW w:w="0" w:type="auto"/>
            <w:tcBorders>
              <w:top w:val="nil"/>
              <w:left w:val="nil"/>
              <w:bottom w:val="nil"/>
              <w:right w:val="nil"/>
            </w:tcBorders>
            <w:vAlign w:val="center"/>
            <w:hideMark/>
          </w:tcPr>
          <w:p w14:paraId="7282DCBC"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15B156E"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E51DDA0"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65B01399"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EECB19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4964F17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0909B1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0.375</w:t>
            </w:r>
          </w:p>
        </w:tc>
        <w:tc>
          <w:tcPr>
            <w:tcW w:w="0" w:type="auto"/>
            <w:tcBorders>
              <w:top w:val="nil"/>
              <w:left w:val="nil"/>
              <w:bottom w:val="nil"/>
              <w:right w:val="nil"/>
            </w:tcBorders>
            <w:vAlign w:val="center"/>
            <w:hideMark/>
          </w:tcPr>
          <w:p w14:paraId="069A2C3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39F7E5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0.519</w:t>
            </w:r>
          </w:p>
        </w:tc>
        <w:tc>
          <w:tcPr>
            <w:tcW w:w="0" w:type="auto"/>
            <w:tcBorders>
              <w:top w:val="nil"/>
              <w:left w:val="nil"/>
              <w:bottom w:val="nil"/>
              <w:right w:val="nil"/>
            </w:tcBorders>
            <w:vAlign w:val="center"/>
            <w:hideMark/>
          </w:tcPr>
          <w:p w14:paraId="78BFB90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E2B574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0.259</w:t>
            </w:r>
          </w:p>
        </w:tc>
        <w:tc>
          <w:tcPr>
            <w:tcW w:w="0" w:type="auto"/>
            <w:tcBorders>
              <w:top w:val="nil"/>
              <w:left w:val="nil"/>
              <w:bottom w:val="nil"/>
              <w:right w:val="nil"/>
            </w:tcBorders>
            <w:vAlign w:val="center"/>
            <w:hideMark/>
          </w:tcPr>
          <w:p w14:paraId="0FC02F1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ADC29C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1.384</w:t>
            </w:r>
          </w:p>
        </w:tc>
        <w:tc>
          <w:tcPr>
            <w:tcW w:w="0" w:type="auto"/>
            <w:tcBorders>
              <w:top w:val="nil"/>
              <w:left w:val="nil"/>
              <w:bottom w:val="nil"/>
              <w:right w:val="nil"/>
            </w:tcBorders>
            <w:vAlign w:val="center"/>
            <w:hideMark/>
          </w:tcPr>
          <w:p w14:paraId="4B3C752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5F583CFE" w14:textId="77777777" w:rsidTr="007E19D4">
        <w:tc>
          <w:tcPr>
            <w:tcW w:w="0" w:type="auto"/>
            <w:tcBorders>
              <w:top w:val="nil"/>
              <w:left w:val="nil"/>
              <w:bottom w:val="nil"/>
              <w:right w:val="nil"/>
            </w:tcBorders>
            <w:vAlign w:val="center"/>
            <w:hideMark/>
          </w:tcPr>
          <w:p w14:paraId="231A4BDC"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week 14</w:t>
            </w:r>
          </w:p>
        </w:tc>
        <w:tc>
          <w:tcPr>
            <w:tcW w:w="0" w:type="auto"/>
            <w:tcBorders>
              <w:top w:val="nil"/>
              <w:left w:val="nil"/>
              <w:bottom w:val="nil"/>
              <w:right w:val="nil"/>
            </w:tcBorders>
            <w:vAlign w:val="center"/>
            <w:hideMark/>
          </w:tcPr>
          <w:p w14:paraId="42DCFA48"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27A8150"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20BF95C8"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0E1EA9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25F1103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0745A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28.947</w:t>
            </w:r>
          </w:p>
        </w:tc>
        <w:tc>
          <w:tcPr>
            <w:tcW w:w="0" w:type="auto"/>
            <w:tcBorders>
              <w:top w:val="nil"/>
              <w:left w:val="nil"/>
              <w:bottom w:val="nil"/>
              <w:right w:val="nil"/>
            </w:tcBorders>
            <w:vAlign w:val="center"/>
            <w:hideMark/>
          </w:tcPr>
          <w:p w14:paraId="2E08CCD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2A67F5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16.925</w:t>
            </w:r>
          </w:p>
        </w:tc>
        <w:tc>
          <w:tcPr>
            <w:tcW w:w="0" w:type="auto"/>
            <w:tcBorders>
              <w:top w:val="nil"/>
              <w:left w:val="nil"/>
              <w:bottom w:val="nil"/>
              <w:right w:val="nil"/>
            </w:tcBorders>
            <w:vAlign w:val="center"/>
            <w:hideMark/>
          </w:tcPr>
          <w:p w14:paraId="6870DBE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CB184A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6.910</w:t>
            </w:r>
          </w:p>
        </w:tc>
        <w:tc>
          <w:tcPr>
            <w:tcW w:w="0" w:type="auto"/>
            <w:tcBorders>
              <w:top w:val="nil"/>
              <w:left w:val="nil"/>
              <w:bottom w:val="nil"/>
              <w:right w:val="nil"/>
            </w:tcBorders>
            <w:vAlign w:val="center"/>
            <w:hideMark/>
          </w:tcPr>
          <w:p w14:paraId="513A38E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1A4FD8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0.585</w:t>
            </w:r>
          </w:p>
        </w:tc>
        <w:tc>
          <w:tcPr>
            <w:tcW w:w="0" w:type="auto"/>
            <w:tcBorders>
              <w:top w:val="nil"/>
              <w:left w:val="nil"/>
              <w:bottom w:val="nil"/>
              <w:right w:val="nil"/>
            </w:tcBorders>
            <w:vAlign w:val="center"/>
            <w:hideMark/>
          </w:tcPr>
          <w:p w14:paraId="719E420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53A01F94" w14:textId="77777777" w:rsidTr="007E19D4">
        <w:tc>
          <w:tcPr>
            <w:tcW w:w="0" w:type="auto"/>
            <w:tcBorders>
              <w:top w:val="nil"/>
              <w:left w:val="nil"/>
              <w:bottom w:val="nil"/>
              <w:right w:val="nil"/>
            </w:tcBorders>
            <w:vAlign w:val="center"/>
            <w:hideMark/>
          </w:tcPr>
          <w:p w14:paraId="5728C180"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5194348C"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DB0D206"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437610FD"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376877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153793A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27788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68.733</w:t>
            </w:r>
          </w:p>
        </w:tc>
        <w:tc>
          <w:tcPr>
            <w:tcW w:w="0" w:type="auto"/>
            <w:tcBorders>
              <w:top w:val="nil"/>
              <w:left w:val="nil"/>
              <w:bottom w:val="nil"/>
              <w:right w:val="nil"/>
            </w:tcBorders>
            <w:vAlign w:val="center"/>
            <w:hideMark/>
          </w:tcPr>
          <w:p w14:paraId="5548BD1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28B35E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67.517</w:t>
            </w:r>
          </w:p>
        </w:tc>
        <w:tc>
          <w:tcPr>
            <w:tcW w:w="0" w:type="auto"/>
            <w:tcBorders>
              <w:top w:val="nil"/>
              <w:left w:val="nil"/>
              <w:bottom w:val="nil"/>
              <w:right w:val="nil"/>
            </w:tcBorders>
            <w:vAlign w:val="center"/>
            <w:hideMark/>
          </w:tcPr>
          <w:p w14:paraId="11A0E11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3E85CA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27.564</w:t>
            </w:r>
          </w:p>
        </w:tc>
        <w:tc>
          <w:tcPr>
            <w:tcW w:w="0" w:type="auto"/>
            <w:tcBorders>
              <w:top w:val="nil"/>
              <w:left w:val="nil"/>
              <w:bottom w:val="nil"/>
              <w:right w:val="nil"/>
            </w:tcBorders>
            <w:vAlign w:val="center"/>
            <w:hideMark/>
          </w:tcPr>
          <w:p w14:paraId="6437C4C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A84795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0.982</w:t>
            </w:r>
          </w:p>
        </w:tc>
        <w:tc>
          <w:tcPr>
            <w:tcW w:w="0" w:type="auto"/>
            <w:tcBorders>
              <w:top w:val="nil"/>
              <w:left w:val="nil"/>
              <w:bottom w:val="nil"/>
              <w:right w:val="nil"/>
            </w:tcBorders>
            <w:vAlign w:val="center"/>
            <w:hideMark/>
          </w:tcPr>
          <w:p w14:paraId="572F7B7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2D68A913" w14:textId="77777777" w:rsidTr="007E19D4">
        <w:tc>
          <w:tcPr>
            <w:tcW w:w="0" w:type="auto"/>
            <w:tcBorders>
              <w:top w:val="nil"/>
              <w:left w:val="nil"/>
              <w:bottom w:val="nil"/>
              <w:right w:val="nil"/>
            </w:tcBorders>
            <w:vAlign w:val="center"/>
            <w:hideMark/>
          </w:tcPr>
          <w:p w14:paraId="40E85612"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C3ABA32"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405D8D8"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4F5CB7A6"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2FE4BB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60AAD72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50E190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0.160</w:t>
            </w:r>
          </w:p>
        </w:tc>
        <w:tc>
          <w:tcPr>
            <w:tcW w:w="0" w:type="auto"/>
            <w:tcBorders>
              <w:top w:val="nil"/>
              <w:left w:val="nil"/>
              <w:bottom w:val="nil"/>
              <w:right w:val="nil"/>
            </w:tcBorders>
            <w:vAlign w:val="center"/>
            <w:hideMark/>
          </w:tcPr>
          <w:p w14:paraId="58E27A5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37CCEF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0.153</w:t>
            </w:r>
          </w:p>
        </w:tc>
        <w:tc>
          <w:tcPr>
            <w:tcW w:w="0" w:type="auto"/>
            <w:tcBorders>
              <w:top w:val="nil"/>
              <w:left w:val="nil"/>
              <w:bottom w:val="nil"/>
              <w:right w:val="nil"/>
            </w:tcBorders>
            <w:vAlign w:val="center"/>
            <w:hideMark/>
          </w:tcPr>
          <w:p w14:paraId="661CFF1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173375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0.062</w:t>
            </w:r>
          </w:p>
        </w:tc>
        <w:tc>
          <w:tcPr>
            <w:tcW w:w="0" w:type="auto"/>
            <w:tcBorders>
              <w:top w:val="nil"/>
              <w:left w:val="nil"/>
              <w:bottom w:val="nil"/>
              <w:right w:val="nil"/>
            </w:tcBorders>
            <w:vAlign w:val="center"/>
            <w:hideMark/>
          </w:tcPr>
          <w:p w14:paraId="3C1F464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6D899D8"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0.952</w:t>
            </w:r>
          </w:p>
        </w:tc>
        <w:tc>
          <w:tcPr>
            <w:tcW w:w="0" w:type="auto"/>
            <w:tcBorders>
              <w:top w:val="nil"/>
              <w:left w:val="nil"/>
              <w:bottom w:val="nil"/>
              <w:right w:val="nil"/>
            </w:tcBorders>
            <w:vAlign w:val="center"/>
            <w:hideMark/>
          </w:tcPr>
          <w:p w14:paraId="0E92B64F"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4FBC3A85" w14:textId="77777777" w:rsidTr="007E19D4">
        <w:tc>
          <w:tcPr>
            <w:tcW w:w="0" w:type="auto"/>
            <w:tcBorders>
              <w:top w:val="nil"/>
              <w:left w:val="nil"/>
              <w:bottom w:val="nil"/>
              <w:right w:val="nil"/>
            </w:tcBorders>
            <w:vAlign w:val="center"/>
            <w:hideMark/>
          </w:tcPr>
          <w:p w14:paraId="232B1678"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4709C7E5"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D466EE9"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7219CEDC"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321D58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240A06A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FADB6E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0.179</w:t>
            </w:r>
          </w:p>
        </w:tc>
        <w:tc>
          <w:tcPr>
            <w:tcW w:w="0" w:type="auto"/>
            <w:tcBorders>
              <w:top w:val="nil"/>
              <w:left w:val="nil"/>
              <w:bottom w:val="nil"/>
              <w:right w:val="nil"/>
            </w:tcBorders>
            <w:vAlign w:val="center"/>
            <w:hideMark/>
          </w:tcPr>
          <w:p w14:paraId="364F1A1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3A860C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0.326</w:t>
            </w:r>
          </w:p>
        </w:tc>
        <w:tc>
          <w:tcPr>
            <w:tcW w:w="0" w:type="auto"/>
            <w:tcBorders>
              <w:top w:val="nil"/>
              <w:left w:val="nil"/>
              <w:bottom w:val="nil"/>
              <w:right w:val="nil"/>
            </w:tcBorders>
            <w:vAlign w:val="center"/>
            <w:hideMark/>
          </w:tcPr>
          <w:p w14:paraId="3D94D71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20CFE7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0.163</w:t>
            </w:r>
          </w:p>
        </w:tc>
        <w:tc>
          <w:tcPr>
            <w:tcW w:w="0" w:type="auto"/>
            <w:tcBorders>
              <w:top w:val="nil"/>
              <w:left w:val="nil"/>
              <w:bottom w:val="nil"/>
              <w:right w:val="nil"/>
            </w:tcBorders>
            <w:vAlign w:val="center"/>
            <w:hideMark/>
          </w:tcPr>
          <w:p w14:paraId="178B55B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7649E6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1.819</w:t>
            </w:r>
          </w:p>
        </w:tc>
        <w:tc>
          <w:tcPr>
            <w:tcW w:w="0" w:type="auto"/>
            <w:tcBorders>
              <w:top w:val="nil"/>
              <w:left w:val="nil"/>
              <w:bottom w:val="nil"/>
              <w:right w:val="nil"/>
            </w:tcBorders>
            <w:vAlign w:val="center"/>
            <w:hideMark/>
          </w:tcPr>
          <w:p w14:paraId="4A1CD8F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48940738" w14:textId="77777777" w:rsidTr="007E19D4">
        <w:tc>
          <w:tcPr>
            <w:tcW w:w="0" w:type="auto"/>
            <w:tcBorders>
              <w:top w:val="nil"/>
              <w:left w:val="nil"/>
              <w:bottom w:val="nil"/>
              <w:right w:val="nil"/>
            </w:tcBorders>
            <w:vAlign w:val="center"/>
            <w:hideMark/>
          </w:tcPr>
          <w:p w14:paraId="031DE267"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week 16</w:t>
            </w:r>
          </w:p>
        </w:tc>
        <w:tc>
          <w:tcPr>
            <w:tcW w:w="0" w:type="auto"/>
            <w:tcBorders>
              <w:top w:val="nil"/>
              <w:left w:val="nil"/>
              <w:bottom w:val="nil"/>
              <w:right w:val="nil"/>
            </w:tcBorders>
            <w:vAlign w:val="center"/>
            <w:hideMark/>
          </w:tcPr>
          <w:p w14:paraId="2C8333FB"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06DDE41"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51F44BB0"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408843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75C6082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934956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41.716</w:t>
            </w:r>
          </w:p>
        </w:tc>
        <w:tc>
          <w:tcPr>
            <w:tcW w:w="0" w:type="auto"/>
            <w:tcBorders>
              <w:top w:val="nil"/>
              <w:left w:val="nil"/>
              <w:bottom w:val="nil"/>
              <w:right w:val="nil"/>
            </w:tcBorders>
            <w:vAlign w:val="center"/>
            <w:hideMark/>
          </w:tcPr>
          <w:p w14:paraId="0153FEA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E5D715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24.099</w:t>
            </w:r>
          </w:p>
        </w:tc>
        <w:tc>
          <w:tcPr>
            <w:tcW w:w="0" w:type="auto"/>
            <w:tcBorders>
              <w:top w:val="nil"/>
              <w:left w:val="nil"/>
              <w:bottom w:val="nil"/>
              <w:right w:val="nil"/>
            </w:tcBorders>
            <w:vAlign w:val="center"/>
            <w:hideMark/>
          </w:tcPr>
          <w:p w14:paraId="31D2B9B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C2B073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9.838</w:t>
            </w:r>
          </w:p>
        </w:tc>
        <w:tc>
          <w:tcPr>
            <w:tcW w:w="0" w:type="auto"/>
            <w:tcBorders>
              <w:top w:val="nil"/>
              <w:left w:val="nil"/>
              <w:bottom w:val="nil"/>
              <w:right w:val="nil"/>
            </w:tcBorders>
            <w:vAlign w:val="center"/>
            <w:hideMark/>
          </w:tcPr>
          <w:p w14:paraId="19C0C2D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2FFFCCA"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0.578</w:t>
            </w:r>
          </w:p>
        </w:tc>
        <w:tc>
          <w:tcPr>
            <w:tcW w:w="0" w:type="auto"/>
            <w:tcBorders>
              <w:top w:val="nil"/>
              <w:left w:val="nil"/>
              <w:bottom w:val="nil"/>
              <w:right w:val="nil"/>
            </w:tcBorders>
            <w:vAlign w:val="center"/>
            <w:hideMark/>
          </w:tcPr>
          <w:p w14:paraId="019191D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6788A461" w14:textId="77777777" w:rsidTr="007E19D4">
        <w:tc>
          <w:tcPr>
            <w:tcW w:w="0" w:type="auto"/>
            <w:tcBorders>
              <w:top w:val="nil"/>
              <w:left w:val="nil"/>
              <w:bottom w:val="nil"/>
              <w:right w:val="nil"/>
            </w:tcBorders>
            <w:vAlign w:val="center"/>
            <w:hideMark/>
          </w:tcPr>
          <w:p w14:paraId="71E5D8B1"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19B6F271"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A7FA182"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2D63C481"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7765F4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43312B0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04BE93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35.382</w:t>
            </w:r>
          </w:p>
        </w:tc>
        <w:tc>
          <w:tcPr>
            <w:tcW w:w="0" w:type="auto"/>
            <w:tcBorders>
              <w:top w:val="nil"/>
              <w:left w:val="nil"/>
              <w:bottom w:val="nil"/>
              <w:right w:val="nil"/>
            </w:tcBorders>
            <w:vAlign w:val="center"/>
            <w:hideMark/>
          </w:tcPr>
          <w:p w14:paraId="0B3F5FC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94A9CA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20.177</w:t>
            </w:r>
          </w:p>
        </w:tc>
        <w:tc>
          <w:tcPr>
            <w:tcW w:w="0" w:type="auto"/>
            <w:tcBorders>
              <w:top w:val="nil"/>
              <w:left w:val="nil"/>
              <w:bottom w:val="nil"/>
              <w:right w:val="nil"/>
            </w:tcBorders>
            <w:vAlign w:val="center"/>
            <w:hideMark/>
          </w:tcPr>
          <w:p w14:paraId="5E697FF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5E64B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8.237</w:t>
            </w:r>
          </w:p>
        </w:tc>
        <w:tc>
          <w:tcPr>
            <w:tcW w:w="0" w:type="auto"/>
            <w:tcBorders>
              <w:top w:val="nil"/>
              <w:left w:val="nil"/>
              <w:bottom w:val="nil"/>
              <w:right w:val="nil"/>
            </w:tcBorders>
            <w:vAlign w:val="center"/>
            <w:hideMark/>
          </w:tcPr>
          <w:p w14:paraId="104ABFB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EA96CEE"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0.570</w:t>
            </w:r>
          </w:p>
        </w:tc>
        <w:tc>
          <w:tcPr>
            <w:tcW w:w="0" w:type="auto"/>
            <w:tcBorders>
              <w:top w:val="nil"/>
              <w:left w:val="nil"/>
              <w:bottom w:val="nil"/>
              <w:right w:val="nil"/>
            </w:tcBorders>
            <w:vAlign w:val="center"/>
            <w:hideMark/>
          </w:tcPr>
          <w:p w14:paraId="64C4A8B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2C9DE6B3" w14:textId="77777777" w:rsidTr="007E19D4">
        <w:tc>
          <w:tcPr>
            <w:tcW w:w="0" w:type="auto"/>
            <w:tcBorders>
              <w:top w:val="nil"/>
              <w:left w:val="nil"/>
              <w:bottom w:val="nil"/>
              <w:right w:val="nil"/>
            </w:tcBorders>
            <w:vAlign w:val="center"/>
            <w:hideMark/>
          </w:tcPr>
          <w:p w14:paraId="001716C7"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10D1753C"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E8B4754"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503C426A"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2CCCF8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76421A8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101690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0.069</w:t>
            </w:r>
          </w:p>
        </w:tc>
        <w:tc>
          <w:tcPr>
            <w:tcW w:w="0" w:type="auto"/>
            <w:tcBorders>
              <w:top w:val="nil"/>
              <w:left w:val="nil"/>
              <w:bottom w:val="nil"/>
              <w:right w:val="nil"/>
            </w:tcBorders>
            <w:vAlign w:val="center"/>
            <w:hideMark/>
          </w:tcPr>
          <w:p w14:paraId="0E26978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9908835"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0.093</w:t>
            </w:r>
          </w:p>
        </w:tc>
        <w:tc>
          <w:tcPr>
            <w:tcW w:w="0" w:type="auto"/>
            <w:tcBorders>
              <w:top w:val="nil"/>
              <w:left w:val="nil"/>
              <w:bottom w:val="nil"/>
              <w:right w:val="nil"/>
            </w:tcBorders>
            <w:vAlign w:val="center"/>
            <w:hideMark/>
          </w:tcPr>
          <w:p w14:paraId="38C65BD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BEAB1D"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0.038</w:t>
            </w:r>
          </w:p>
        </w:tc>
        <w:tc>
          <w:tcPr>
            <w:tcW w:w="0" w:type="auto"/>
            <w:tcBorders>
              <w:top w:val="nil"/>
              <w:left w:val="nil"/>
              <w:bottom w:val="nil"/>
              <w:right w:val="nil"/>
            </w:tcBorders>
            <w:vAlign w:val="center"/>
            <w:hideMark/>
          </w:tcPr>
          <w:p w14:paraId="29B7471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72FD343"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1.345</w:t>
            </w:r>
          </w:p>
        </w:tc>
        <w:tc>
          <w:tcPr>
            <w:tcW w:w="0" w:type="auto"/>
            <w:tcBorders>
              <w:top w:val="nil"/>
              <w:left w:val="nil"/>
              <w:bottom w:val="nil"/>
              <w:right w:val="nil"/>
            </w:tcBorders>
            <w:vAlign w:val="center"/>
            <w:hideMark/>
          </w:tcPr>
          <w:p w14:paraId="00C8A63B"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30D1A9FD" w14:textId="77777777" w:rsidTr="007E19D4">
        <w:tc>
          <w:tcPr>
            <w:tcW w:w="0" w:type="auto"/>
            <w:tcBorders>
              <w:top w:val="nil"/>
              <w:left w:val="nil"/>
              <w:bottom w:val="nil"/>
              <w:right w:val="nil"/>
            </w:tcBorders>
            <w:vAlign w:val="center"/>
            <w:hideMark/>
          </w:tcPr>
          <w:p w14:paraId="40A81C86" w14:textId="77777777" w:rsidR="009261C0" w:rsidRPr="00A3609F" w:rsidRDefault="009261C0" w:rsidP="007E19D4">
            <w:pPr>
              <w:spacing w:after="0" w:line="240" w:lineRule="auto"/>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0C5B0834"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B5661A6" w14:textId="77777777" w:rsidR="009261C0" w:rsidRPr="00A3609F" w:rsidRDefault="009261C0" w:rsidP="007E19D4">
            <w:pPr>
              <w:spacing w:after="0" w:line="240" w:lineRule="auto"/>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5BECDDF7" w14:textId="77777777" w:rsidR="009261C0" w:rsidRPr="00A3609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90C439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5688EEA9"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E38B331"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0.000</w:t>
            </w:r>
          </w:p>
        </w:tc>
        <w:tc>
          <w:tcPr>
            <w:tcW w:w="0" w:type="auto"/>
            <w:tcBorders>
              <w:top w:val="nil"/>
              <w:left w:val="nil"/>
              <w:bottom w:val="nil"/>
              <w:right w:val="nil"/>
            </w:tcBorders>
            <w:vAlign w:val="center"/>
            <w:hideMark/>
          </w:tcPr>
          <w:p w14:paraId="403F4AEC"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72A1DB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0.000</w:t>
            </w:r>
          </w:p>
        </w:tc>
        <w:tc>
          <w:tcPr>
            <w:tcW w:w="0" w:type="auto"/>
            <w:tcBorders>
              <w:top w:val="nil"/>
              <w:left w:val="nil"/>
              <w:bottom w:val="nil"/>
              <w:right w:val="nil"/>
            </w:tcBorders>
            <w:vAlign w:val="center"/>
            <w:hideMark/>
          </w:tcPr>
          <w:p w14:paraId="05C206F7"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F91E846" w14:textId="77777777" w:rsidR="009261C0" w:rsidRPr="00A3609F" w:rsidRDefault="009261C0" w:rsidP="007E19D4">
            <w:pPr>
              <w:spacing w:after="0" w:line="240" w:lineRule="auto"/>
              <w:jc w:val="right"/>
              <w:rPr>
                <w:rFonts w:ascii="Times New Roman" w:eastAsia="Times New Roman" w:hAnsi="Times New Roman" w:cs="Times New Roman"/>
                <w:lang w:eastAsia="es-ES"/>
              </w:rPr>
            </w:pPr>
            <w:r w:rsidRPr="00A3609F">
              <w:rPr>
                <w:rFonts w:ascii="Times New Roman" w:eastAsia="Times New Roman" w:hAnsi="Times New Roman" w:cs="Times New Roman"/>
                <w:lang w:eastAsia="es-ES"/>
              </w:rPr>
              <w:t>0.000</w:t>
            </w:r>
          </w:p>
        </w:tc>
        <w:tc>
          <w:tcPr>
            <w:tcW w:w="0" w:type="auto"/>
            <w:tcBorders>
              <w:top w:val="nil"/>
              <w:left w:val="nil"/>
              <w:bottom w:val="nil"/>
              <w:right w:val="nil"/>
            </w:tcBorders>
            <w:vAlign w:val="center"/>
            <w:hideMark/>
          </w:tcPr>
          <w:p w14:paraId="1B88CEA0"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A6B9A14"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roofErr w:type="spellStart"/>
            <w:r w:rsidRPr="00A3609F">
              <w:rPr>
                <w:rFonts w:ascii="Times New Roman" w:eastAsia="Times New Roman" w:hAnsi="Times New Roman" w:cs="Times New Roman"/>
                <w:lang w:eastAsia="es-ES"/>
              </w:rPr>
              <w:t>NaN</w:t>
            </w:r>
            <w:proofErr w:type="spellEnd"/>
          </w:p>
        </w:tc>
        <w:tc>
          <w:tcPr>
            <w:tcW w:w="0" w:type="auto"/>
            <w:tcBorders>
              <w:top w:val="nil"/>
              <w:left w:val="nil"/>
              <w:bottom w:val="nil"/>
              <w:right w:val="nil"/>
            </w:tcBorders>
            <w:vAlign w:val="center"/>
            <w:hideMark/>
          </w:tcPr>
          <w:p w14:paraId="3D02D5D2" w14:textId="77777777" w:rsidR="009261C0" w:rsidRPr="00A3609F" w:rsidRDefault="009261C0" w:rsidP="007E19D4">
            <w:pPr>
              <w:spacing w:after="0" w:line="240" w:lineRule="auto"/>
              <w:jc w:val="right"/>
              <w:rPr>
                <w:rFonts w:ascii="Times New Roman" w:eastAsia="Times New Roman" w:hAnsi="Times New Roman" w:cs="Times New Roman"/>
                <w:lang w:eastAsia="es-ES"/>
              </w:rPr>
            </w:pPr>
          </w:p>
        </w:tc>
      </w:tr>
      <w:tr w:rsidR="009261C0" w:rsidRPr="00A3609F" w14:paraId="38CA1820" w14:textId="77777777" w:rsidTr="007E19D4">
        <w:tc>
          <w:tcPr>
            <w:tcW w:w="0" w:type="auto"/>
            <w:gridSpan w:val="14"/>
            <w:tcBorders>
              <w:top w:val="nil"/>
              <w:left w:val="nil"/>
              <w:bottom w:val="single" w:sz="12" w:space="0" w:color="000000"/>
              <w:right w:val="nil"/>
            </w:tcBorders>
            <w:vAlign w:val="center"/>
            <w:hideMark/>
          </w:tcPr>
          <w:p w14:paraId="76731A6F" w14:textId="77777777" w:rsidR="009261C0" w:rsidRPr="00A3609F" w:rsidRDefault="009261C0" w:rsidP="007E19D4">
            <w:pPr>
              <w:spacing w:after="0" w:line="240" w:lineRule="auto"/>
              <w:rPr>
                <w:rFonts w:ascii="Times New Roman" w:eastAsia="Times New Roman" w:hAnsi="Times New Roman" w:cs="Times New Roman"/>
                <w:sz w:val="18"/>
                <w:szCs w:val="18"/>
                <w:lang w:eastAsia="es-ES"/>
              </w:rPr>
            </w:pPr>
          </w:p>
        </w:tc>
      </w:tr>
    </w:tbl>
    <w:p w14:paraId="08CD9001" w14:textId="77777777" w:rsidR="002829B0" w:rsidRDefault="002829B0" w:rsidP="002829B0">
      <w:pPr>
        <w:rPr>
          <w:lang w:eastAsia="es-ES"/>
        </w:rPr>
      </w:pPr>
    </w:p>
    <w:p w14:paraId="1E038DDD" w14:textId="1919AB4E" w:rsidR="009261C0" w:rsidRPr="002829B0" w:rsidRDefault="009261C0" w:rsidP="002829B0">
      <w:pPr>
        <w:rPr>
          <w:rFonts w:ascii="Times New Roman" w:hAnsi="Times New Roman" w:cs="Times New Roman"/>
          <w:b/>
          <w:sz w:val="28"/>
          <w:szCs w:val="28"/>
          <w:lang w:eastAsia="es-ES"/>
        </w:rPr>
      </w:pPr>
      <w:r w:rsidRPr="002829B0">
        <w:rPr>
          <w:rFonts w:ascii="Times New Roman" w:hAnsi="Times New Roman" w:cs="Times New Roman"/>
          <w:b/>
          <w:sz w:val="28"/>
          <w:szCs w:val="28"/>
          <w:lang w:eastAsia="es-ES"/>
        </w:rPr>
        <w:lastRenderedPageBreak/>
        <w:t>Repeated Measures ANOVA for G93A vs WT (non-treated)</w:t>
      </w:r>
    </w:p>
    <w:p w14:paraId="096613D5" w14:textId="77777777" w:rsidR="009261C0" w:rsidRDefault="009261C0" w:rsidP="009261C0">
      <w:pPr>
        <w:spacing w:after="0" w:line="240" w:lineRule="auto"/>
        <w:rPr>
          <w:rFonts w:ascii="Times New Roman" w:eastAsia="Times New Roman" w:hAnsi="Times New Roman" w:cs="Times New Roman"/>
          <w:lang w:eastAsia="es-ES"/>
        </w:rPr>
      </w:pPr>
      <w:r>
        <w:rPr>
          <w:rFonts w:ascii="Times New Roman" w:eastAsia="Times New Roman" w:hAnsi="Times New Roman" w:cs="Times New Roman"/>
          <w:lang w:eastAsia="es-ES"/>
        </w:rPr>
        <w:t xml:space="preserve">Consistent with our previous reports, comparison of the WT vs G93A reveals a significant </w:t>
      </w:r>
      <w:r w:rsidRPr="00376408">
        <w:rPr>
          <w:rFonts w:ascii="Times New Roman" w:eastAsia="Times New Roman" w:hAnsi="Times New Roman" w:cs="Times New Roman"/>
          <w:lang w:eastAsia="es-ES"/>
        </w:rPr>
        <w:t xml:space="preserve">effect </w:t>
      </w:r>
      <w:r>
        <w:rPr>
          <w:rFonts w:ascii="Times New Roman" w:eastAsia="Times New Roman" w:hAnsi="Times New Roman" w:cs="Times New Roman"/>
          <w:lang w:eastAsia="es-ES"/>
        </w:rPr>
        <w:t>of</w:t>
      </w:r>
      <w:r w:rsidRPr="00376408">
        <w:rPr>
          <w:rFonts w:ascii="Times New Roman" w:eastAsia="Times New Roman" w:hAnsi="Times New Roman" w:cs="Times New Roman"/>
          <w:lang w:eastAsia="es-ES"/>
        </w:rPr>
        <w:t xml:space="preserve"> time</w:t>
      </w:r>
      <w:r>
        <w:rPr>
          <w:rFonts w:ascii="Times New Roman" w:eastAsia="Times New Roman" w:hAnsi="Times New Roman" w:cs="Times New Roman"/>
          <w:lang w:eastAsia="es-ES"/>
        </w:rPr>
        <w:t xml:space="preserve"> (week 8, week 10, week 12, week 14, week 16)</w:t>
      </w:r>
      <w:r w:rsidRPr="00376408">
        <w:rPr>
          <w:rFonts w:ascii="Times New Roman" w:eastAsia="Times New Roman" w:hAnsi="Times New Roman" w:cs="Times New Roman"/>
          <w:lang w:eastAsia="es-ES"/>
        </w:rPr>
        <w:t>, group</w:t>
      </w:r>
      <w:r>
        <w:rPr>
          <w:rFonts w:ascii="Times New Roman" w:eastAsia="Times New Roman" w:hAnsi="Times New Roman" w:cs="Times New Roman"/>
          <w:lang w:eastAsia="es-ES"/>
        </w:rPr>
        <w:t xml:space="preserve"> (WT vs G93A)</w:t>
      </w:r>
      <w:r w:rsidRPr="00376408">
        <w:rPr>
          <w:rFonts w:ascii="Times New Roman" w:eastAsia="Times New Roman" w:hAnsi="Times New Roman" w:cs="Times New Roman"/>
          <w:lang w:eastAsia="es-ES"/>
        </w:rPr>
        <w:t>, and interaction factors</w:t>
      </w:r>
      <w:r>
        <w:rPr>
          <w:rFonts w:ascii="Times New Roman" w:eastAsia="Times New Roman" w:hAnsi="Times New Roman" w:cs="Times New Roman"/>
          <w:lang w:eastAsia="es-ES"/>
        </w:rPr>
        <w:t xml:space="preserve"> probing </w:t>
      </w:r>
      <w:r w:rsidRPr="00376408">
        <w:rPr>
          <w:rFonts w:ascii="Times New Roman" w:eastAsia="Times New Roman" w:hAnsi="Times New Roman" w:cs="Times New Roman"/>
          <w:lang w:eastAsia="es-ES"/>
        </w:rPr>
        <w:t>that the evolution of the EMG activity i</w:t>
      </w:r>
      <w:r>
        <w:rPr>
          <w:rFonts w:ascii="Times New Roman" w:eastAsia="Times New Roman" w:hAnsi="Times New Roman" w:cs="Times New Roman"/>
          <w:lang w:eastAsia="es-ES"/>
        </w:rPr>
        <w:t xml:space="preserve">n the G93A group is significantly different from that of WT animals. </w:t>
      </w:r>
    </w:p>
    <w:p w14:paraId="2C137CDD" w14:textId="77777777" w:rsidR="009261C0" w:rsidRDefault="009261C0" w:rsidP="009261C0">
      <w:pPr>
        <w:spacing w:after="0" w:line="240" w:lineRule="auto"/>
        <w:rPr>
          <w:rFonts w:ascii="Times New Roman" w:eastAsia="Times New Roman" w:hAnsi="Times New Roman" w:cs="Times New Roman"/>
          <w:lang w:eastAsia="es-ES"/>
        </w:rPr>
      </w:pPr>
    </w:p>
    <w:tbl>
      <w:tblPr>
        <w:tblW w:w="0" w:type="auto"/>
        <w:tblCellMar>
          <w:top w:w="15" w:type="dxa"/>
          <w:left w:w="15" w:type="dxa"/>
          <w:bottom w:w="15" w:type="dxa"/>
          <w:right w:w="15" w:type="dxa"/>
        </w:tblCellMar>
        <w:tblLook w:val="04A0" w:firstRow="1" w:lastRow="0" w:firstColumn="1" w:lastColumn="0" w:noHBand="0" w:noVBand="1"/>
      </w:tblPr>
      <w:tblGrid>
        <w:gridCol w:w="1461"/>
        <w:gridCol w:w="36"/>
        <w:gridCol w:w="1939"/>
        <w:gridCol w:w="138"/>
        <w:gridCol w:w="1456"/>
        <w:gridCol w:w="54"/>
        <w:gridCol w:w="635"/>
        <w:gridCol w:w="36"/>
        <w:gridCol w:w="1243"/>
        <w:gridCol w:w="52"/>
        <w:gridCol w:w="525"/>
        <w:gridCol w:w="36"/>
        <w:gridCol w:w="525"/>
        <w:gridCol w:w="36"/>
      </w:tblGrid>
      <w:tr w:rsidR="009261C0" w:rsidRPr="008175BB" w14:paraId="4F5EB1F1" w14:textId="77777777" w:rsidTr="007E19D4">
        <w:trPr>
          <w:tblHeader/>
        </w:trPr>
        <w:tc>
          <w:tcPr>
            <w:tcW w:w="0" w:type="auto"/>
            <w:gridSpan w:val="14"/>
            <w:tcBorders>
              <w:top w:val="nil"/>
              <w:left w:val="nil"/>
              <w:bottom w:val="single" w:sz="6" w:space="0" w:color="000000"/>
              <w:right w:val="nil"/>
            </w:tcBorders>
            <w:vAlign w:val="center"/>
            <w:hideMark/>
          </w:tcPr>
          <w:p w14:paraId="02AA03C1" w14:textId="77777777" w:rsidR="009261C0" w:rsidRPr="008175BB" w:rsidRDefault="009261C0" w:rsidP="007E19D4">
            <w:pPr>
              <w:spacing w:after="0" w:line="240" w:lineRule="auto"/>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 xml:space="preserve">Within Subjects Effects </w:t>
            </w:r>
          </w:p>
        </w:tc>
      </w:tr>
      <w:tr w:rsidR="009261C0" w:rsidRPr="008175BB" w14:paraId="389FB90C" w14:textId="77777777" w:rsidTr="007E19D4">
        <w:trPr>
          <w:tblHeader/>
        </w:trPr>
        <w:tc>
          <w:tcPr>
            <w:tcW w:w="0" w:type="auto"/>
            <w:gridSpan w:val="2"/>
            <w:tcBorders>
              <w:top w:val="nil"/>
              <w:left w:val="nil"/>
              <w:bottom w:val="single" w:sz="6" w:space="0" w:color="000000"/>
              <w:right w:val="nil"/>
            </w:tcBorders>
            <w:vAlign w:val="center"/>
            <w:hideMark/>
          </w:tcPr>
          <w:p w14:paraId="7EDD588B"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0C9AD638"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Sphericity Correction</w:t>
            </w:r>
          </w:p>
        </w:tc>
        <w:tc>
          <w:tcPr>
            <w:tcW w:w="0" w:type="auto"/>
            <w:gridSpan w:val="2"/>
            <w:tcBorders>
              <w:top w:val="nil"/>
              <w:left w:val="nil"/>
              <w:bottom w:val="single" w:sz="6" w:space="0" w:color="000000"/>
              <w:right w:val="nil"/>
            </w:tcBorders>
            <w:vAlign w:val="center"/>
            <w:hideMark/>
          </w:tcPr>
          <w:p w14:paraId="2B18D06D"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7200B445"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2010B0A2"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3B54EA2E"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43A8AA72"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p</w:t>
            </w:r>
          </w:p>
        </w:tc>
      </w:tr>
      <w:tr w:rsidR="009261C0" w:rsidRPr="008175BB" w14:paraId="00CC2F6B" w14:textId="77777777" w:rsidTr="007E19D4">
        <w:tc>
          <w:tcPr>
            <w:tcW w:w="0" w:type="auto"/>
            <w:tcBorders>
              <w:top w:val="nil"/>
              <w:left w:val="nil"/>
              <w:bottom w:val="nil"/>
              <w:right w:val="nil"/>
            </w:tcBorders>
            <w:vAlign w:val="center"/>
            <w:hideMark/>
          </w:tcPr>
          <w:p w14:paraId="628ACED5"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Weeks</w:t>
            </w:r>
          </w:p>
        </w:tc>
        <w:tc>
          <w:tcPr>
            <w:tcW w:w="0" w:type="auto"/>
            <w:tcBorders>
              <w:top w:val="nil"/>
              <w:left w:val="nil"/>
              <w:bottom w:val="nil"/>
              <w:right w:val="nil"/>
            </w:tcBorders>
            <w:vAlign w:val="center"/>
            <w:hideMark/>
          </w:tcPr>
          <w:p w14:paraId="022DBA8B"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F5A0EF5"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2CFCAA25"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4180F73"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11000.268</w:t>
            </w:r>
          </w:p>
        </w:tc>
        <w:tc>
          <w:tcPr>
            <w:tcW w:w="0" w:type="auto"/>
            <w:tcBorders>
              <w:top w:val="nil"/>
              <w:left w:val="nil"/>
              <w:bottom w:val="nil"/>
              <w:right w:val="nil"/>
            </w:tcBorders>
            <w:vAlign w:val="center"/>
            <w:hideMark/>
          </w:tcPr>
          <w:p w14:paraId="5A15AFF4"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D0C032D"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4.000</w:t>
            </w:r>
          </w:p>
        </w:tc>
        <w:tc>
          <w:tcPr>
            <w:tcW w:w="0" w:type="auto"/>
            <w:tcBorders>
              <w:top w:val="nil"/>
              <w:left w:val="nil"/>
              <w:bottom w:val="nil"/>
              <w:right w:val="nil"/>
            </w:tcBorders>
            <w:vAlign w:val="center"/>
            <w:hideMark/>
          </w:tcPr>
          <w:p w14:paraId="20E29F87"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10ED124"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2750.067</w:t>
            </w:r>
          </w:p>
        </w:tc>
        <w:tc>
          <w:tcPr>
            <w:tcW w:w="0" w:type="auto"/>
            <w:tcBorders>
              <w:top w:val="nil"/>
              <w:left w:val="nil"/>
              <w:bottom w:val="nil"/>
              <w:right w:val="nil"/>
            </w:tcBorders>
            <w:vAlign w:val="center"/>
            <w:hideMark/>
          </w:tcPr>
          <w:p w14:paraId="207A166A"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6BAAD2A"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4.850</w:t>
            </w:r>
          </w:p>
        </w:tc>
        <w:tc>
          <w:tcPr>
            <w:tcW w:w="0" w:type="auto"/>
            <w:tcBorders>
              <w:top w:val="nil"/>
              <w:left w:val="nil"/>
              <w:bottom w:val="nil"/>
              <w:right w:val="nil"/>
            </w:tcBorders>
            <w:vAlign w:val="center"/>
            <w:hideMark/>
          </w:tcPr>
          <w:p w14:paraId="4291D0C4"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F02C4FE"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0.004</w:t>
            </w:r>
          </w:p>
        </w:tc>
        <w:tc>
          <w:tcPr>
            <w:tcW w:w="0" w:type="auto"/>
            <w:tcBorders>
              <w:top w:val="nil"/>
              <w:left w:val="nil"/>
              <w:bottom w:val="nil"/>
              <w:right w:val="nil"/>
            </w:tcBorders>
            <w:vAlign w:val="center"/>
            <w:hideMark/>
          </w:tcPr>
          <w:p w14:paraId="584C43A6" w14:textId="77777777" w:rsidR="009261C0" w:rsidRPr="008175BB" w:rsidRDefault="009261C0" w:rsidP="007E19D4">
            <w:pPr>
              <w:spacing w:after="0" w:line="240" w:lineRule="auto"/>
              <w:rPr>
                <w:rFonts w:ascii="Times New Roman" w:eastAsia="Times New Roman" w:hAnsi="Times New Roman" w:cs="Times New Roman"/>
                <w:lang w:eastAsia="es-ES"/>
              </w:rPr>
            </w:pPr>
          </w:p>
        </w:tc>
      </w:tr>
      <w:tr w:rsidR="009261C0" w:rsidRPr="008175BB" w14:paraId="226B6616" w14:textId="77777777" w:rsidTr="007E19D4">
        <w:tc>
          <w:tcPr>
            <w:tcW w:w="0" w:type="auto"/>
            <w:tcBorders>
              <w:top w:val="nil"/>
              <w:left w:val="nil"/>
              <w:bottom w:val="nil"/>
              <w:right w:val="nil"/>
            </w:tcBorders>
            <w:vAlign w:val="center"/>
            <w:hideMark/>
          </w:tcPr>
          <w:p w14:paraId="3443D5DE"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xml:space="preserve">Weeks </w:t>
            </w:r>
            <w:r w:rsidRPr="008175BB">
              <w:rPr>
                <w:rFonts w:ascii="Segoe UI Symbol" w:eastAsia="Times New Roman" w:hAnsi="Segoe UI Symbol" w:cs="Segoe UI Symbol"/>
                <w:sz w:val="18"/>
                <w:szCs w:val="18"/>
                <w:lang w:eastAsia="es-ES"/>
              </w:rPr>
              <w:t>✻</w:t>
            </w:r>
            <w:r w:rsidRPr="008175BB">
              <w:rPr>
                <w:rFonts w:ascii="Times New Roman" w:eastAsia="Times New Roman" w:hAnsi="Times New Roman" w:cs="Times New Roman"/>
                <w:lang w:eastAsia="es-ES"/>
              </w:rPr>
              <w:t xml:space="preserve"> Group</w:t>
            </w:r>
          </w:p>
        </w:tc>
        <w:tc>
          <w:tcPr>
            <w:tcW w:w="0" w:type="auto"/>
            <w:tcBorders>
              <w:top w:val="nil"/>
              <w:left w:val="nil"/>
              <w:bottom w:val="nil"/>
              <w:right w:val="nil"/>
            </w:tcBorders>
            <w:vAlign w:val="center"/>
            <w:hideMark/>
          </w:tcPr>
          <w:p w14:paraId="29706FC1"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97C16BE"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08814E22"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39F14B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7395.621</w:t>
            </w:r>
          </w:p>
        </w:tc>
        <w:tc>
          <w:tcPr>
            <w:tcW w:w="0" w:type="auto"/>
            <w:tcBorders>
              <w:top w:val="nil"/>
              <w:left w:val="nil"/>
              <w:bottom w:val="nil"/>
              <w:right w:val="nil"/>
            </w:tcBorders>
            <w:vAlign w:val="center"/>
            <w:hideMark/>
          </w:tcPr>
          <w:p w14:paraId="68EA8A51"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8C93D7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4.000</w:t>
            </w:r>
          </w:p>
        </w:tc>
        <w:tc>
          <w:tcPr>
            <w:tcW w:w="0" w:type="auto"/>
            <w:tcBorders>
              <w:top w:val="nil"/>
              <w:left w:val="nil"/>
              <w:bottom w:val="nil"/>
              <w:right w:val="nil"/>
            </w:tcBorders>
            <w:vAlign w:val="center"/>
            <w:hideMark/>
          </w:tcPr>
          <w:p w14:paraId="2B47B142"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867FF33"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1848.905</w:t>
            </w:r>
          </w:p>
        </w:tc>
        <w:tc>
          <w:tcPr>
            <w:tcW w:w="0" w:type="auto"/>
            <w:tcBorders>
              <w:top w:val="nil"/>
              <w:left w:val="nil"/>
              <w:bottom w:val="nil"/>
              <w:right w:val="nil"/>
            </w:tcBorders>
            <w:vAlign w:val="center"/>
            <w:hideMark/>
          </w:tcPr>
          <w:p w14:paraId="48B639A5"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1CE3AFF"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3.261</w:t>
            </w:r>
          </w:p>
        </w:tc>
        <w:tc>
          <w:tcPr>
            <w:tcW w:w="0" w:type="auto"/>
            <w:tcBorders>
              <w:top w:val="nil"/>
              <w:left w:val="nil"/>
              <w:bottom w:val="nil"/>
              <w:right w:val="nil"/>
            </w:tcBorders>
            <w:vAlign w:val="center"/>
            <w:hideMark/>
          </w:tcPr>
          <w:p w14:paraId="2FBA0A20"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F233E0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0.024</w:t>
            </w:r>
          </w:p>
        </w:tc>
        <w:tc>
          <w:tcPr>
            <w:tcW w:w="0" w:type="auto"/>
            <w:tcBorders>
              <w:top w:val="nil"/>
              <w:left w:val="nil"/>
              <w:bottom w:val="nil"/>
              <w:right w:val="nil"/>
            </w:tcBorders>
            <w:vAlign w:val="center"/>
            <w:hideMark/>
          </w:tcPr>
          <w:p w14:paraId="560F4232" w14:textId="77777777" w:rsidR="009261C0" w:rsidRPr="008175BB" w:rsidRDefault="009261C0" w:rsidP="007E19D4">
            <w:pPr>
              <w:spacing w:after="0" w:line="240" w:lineRule="auto"/>
              <w:rPr>
                <w:rFonts w:ascii="Times New Roman" w:eastAsia="Times New Roman" w:hAnsi="Times New Roman" w:cs="Times New Roman"/>
                <w:lang w:eastAsia="es-ES"/>
              </w:rPr>
            </w:pPr>
          </w:p>
        </w:tc>
      </w:tr>
      <w:tr w:rsidR="009261C0" w:rsidRPr="008175BB" w14:paraId="2AF3F472" w14:textId="77777777" w:rsidTr="007E19D4">
        <w:tc>
          <w:tcPr>
            <w:tcW w:w="0" w:type="auto"/>
            <w:tcBorders>
              <w:top w:val="nil"/>
              <w:left w:val="nil"/>
              <w:bottom w:val="nil"/>
              <w:right w:val="nil"/>
            </w:tcBorders>
            <w:vAlign w:val="center"/>
            <w:hideMark/>
          </w:tcPr>
          <w:p w14:paraId="0D381F61"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3D18875B"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10D93F5"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30F21F68"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3ABA6EE"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18144.640</w:t>
            </w:r>
          </w:p>
        </w:tc>
        <w:tc>
          <w:tcPr>
            <w:tcW w:w="0" w:type="auto"/>
            <w:tcBorders>
              <w:top w:val="nil"/>
              <w:left w:val="nil"/>
              <w:bottom w:val="nil"/>
              <w:right w:val="nil"/>
            </w:tcBorders>
            <w:vAlign w:val="center"/>
            <w:hideMark/>
          </w:tcPr>
          <w:p w14:paraId="7B2FE39B"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73BA7C4"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32.000</w:t>
            </w:r>
          </w:p>
        </w:tc>
        <w:tc>
          <w:tcPr>
            <w:tcW w:w="0" w:type="auto"/>
            <w:tcBorders>
              <w:top w:val="nil"/>
              <w:left w:val="nil"/>
              <w:bottom w:val="nil"/>
              <w:right w:val="nil"/>
            </w:tcBorders>
            <w:vAlign w:val="center"/>
            <w:hideMark/>
          </w:tcPr>
          <w:p w14:paraId="46A01126"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5BEBDE4"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567.020</w:t>
            </w:r>
          </w:p>
        </w:tc>
        <w:tc>
          <w:tcPr>
            <w:tcW w:w="0" w:type="auto"/>
            <w:tcBorders>
              <w:top w:val="nil"/>
              <w:left w:val="nil"/>
              <w:bottom w:val="nil"/>
              <w:right w:val="nil"/>
            </w:tcBorders>
            <w:vAlign w:val="center"/>
            <w:hideMark/>
          </w:tcPr>
          <w:p w14:paraId="01879A91"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A414BC5"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4604AD04"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3C6E5FB3"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715A296B"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42ACA980" w14:textId="77777777" w:rsidTr="007E19D4">
        <w:tc>
          <w:tcPr>
            <w:tcW w:w="0" w:type="auto"/>
            <w:gridSpan w:val="14"/>
            <w:tcBorders>
              <w:top w:val="nil"/>
              <w:left w:val="nil"/>
              <w:bottom w:val="single" w:sz="12" w:space="0" w:color="000000"/>
              <w:right w:val="nil"/>
            </w:tcBorders>
            <w:vAlign w:val="center"/>
            <w:hideMark/>
          </w:tcPr>
          <w:p w14:paraId="6BF57594"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1D909351" w14:textId="77777777" w:rsidTr="007E19D4">
        <w:tc>
          <w:tcPr>
            <w:tcW w:w="0" w:type="auto"/>
            <w:gridSpan w:val="14"/>
            <w:tcBorders>
              <w:top w:val="nil"/>
              <w:left w:val="nil"/>
              <w:bottom w:val="nil"/>
              <w:right w:val="nil"/>
            </w:tcBorders>
            <w:vAlign w:val="center"/>
            <w:hideMark/>
          </w:tcPr>
          <w:p w14:paraId="74EF5B5A"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i/>
                <w:iCs/>
                <w:lang w:eastAsia="es-ES"/>
              </w:rPr>
              <w:t>Note.</w:t>
            </w:r>
            <w:r w:rsidRPr="008175BB">
              <w:rPr>
                <w:rFonts w:ascii="Times New Roman" w:eastAsia="Times New Roman" w:hAnsi="Times New Roman" w:cs="Times New Roman"/>
                <w:lang w:eastAsia="es-ES"/>
              </w:rPr>
              <w:t xml:space="preserve">  Type II Sum of Squares</w:t>
            </w:r>
          </w:p>
        </w:tc>
      </w:tr>
    </w:tbl>
    <w:p w14:paraId="4E705B93" w14:textId="77777777" w:rsidR="009261C0" w:rsidRPr="008175BB" w:rsidRDefault="009261C0" w:rsidP="009261C0">
      <w:pPr>
        <w:spacing w:after="126"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886"/>
        <w:gridCol w:w="36"/>
        <w:gridCol w:w="1456"/>
        <w:gridCol w:w="54"/>
        <w:gridCol w:w="180"/>
        <w:gridCol w:w="46"/>
        <w:gridCol w:w="1248"/>
        <w:gridCol w:w="47"/>
        <w:gridCol w:w="525"/>
        <w:gridCol w:w="36"/>
        <w:gridCol w:w="525"/>
        <w:gridCol w:w="36"/>
      </w:tblGrid>
      <w:tr w:rsidR="009261C0" w:rsidRPr="008175BB" w14:paraId="10ED7EF3" w14:textId="77777777" w:rsidTr="007E19D4">
        <w:trPr>
          <w:tblHeader/>
        </w:trPr>
        <w:tc>
          <w:tcPr>
            <w:tcW w:w="0" w:type="auto"/>
            <w:gridSpan w:val="12"/>
            <w:tcBorders>
              <w:top w:val="nil"/>
              <w:left w:val="nil"/>
              <w:bottom w:val="single" w:sz="6" w:space="0" w:color="000000"/>
              <w:right w:val="nil"/>
            </w:tcBorders>
            <w:vAlign w:val="center"/>
            <w:hideMark/>
          </w:tcPr>
          <w:p w14:paraId="4775E560" w14:textId="77777777" w:rsidR="009261C0" w:rsidRPr="008175BB" w:rsidRDefault="009261C0" w:rsidP="007E19D4">
            <w:pPr>
              <w:spacing w:after="0" w:line="240" w:lineRule="auto"/>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 xml:space="preserve">Between Subjects Effects </w:t>
            </w:r>
          </w:p>
        </w:tc>
      </w:tr>
      <w:tr w:rsidR="009261C0" w:rsidRPr="008175BB" w14:paraId="14AB8143" w14:textId="77777777" w:rsidTr="007E19D4">
        <w:trPr>
          <w:tblHeader/>
        </w:trPr>
        <w:tc>
          <w:tcPr>
            <w:tcW w:w="0" w:type="auto"/>
            <w:gridSpan w:val="2"/>
            <w:tcBorders>
              <w:top w:val="nil"/>
              <w:left w:val="nil"/>
              <w:bottom w:val="single" w:sz="6" w:space="0" w:color="000000"/>
              <w:right w:val="nil"/>
            </w:tcBorders>
            <w:vAlign w:val="center"/>
            <w:hideMark/>
          </w:tcPr>
          <w:p w14:paraId="022BF969"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6C0BEF68"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20EC66D1"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2831180D"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7E746011"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519678F7"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p</w:t>
            </w:r>
          </w:p>
        </w:tc>
      </w:tr>
      <w:tr w:rsidR="009261C0" w:rsidRPr="008175BB" w14:paraId="490E1279" w14:textId="77777777" w:rsidTr="007E19D4">
        <w:tc>
          <w:tcPr>
            <w:tcW w:w="0" w:type="auto"/>
            <w:tcBorders>
              <w:top w:val="nil"/>
              <w:left w:val="nil"/>
              <w:bottom w:val="nil"/>
              <w:right w:val="nil"/>
            </w:tcBorders>
            <w:vAlign w:val="center"/>
            <w:hideMark/>
          </w:tcPr>
          <w:p w14:paraId="128A9F8A"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Group</w:t>
            </w:r>
          </w:p>
        </w:tc>
        <w:tc>
          <w:tcPr>
            <w:tcW w:w="0" w:type="auto"/>
            <w:tcBorders>
              <w:top w:val="nil"/>
              <w:left w:val="nil"/>
              <w:bottom w:val="nil"/>
              <w:right w:val="nil"/>
            </w:tcBorders>
            <w:vAlign w:val="center"/>
            <w:hideMark/>
          </w:tcPr>
          <w:p w14:paraId="6B172D73"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3377715"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11163.549</w:t>
            </w:r>
          </w:p>
        </w:tc>
        <w:tc>
          <w:tcPr>
            <w:tcW w:w="0" w:type="auto"/>
            <w:tcBorders>
              <w:top w:val="nil"/>
              <w:left w:val="nil"/>
              <w:bottom w:val="nil"/>
              <w:right w:val="nil"/>
            </w:tcBorders>
            <w:vAlign w:val="center"/>
            <w:hideMark/>
          </w:tcPr>
          <w:p w14:paraId="31E04675"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3FBCAA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w:t>
            </w:r>
          </w:p>
        </w:tc>
        <w:tc>
          <w:tcPr>
            <w:tcW w:w="0" w:type="auto"/>
            <w:tcBorders>
              <w:top w:val="nil"/>
              <w:left w:val="nil"/>
              <w:bottom w:val="nil"/>
              <w:right w:val="nil"/>
            </w:tcBorders>
            <w:vAlign w:val="center"/>
            <w:hideMark/>
          </w:tcPr>
          <w:p w14:paraId="6D9A1B78"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C1CAA4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11163.549</w:t>
            </w:r>
          </w:p>
        </w:tc>
        <w:tc>
          <w:tcPr>
            <w:tcW w:w="0" w:type="auto"/>
            <w:tcBorders>
              <w:top w:val="nil"/>
              <w:left w:val="nil"/>
              <w:bottom w:val="nil"/>
              <w:right w:val="nil"/>
            </w:tcBorders>
            <w:vAlign w:val="center"/>
            <w:hideMark/>
          </w:tcPr>
          <w:p w14:paraId="02BD3DFD"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0FFBE5F"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9.008</w:t>
            </w:r>
          </w:p>
        </w:tc>
        <w:tc>
          <w:tcPr>
            <w:tcW w:w="0" w:type="auto"/>
            <w:tcBorders>
              <w:top w:val="nil"/>
              <w:left w:val="nil"/>
              <w:bottom w:val="nil"/>
              <w:right w:val="nil"/>
            </w:tcBorders>
            <w:vAlign w:val="center"/>
            <w:hideMark/>
          </w:tcPr>
          <w:p w14:paraId="5E37037A"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F8D3C4E"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0.017</w:t>
            </w:r>
          </w:p>
        </w:tc>
        <w:tc>
          <w:tcPr>
            <w:tcW w:w="0" w:type="auto"/>
            <w:tcBorders>
              <w:top w:val="nil"/>
              <w:left w:val="nil"/>
              <w:bottom w:val="nil"/>
              <w:right w:val="nil"/>
            </w:tcBorders>
            <w:vAlign w:val="center"/>
            <w:hideMark/>
          </w:tcPr>
          <w:p w14:paraId="684F6622"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4ACD78E0" w14:textId="77777777" w:rsidTr="007E19D4">
        <w:tc>
          <w:tcPr>
            <w:tcW w:w="0" w:type="auto"/>
            <w:tcBorders>
              <w:top w:val="nil"/>
              <w:left w:val="nil"/>
              <w:bottom w:val="nil"/>
              <w:right w:val="nil"/>
            </w:tcBorders>
            <w:vAlign w:val="center"/>
            <w:hideMark/>
          </w:tcPr>
          <w:p w14:paraId="3BE789EB"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3CA2CDAB"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CB8F608"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9914.440</w:t>
            </w:r>
          </w:p>
        </w:tc>
        <w:tc>
          <w:tcPr>
            <w:tcW w:w="0" w:type="auto"/>
            <w:tcBorders>
              <w:top w:val="nil"/>
              <w:left w:val="nil"/>
              <w:bottom w:val="nil"/>
              <w:right w:val="nil"/>
            </w:tcBorders>
            <w:vAlign w:val="center"/>
            <w:hideMark/>
          </w:tcPr>
          <w:p w14:paraId="6EC373BC"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B3BE38A"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8</w:t>
            </w:r>
          </w:p>
        </w:tc>
        <w:tc>
          <w:tcPr>
            <w:tcW w:w="0" w:type="auto"/>
            <w:tcBorders>
              <w:top w:val="nil"/>
              <w:left w:val="nil"/>
              <w:bottom w:val="nil"/>
              <w:right w:val="nil"/>
            </w:tcBorders>
            <w:vAlign w:val="center"/>
            <w:hideMark/>
          </w:tcPr>
          <w:p w14:paraId="239502DF"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69BE168"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1239.305</w:t>
            </w:r>
          </w:p>
        </w:tc>
        <w:tc>
          <w:tcPr>
            <w:tcW w:w="0" w:type="auto"/>
            <w:tcBorders>
              <w:top w:val="nil"/>
              <w:left w:val="nil"/>
              <w:bottom w:val="nil"/>
              <w:right w:val="nil"/>
            </w:tcBorders>
            <w:vAlign w:val="center"/>
            <w:hideMark/>
          </w:tcPr>
          <w:p w14:paraId="452315B1"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E040901"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2BDA662C"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748E74BB"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18212678"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5188E021" w14:textId="77777777" w:rsidTr="007E19D4">
        <w:tc>
          <w:tcPr>
            <w:tcW w:w="0" w:type="auto"/>
            <w:gridSpan w:val="12"/>
            <w:tcBorders>
              <w:top w:val="nil"/>
              <w:left w:val="nil"/>
              <w:bottom w:val="single" w:sz="12" w:space="0" w:color="000000"/>
              <w:right w:val="nil"/>
            </w:tcBorders>
            <w:vAlign w:val="center"/>
            <w:hideMark/>
          </w:tcPr>
          <w:p w14:paraId="47A2F474"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5552D65A" w14:textId="77777777" w:rsidTr="007E19D4">
        <w:tc>
          <w:tcPr>
            <w:tcW w:w="0" w:type="auto"/>
            <w:gridSpan w:val="12"/>
            <w:tcBorders>
              <w:top w:val="nil"/>
              <w:left w:val="nil"/>
              <w:bottom w:val="nil"/>
              <w:right w:val="nil"/>
            </w:tcBorders>
            <w:vAlign w:val="center"/>
            <w:hideMark/>
          </w:tcPr>
          <w:p w14:paraId="0B0B319A" w14:textId="77777777" w:rsidR="009261C0"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i/>
                <w:iCs/>
                <w:lang w:eastAsia="es-ES"/>
              </w:rPr>
              <w:t>Note.</w:t>
            </w:r>
            <w:r w:rsidRPr="008175BB">
              <w:rPr>
                <w:rFonts w:ascii="Times New Roman" w:eastAsia="Times New Roman" w:hAnsi="Times New Roman" w:cs="Times New Roman"/>
                <w:lang w:eastAsia="es-ES"/>
              </w:rPr>
              <w:t xml:space="preserve">  Type II Sum of Squares</w:t>
            </w:r>
          </w:p>
          <w:p w14:paraId="477A8BBB" w14:textId="77777777" w:rsidR="009261C0" w:rsidRDefault="009261C0" w:rsidP="007E19D4">
            <w:pPr>
              <w:spacing w:after="0" w:line="240" w:lineRule="auto"/>
              <w:rPr>
                <w:rFonts w:ascii="Times New Roman" w:eastAsia="Times New Roman" w:hAnsi="Times New Roman" w:cs="Times New Roman"/>
                <w:lang w:eastAsia="es-ES"/>
              </w:rPr>
            </w:pPr>
          </w:p>
          <w:p w14:paraId="434F53E8" w14:textId="77777777" w:rsidR="009261C0" w:rsidRPr="00376408" w:rsidRDefault="009261C0" w:rsidP="007E19D4">
            <w:pPr>
              <w:spacing w:after="0" w:line="240" w:lineRule="auto"/>
              <w:rPr>
                <w:rFonts w:ascii="Times New Roman" w:eastAsia="Times New Roman" w:hAnsi="Times New Roman" w:cs="Times New Roman"/>
                <w:lang w:eastAsia="es-ES"/>
              </w:rPr>
            </w:pPr>
          </w:p>
        </w:tc>
      </w:tr>
    </w:tbl>
    <w:p w14:paraId="65F62A30" w14:textId="77777777" w:rsidR="009261C0" w:rsidRPr="00904517" w:rsidRDefault="009261C0" w:rsidP="009261C0">
      <w:pPr>
        <w:rPr>
          <w:sz w:val="20"/>
          <w:szCs w:val="20"/>
        </w:rPr>
      </w:pPr>
      <w:proofErr w:type="spellStart"/>
      <w:r>
        <w:rPr>
          <w:rFonts w:ascii="Times New Roman" w:eastAsia="Times New Roman" w:hAnsi="Times New Roman" w:cs="Times New Roman"/>
          <w:lang w:eastAsia="es-ES"/>
        </w:rPr>
        <w:t>Posthoc</w:t>
      </w:r>
      <w:proofErr w:type="spellEnd"/>
      <w:r>
        <w:rPr>
          <w:rFonts w:ascii="Times New Roman" w:eastAsia="Times New Roman" w:hAnsi="Times New Roman" w:cs="Times New Roman"/>
          <w:lang w:eastAsia="es-ES"/>
        </w:rPr>
        <w:t xml:space="preserve"> analyses (</w:t>
      </w:r>
      <w:r w:rsidRPr="008175BB">
        <w:rPr>
          <w:rFonts w:ascii="Times New Roman" w:eastAsia="Times New Roman" w:hAnsi="Times New Roman" w:cs="Times New Roman"/>
          <w:lang w:eastAsia="es-ES"/>
        </w:rPr>
        <w:t>Mann-Whitney U test</w:t>
      </w:r>
      <w:r>
        <w:rPr>
          <w:rFonts w:ascii="Times New Roman" w:eastAsia="Times New Roman" w:hAnsi="Times New Roman" w:cs="Times New Roman"/>
          <w:lang w:eastAsia="es-ES"/>
        </w:rPr>
        <w:t xml:space="preserve">) reveals that the number </w:t>
      </w:r>
      <w:r w:rsidRPr="00904517">
        <w:rPr>
          <w:rFonts w:ascii="Times New Roman" w:eastAsia="Times New Roman" w:hAnsi="Times New Roman" w:cs="Times New Roman"/>
          <w:lang w:eastAsia="es-ES"/>
        </w:rPr>
        <w:t>of SAPs found in TA muscles of G93A</w:t>
      </w:r>
      <w:r>
        <w:rPr>
          <w:rFonts w:ascii="Times New Roman" w:eastAsia="Times New Roman" w:hAnsi="Times New Roman" w:cs="Times New Roman"/>
          <w:lang w:eastAsia="es-ES"/>
        </w:rPr>
        <w:t xml:space="preserve"> is significantly greater when</w:t>
      </w:r>
      <w:r w:rsidRPr="00904517">
        <w:rPr>
          <w:rFonts w:ascii="Times New Roman" w:eastAsia="Times New Roman" w:hAnsi="Times New Roman" w:cs="Times New Roman"/>
          <w:lang w:eastAsia="es-ES"/>
        </w:rPr>
        <w:t xml:space="preserve"> compared to WT mice, starting at 10 weeks-old:</w:t>
      </w:r>
    </w:p>
    <w:tbl>
      <w:tblPr>
        <w:tblW w:w="0" w:type="auto"/>
        <w:tblCellMar>
          <w:top w:w="15" w:type="dxa"/>
          <w:left w:w="15" w:type="dxa"/>
          <w:bottom w:w="15" w:type="dxa"/>
          <w:right w:w="15" w:type="dxa"/>
        </w:tblCellMar>
        <w:tblLook w:val="04A0" w:firstRow="1" w:lastRow="0" w:firstColumn="1" w:lastColumn="0" w:noHBand="0" w:noVBand="1"/>
      </w:tblPr>
      <w:tblGrid>
        <w:gridCol w:w="2871"/>
        <w:gridCol w:w="136"/>
        <w:gridCol w:w="2394"/>
        <w:gridCol w:w="136"/>
        <w:gridCol w:w="426"/>
        <w:gridCol w:w="426"/>
        <w:gridCol w:w="1979"/>
        <w:gridCol w:w="136"/>
      </w:tblGrid>
      <w:tr w:rsidR="009261C0" w:rsidRPr="00904517" w14:paraId="0DE85BD8" w14:textId="77777777" w:rsidTr="007E19D4">
        <w:trPr>
          <w:tblHeader/>
        </w:trPr>
        <w:tc>
          <w:tcPr>
            <w:tcW w:w="0" w:type="auto"/>
            <w:gridSpan w:val="8"/>
            <w:tcBorders>
              <w:top w:val="nil"/>
              <w:left w:val="nil"/>
              <w:bottom w:val="single" w:sz="6" w:space="0" w:color="000000"/>
              <w:right w:val="nil"/>
            </w:tcBorders>
            <w:vAlign w:val="center"/>
            <w:hideMark/>
          </w:tcPr>
          <w:p w14:paraId="2FBD5811" w14:textId="77777777" w:rsidR="009261C0" w:rsidRPr="00904517" w:rsidRDefault="009261C0" w:rsidP="007E19D4">
            <w:pPr>
              <w:spacing w:after="0" w:line="240" w:lineRule="auto"/>
              <w:rPr>
                <w:rFonts w:ascii="Times New Roman" w:eastAsia="Times New Roman" w:hAnsi="Times New Roman" w:cs="Times New Roman"/>
                <w:b/>
                <w:bCs/>
                <w:lang w:eastAsia="es-ES"/>
              </w:rPr>
            </w:pPr>
            <w:r w:rsidRPr="00904517">
              <w:rPr>
                <w:rFonts w:ascii="Times New Roman" w:eastAsia="Times New Roman" w:hAnsi="Times New Roman" w:cs="Times New Roman"/>
                <w:b/>
                <w:bCs/>
                <w:lang w:eastAsia="es-ES"/>
              </w:rPr>
              <w:t>Mann-Whitney U test</w:t>
            </w:r>
          </w:p>
        </w:tc>
      </w:tr>
      <w:tr w:rsidR="009261C0" w:rsidRPr="008175BB" w14:paraId="19A85A93" w14:textId="77777777" w:rsidTr="007E19D4">
        <w:trPr>
          <w:tblHeader/>
        </w:trPr>
        <w:tc>
          <w:tcPr>
            <w:tcW w:w="0" w:type="auto"/>
            <w:gridSpan w:val="2"/>
            <w:tcBorders>
              <w:top w:val="nil"/>
              <w:left w:val="nil"/>
              <w:bottom w:val="single" w:sz="6" w:space="0" w:color="000000"/>
              <w:right w:val="nil"/>
            </w:tcBorders>
            <w:vAlign w:val="center"/>
            <w:hideMark/>
          </w:tcPr>
          <w:p w14:paraId="261834E1" w14:textId="77777777" w:rsidR="009261C0" w:rsidRPr="00904517" w:rsidRDefault="009261C0" w:rsidP="007E19D4">
            <w:pPr>
              <w:spacing w:after="0" w:line="240" w:lineRule="auto"/>
              <w:rPr>
                <w:rFonts w:ascii="Times New Roman" w:eastAsia="Times New Roman" w:hAnsi="Times New Roman" w:cs="Times New Roman"/>
                <w:b/>
                <w:bCs/>
                <w:lang w:eastAsia="es-ES"/>
              </w:rPr>
            </w:pPr>
          </w:p>
        </w:tc>
        <w:tc>
          <w:tcPr>
            <w:tcW w:w="0" w:type="auto"/>
            <w:gridSpan w:val="2"/>
            <w:tcBorders>
              <w:top w:val="nil"/>
              <w:left w:val="nil"/>
              <w:bottom w:val="single" w:sz="6" w:space="0" w:color="000000"/>
              <w:right w:val="nil"/>
            </w:tcBorders>
            <w:vAlign w:val="center"/>
            <w:hideMark/>
          </w:tcPr>
          <w:p w14:paraId="09B15330"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W</w:t>
            </w:r>
          </w:p>
        </w:tc>
        <w:tc>
          <w:tcPr>
            <w:tcW w:w="0" w:type="auto"/>
            <w:gridSpan w:val="2"/>
            <w:tcBorders>
              <w:top w:val="nil"/>
              <w:left w:val="nil"/>
              <w:bottom w:val="single" w:sz="6" w:space="0" w:color="000000"/>
              <w:right w:val="nil"/>
            </w:tcBorders>
            <w:vAlign w:val="center"/>
            <w:hideMark/>
          </w:tcPr>
          <w:p w14:paraId="72D11BCC"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5B244643"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p</w:t>
            </w:r>
          </w:p>
        </w:tc>
      </w:tr>
      <w:tr w:rsidR="009261C0" w:rsidRPr="008175BB" w14:paraId="2D03A446" w14:textId="77777777" w:rsidTr="007E19D4">
        <w:tc>
          <w:tcPr>
            <w:tcW w:w="0" w:type="auto"/>
            <w:tcBorders>
              <w:top w:val="nil"/>
              <w:left w:val="nil"/>
              <w:bottom w:val="nil"/>
              <w:right w:val="nil"/>
            </w:tcBorders>
            <w:vAlign w:val="center"/>
            <w:hideMark/>
          </w:tcPr>
          <w:p w14:paraId="6AA771E5"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week 8</w:t>
            </w:r>
          </w:p>
        </w:tc>
        <w:tc>
          <w:tcPr>
            <w:tcW w:w="0" w:type="auto"/>
            <w:tcBorders>
              <w:top w:val="nil"/>
              <w:left w:val="nil"/>
              <w:bottom w:val="nil"/>
              <w:right w:val="nil"/>
            </w:tcBorders>
            <w:vAlign w:val="center"/>
            <w:hideMark/>
          </w:tcPr>
          <w:p w14:paraId="34C95CBF"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BF7DD36"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17.500</w:t>
            </w:r>
          </w:p>
        </w:tc>
        <w:tc>
          <w:tcPr>
            <w:tcW w:w="0" w:type="auto"/>
            <w:tcBorders>
              <w:top w:val="nil"/>
              <w:left w:val="nil"/>
              <w:bottom w:val="nil"/>
              <w:right w:val="nil"/>
            </w:tcBorders>
            <w:vAlign w:val="center"/>
            <w:hideMark/>
          </w:tcPr>
          <w:p w14:paraId="5EEE2194"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08B171C"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2302800A"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31F6C4A5"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0.142</w:t>
            </w:r>
          </w:p>
        </w:tc>
        <w:tc>
          <w:tcPr>
            <w:tcW w:w="0" w:type="auto"/>
            <w:tcBorders>
              <w:top w:val="nil"/>
              <w:left w:val="nil"/>
              <w:bottom w:val="nil"/>
              <w:right w:val="nil"/>
            </w:tcBorders>
            <w:vAlign w:val="center"/>
            <w:hideMark/>
          </w:tcPr>
          <w:p w14:paraId="62E2AC94"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2B527EAA" w14:textId="77777777" w:rsidTr="007E19D4">
        <w:tc>
          <w:tcPr>
            <w:tcW w:w="0" w:type="auto"/>
            <w:tcBorders>
              <w:top w:val="nil"/>
              <w:left w:val="nil"/>
              <w:bottom w:val="nil"/>
              <w:right w:val="nil"/>
            </w:tcBorders>
            <w:vAlign w:val="center"/>
            <w:hideMark/>
          </w:tcPr>
          <w:p w14:paraId="7FC1EA97"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week 10</w:t>
            </w:r>
          </w:p>
        </w:tc>
        <w:tc>
          <w:tcPr>
            <w:tcW w:w="0" w:type="auto"/>
            <w:tcBorders>
              <w:top w:val="nil"/>
              <w:left w:val="nil"/>
              <w:bottom w:val="nil"/>
              <w:right w:val="nil"/>
            </w:tcBorders>
            <w:vAlign w:val="center"/>
            <w:hideMark/>
          </w:tcPr>
          <w:p w14:paraId="4D51A8E7"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0C97E1C"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21.000</w:t>
            </w:r>
          </w:p>
        </w:tc>
        <w:tc>
          <w:tcPr>
            <w:tcW w:w="0" w:type="auto"/>
            <w:tcBorders>
              <w:top w:val="nil"/>
              <w:left w:val="nil"/>
              <w:bottom w:val="nil"/>
              <w:right w:val="nil"/>
            </w:tcBorders>
            <w:vAlign w:val="center"/>
            <w:hideMark/>
          </w:tcPr>
          <w:p w14:paraId="5CF7C9FE"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90CFC9A"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724365ED"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1EAA27F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0.033</w:t>
            </w:r>
          </w:p>
        </w:tc>
        <w:tc>
          <w:tcPr>
            <w:tcW w:w="0" w:type="auto"/>
            <w:tcBorders>
              <w:top w:val="nil"/>
              <w:left w:val="nil"/>
              <w:bottom w:val="nil"/>
              <w:right w:val="nil"/>
            </w:tcBorders>
            <w:vAlign w:val="center"/>
            <w:hideMark/>
          </w:tcPr>
          <w:p w14:paraId="00CBF3BE"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7DF89806" w14:textId="77777777" w:rsidTr="007E19D4">
        <w:tc>
          <w:tcPr>
            <w:tcW w:w="0" w:type="auto"/>
            <w:tcBorders>
              <w:top w:val="nil"/>
              <w:left w:val="nil"/>
              <w:bottom w:val="nil"/>
              <w:right w:val="nil"/>
            </w:tcBorders>
            <w:vAlign w:val="center"/>
            <w:hideMark/>
          </w:tcPr>
          <w:p w14:paraId="16D213E8"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week 12</w:t>
            </w:r>
          </w:p>
        </w:tc>
        <w:tc>
          <w:tcPr>
            <w:tcW w:w="0" w:type="auto"/>
            <w:tcBorders>
              <w:top w:val="nil"/>
              <w:left w:val="nil"/>
              <w:bottom w:val="nil"/>
              <w:right w:val="nil"/>
            </w:tcBorders>
            <w:vAlign w:val="center"/>
            <w:hideMark/>
          </w:tcPr>
          <w:p w14:paraId="14526996"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8A96776"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22.000</w:t>
            </w:r>
          </w:p>
        </w:tc>
        <w:tc>
          <w:tcPr>
            <w:tcW w:w="0" w:type="auto"/>
            <w:tcBorders>
              <w:top w:val="nil"/>
              <w:left w:val="nil"/>
              <w:bottom w:val="nil"/>
              <w:right w:val="nil"/>
            </w:tcBorders>
            <w:vAlign w:val="center"/>
            <w:hideMark/>
          </w:tcPr>
          <w:p w14:paraId="55F2F265"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449EAA6"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02BBD9F8"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7BA5B5A3"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0.021</w:t>
            </w:r>
          </w:p>
        </w:tc>
        <w:tc>
          <w:tcPr>
            <w:tcW w:w="0" w:type="auto"/>
            <w:tcBorders>
              <w:top w:val="nil"/>
              <w:left w:val="nil"/>
              <w:bottom w:val="nil"/>
              <w:right w:val="nil"/>
            </w:tcBorders>
            <w:vAlign w:val="center"/>
            <w:hideMark/>
          </w:tcPr>
          <w:p w14:paraId="1F36376A"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79A002A8" w14:textId="77777777" w:rsidTr="007E19D4">
        <w:tc>
          <w:tcPr>
            <w:tcW w:w="0" w:type="auto"/>
            <w:tcBorders>
              <w:top w:val="nil"/>
              <w:left w:val="nil"/>
              <w:bottom w:val="nil"/>
              <w:right w:val="nil"/>
            </w:tcBorders>
            <w:vAlign w:val="center"/>
            <w:hideMark/>
          </w:tcPr>
          <w:p w14:paraId="44ED1910"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week 14</w:t>
            </w:r>
          </w:p>
        </w:tc>
        <w:tc>
          <w:tcPr>
            <w:tcW w:w="0" w:type="auto"/>
            <w:tcBorders>
              <w:top w:val="nil"/>
              <w:left w:val="nil"/>
              <w:bottom w:val="nil"/>
              <w:right w:val="nil"/>
            </w:tcBorders>
            <w:vAlign w:val="center"/>
            <w:hideMark/>
          </w:tcPr>
          <w:p w14:paraId="56E75074"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3066396"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24.000</w:t>
            </w:r>
          </w:p>
        </w:tc>
        <w:tc>
          <w:tcPr>
            <w:tcW w:w="0" w:type="auto"/>
            <w:tcBorders>
              <w:top w:val="nil"/>
              <w:left w:val="nil"/>
              <w:bottom w:val="nil"/>
              <w:right w:val="nil"/>
            </w:tcBorders>
            <w:vAlign w:val="center"/>
            <w:hideMark/>
          </w:tcPr>
          <w:p w14:paraId="2727251F"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3C7CF83"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43709661"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5145CD25"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0.007</w:t>
            </w:r>
          </w:p>
        </w:tc>
        <w:tc>
          <w:tcPr>
            <w:tcW w:w="0" w:type="auto"/>
            <w:tcBorders>
              <w:top w:val="nil"/>
              <w:left w:val="nil"/>
              <w:bottom w:val="nil"/>
              <w:right w:val="nil"/>
            </w:tcBorders>
            <w:vAlign w:val="center"/>
            <w:hideMark/>
          </w:tcPr>
          <w:p w14:paraId="7DDBF056"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6D532B91" w14:textId="77777777" w:rsidTr="007E19D4">
        <w:tc>
          <w:tcPr>
            <w:tcW w:w="0" w:type="auto"/>
            <w:tcBorders>
              <w:top w:val="nil"/>
              <w:left w:val="nil"/>
              <w:bottom w:val="nil"/>
              <w:right w:val="nil"/>
            </w:tcBorders>
            <w:vAlign w:val="center"/>
            <w:hideMark/>
          </w:tcPr>
          <w:p w14:paraId="0A92EB22"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week 16</w:t>
            </w:r>
          </w:p>
        </w:tc>
        <w:tc>
          <w:tcPr>
            <w:tcW w:w="0" w:type="auto"/>
            <w:tcBorders>
              <w:top w:val="nil"/>
              <w:left w:val="nil"/>
              <w:bottom w:val="nil"/>
              <w:right w:val="nil"/>
            </w:tcBorders>
            <w:vAlign w:val="center"/>
            <w:hideMark/>
          </w:tcPr>
          <w:p w14:paraId="415333D2"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FF7C92B"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24.000</w:t>
            </w:r>
          </w:p>
        </w:tc>
        <w:tc>
          <w:tcPr>
            <w:tcW w:w="0" w:type="auto"/>
            <w:tcBorders>
              <w:top w:val="nil"/>
              <w:left w:val="nil"/>
              <w:bottom w:val="nil"/>
              <w:right w:val="nil"/>
            </w:tcBorders>
            <w:vAlign w:val="center"/>
            <w:hideMark/>
          </w:tcPr>
          <w:p w14:paraId="4FED5435"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EC44A12"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2B5A860F"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4AD5A80B"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0.007</w:t>
            </w:r>
          </w:p>
        </w:tc>
        <w:tc>
          <w:tcPr>
            <w:tcW w:w="0" w:type="auto"/>
            <w:tcBorders>
              <w:top w:val="nil"/>
              <w:left w:val="nil"/>
              <w:bottom w:val="nil"/>
              <w:right w:val="nil"/>
            </w:tcBorders>
            <w:vAlign w:val="center"/>
            <w:hideMark/>
          </w:tcPr>
          <w:p w14:paraId="019C897D"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6E4C02DA" w14:textId="77777777" w:rsidTr="007E19D4">
        <w:tc>
          <w:tcPr>
            <w:tcW w:w="0" w:type="auto"/>
            <w:gridSpan w:val="8"/>
            <w:tcBorders>
              <w:top w:val="nil"/>
              <w:left w:val="nil"/>
              <w:bottom w:val="single" w:sz="12" w:space="0" w:color="000000"/>
              <w:right w:val="nil"/>
            </w:tcBorders>
            <w:vAlign w:val="center"/>
            <w:hideMark/>
          </w:tcPr>
          <w:p w14:paraId="2ABB4B7F"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75E6BB1D" w14:textId="77777777" w:rsidTr="007E19D4">
        <w:tc>
          <w:tcPr>
            <w:tcW w:w="0" w:type="auto"/>
            <w:gridSpan w:val="8"/>
            <w:tcBorders>
              <w:top w:val="nil"/>
              <w:left w:val="nil"/>
              <w:bottom w:val="nil"/>
              <w:right w:val="nil"/>
            </w:tcBorders>
            <w:vAlign w:val="center"/>
            <w:hideMark/>
          </w:tcPr>
          <w:p w14:paraId="75165C7A"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i/>
                <w:iCs/>
                <w:lang w:eastAsia="es-ES"/>
              </w:rPr>
              <w:t>Note.</w:t>
            </w:r>
            <w:r w:rsidRPr="008175BB">
              <w:rPr>
                <w:rFonts w:ascii="Times New Roman" w:eastAsia="Times New Roman" w:hAnsi="Times New Roman" w:cs="Times New Roman"/>
                <w:lang w:eastAsia="es-ES"/>
              </w:rPr>
              <w:t xml:space="preserve">  For all tests, the alternative hypothesis specifies that group </w:t>
            </w:r>
            <w:proofErr w:type="spellStart"/>
            <w:r w:rsidRPr="008175BB">
              <w:rPr>
                <w:rFonts w:ascii="Times New Roman" w:eastAsia="Times New Roman" w:hAnsi="Times New Roman" w:cs="Times New Roman"/>
                <w:i/>
                <w:iCs/>
                <w:lang w:eastAsia="es-ES"/>
              </w:rPr>
              <w:t>TG_Veh</w:t>
            </w:r>
            <w:proofErr w:type="spellEnd"/>
            <w:r w:rsidRPr="008175BB">
              <w:rPr>
                <w:rFonts w:ascii="Times New Roman" w:eastAsia="Times New Roman" w:hAnsi="Times New Roman" w:cs="Times New Roman"/>
                <w:i/>
                <w:iCs/>
                <w:lang w:eastAsia="es-ES"/>
              </w:rPr>
              <w:t xml:space="preserve"> </w:t>
            </w:r>
            <w:r w:rsidRPr="008175BB">
              <w:rPr>
                <w:rFonts w:ascii="Times New Roman" w:eastAsia="Times New Roman" w:hAnsi="Times New Roman" w:cs="Times New Roman"/>
                <w:lang w:eastAsia="es-ES"/>
              </w:rPr>
              <w:t xml:space="preserve">is greater than group </w:t>
            </w:r>
            <w:proofErr w:type="spellStart"/>
            <w:r w:rsidRPr="008175BB">
              <w:rPr>
                <w:rFonts w:ascii="Times New Roman" w:eastAsia="Times New Roman" w:hAnsi="Times New Roman" w:cs="Times New Roman"/>
                <w:i/>
                <w:iCs/>
                <w:lang w:eastAsia="es-ES"/>
              </w:rPr>
              <w:t>WT_Veh</w:t>
            </w:r>
            <w:proofErr w:type="spellEnd"/>
            <w:r w:rsidRPr="008175BB">
              <w:rPr>
                <w:rFonts w:ascii="Times New Roman" w:eastAsia="Times New Roman" w:hAnsi="Times New Roman" w:cs="Times New Roman"/>
                <w:i/>
                <w:iCs/>
                <w:lang w:eastAsia="es-ES"/>
              </w:rPr>
              <w:t xml:space="preserve"> </w:t>
            </w:r>
            <w:r w:rsidRPr="008175BB">
              <w:rPr>
                <w:rFonts w:ascii="Times New Roman" w:eastAsia="Times New Roman" w:hAnsi="Times New Roman" w:cs="Times New Roman"/>
                <w:lang w:eastAsia="es-ES"/>
              </w:rPr>
              <w:t>.</w:t>
            </w:r>
          </w:p>
        </w:tc>
      </w:tr>
    </w:tbl>
    <w:p w14:paraId="2FA53F0C" w14:textId="77777777" w:rsidR="009261C0" w:rsidRPr="00376408" w:rsidRDefault="009261C0" w:rsidP="009261C0">
      <w:pPr>
        <w:spacing w:after="0" w:line="240" w:lineRule="auto"/>
        <w:rPr>
          <w:rFonts w:ascii="Times New Roman" w:eastAsia="Times New Roman" w:hAnsi="Times New Roman" w:cs="Times New Roman"/>
          <w:lang w:eastAsia="es-ES"/>
        </w:rPr>
      </w:pPr>
    </w:p>
    <w:p w14:paraId="71707E68" w14:textId="77777777" w:rsidR="009261C0" w:rsidRDefault="009261C0" w:rsidP="009261C0">
      <w:pPr>
        <w:rPr>
          <w:rFonts w:ascii="Times New Roman" w:eastAsia="Times New Roman" w:hAnsi="Times New Roman" w:cs="Times New Roman"/>
          <w:lang w:eastAsia="es-ES"/>
        </w:rPr>
      </w:pPr>
      <w:r>
        <w:rPr>
          <w:rFonts w:ascii="Times New Roman" w:eastAsia="Times New Roman" w:hAnsi="Times New Roman" w:cs="Times New Roman"/>
          <w:lang w:eastAsia="es-ES"/>
        </w:rPr>
        <w:br w:type="page"/>
      </w:r>
    </w:p>
    <w:p w14:paraId="03AE4DD3" w14:textId="77777777" w:rsidR="009261C0" w:rsidRPr="002829B0" w:rsidRDefault="009261C0" w:rsidP="002829B0">
      <w:pPr>
        <w:rPr>
          <w:rFonts w:ascii="Times New Roman" w:hAnsi="Times New Roman" w:cs="Times New Roman"/>
          <w:b/>
          <w:sz w:val="28"/>
          <w:szCs w:val="28"/>
          <w:lang w:eastAsia="es-ES"/>
        </w:rPr>
      </w:pPr>
      <w:r w:rsidRPr="002829B0">
        <w:rPr>
          <w:rFonts w:ascii="Times New Roman" w:hAnsi="Times New Roman" w:cs="Times New Roman"/>
          <w:b/>
          <w:sz w:val="28"/>
          <w:szCs w:val="28"/>
          <w:lang w:eastAsia="es-ES"/>
        </w:rPr>
        <w:lastRenderedPageBreak/>
        <w:t>Repeated Measures ANOVA for G93A, treated vs non-treated</w:t>
      </w:r>
    </w:p>
    <w:p w14:paraId="50EC5CCF" w14:textId="77777777" w:rsidR="009261C0" w:rsidRDefault="009261C0" w:rsidP="009261C0">
      <w:pPr>
        <w:spacing w:after="0" w:line="240" w:lineRule="auto"/>
        <w:rPr>
          <w:rFonts w:ascii="Times New Roman" w:eastAsia="Times New Roman" w:hAnsi="Times New Roman" w:cs="Times New Roman"/>
          <w:lang w:eastAsia="es-ES"/>
        </w:rPr>
      </w:pPr>
      <w:r w:rsidRPr="00704FD7">
        <w:rPr>
          <w:rFonts w:ascii="Times New Roman" w:eastAsia="Times New Roman" w:hAnsi="Times New Roman" w:cs="Times New Roman"/>
          <w:lang w:eastAsia="es-ES"/>
        </w:rPr>
        <w:t>GCN2ib treatment of G93A mice delays the appearance of SAPs, only becoming significant at 14 weeks:</w:t>
      </w:r>
    </w:p>
    <w:p w14:paraId="16B16424" w14:textId="77777777" w:rsidR="009261C0" w:rsidRPr="00704FD7" w:rsidRDefault="009261C0" w:rsidP="009261C0">
      <w:pPr>
        <w:spacing w:after="0" w:line="240" w:lineRule="auto"/>
        <w:rPr>
          <w:rFonts w:ascii="Times New Roman" w:eastAsia="Times New Roman" w:hAnsi="Times New Roman" w:cs="Times New Roman"/>
          <w:lang w:eastAsia="es-ES"/>
        </w:rPr>
      </w:pPr>
    </w:p>
    <w:tbl>
      <w:tblPr>
        <w:tblW w:w="0" w:type="auto"/>
        <w:tblCellMar>
          <w:top w:w="15" w:type="dxa"/>
          <w:left w:w="15" w:type="dxa"/>
          <w:bottom w:w="15" w:type="dxa"/>
          <w:right w:w="15" w:type="dxa"/>
        </w:tblCellMar>
        <w:tblLook w:val="04A0" w:firstRow="1" w:lastRow="0" w:firstColumn="1" w:lastColumn="0" w:noHBand="0" w:noVBand="1"/>
      </w:tblPr>
      <w:tblGrid>
        <w:gridCol w:w="1461"/>
        <w:gridCol w:w="36"/>
        <w:gridCol w:w="1939"/>
        <w:gridCol w:w="138"/>
        <w:gridCol w:w="1456"/>
        <w:gridCol w:w="54"/>
        <w:gridCol w:w="635"/>
        <w:gridCol w:w="36"/>
        <w:gridCol w:w="1243"/>
        <w:gridCol w:w="52"/>
        <w:gridCol w:w="525"/>
        <w:gridCol w:w="36"/>
        <w:gridCol w:w="595"/>
        <w:gridCol w:w="36"/>
      </w:tblGrid>
      <w:tr w:rsidR="009261C0" w:rsidRPr="008175BB" w14:paraId="08096B1A" w14:textId="77777777" w:rsidTr="007E19D4">
        <w:trPr>
          <w:tblHeader/>
        </w:trPr>
        <w:tc>
          <w:tcPr>
            <w:tcW w:w="0" w:type="auto"/>
            <w:gridSpan w:val="14"/>
            <w:tcBorders>
              <w:top w:val="nil"/>
              <w:left w:val="nil"/>
              <w:bottom w:val="single" w:sz="6" w:space="0" w:color="000000"/>
              <w:right w:val="nil"/>
            </w:tcBorders>
            <w:vAlign w:val="center"/>
            <w:hideMark/>
          </w:tcPr>
          <w:p w14:paraId="2E5B84FB" w14:textId="77777777" w:rsidR="009261C0" w:rsidRPr="008175BB" w:rsidRDefault="009261C0" w:rsidP="007E19D4">
            <w:pPr>
              <w:spacing w:after="0" w:line="240" w:lineRule="auto"/>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 xml:space="preserve">Within Subjects Effects </w:t>
            </w:r>
          </w:p>
        </w:tc>
      </w:tr>
      <w:tr w:rsidR="009261C0" w:rsidRPr="008175BB" w14:paraId="69B13A1B" w14:textId="77777777" w:rsidTr="007E19D4">
        <w:trPr>
          <w:tblHeader/>
        </w:trPr>
        <w:tc>
          <w:tcPr>
            <w:tcW w:w="0" w:type="auto"/>
            <w:gridSpan w:val="2"/>
            <w:tcBorders>
              <w:top w:val="nil"/>
              <w:left w:val="nil"/>
              <w:bottom w:val="single" w:sz="6" w:space="0" w:color="000000"/>
              <w:right w:val="nil"/>
            </w:tcBorders>
            <w:vAlign w:val="center"/>
            <w:hideMark/>
          </w:tcPr>
          <w:p w14:paraId="6C5E76B8"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7EFD6C79"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Sphericity Correction</w:t>
            </w:r>
          </w:p>
        </w:tc>
        <w:tc>
          <w:tcPr>
            <w:tcW w:w="0" w:type="auto"/>
            <w:gridSpan w:val="2"/>
            <w:tcBorders>
              <w:top w:val="nil"/>
              <w:left w:val="nil"/>
              <w:bottom w:val="single" w:sz="6" w:space="0" w:color="000000"/>
              <w:right w:val="nil"/>
            </w:tcBorders>
            <w:vAlign w:val="center"/>
            <w:hideMark/>
          </w:tcPr>
          <w:p w14:paraId="5B375312"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747AAFC7"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21B6681F"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6DC5266E"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3F603A81"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p</w:t>
            </w:r>
          </w:p>
        </w:tc>
      </w:tr>
      <w:tr w:rsidR="009261C0" w:rsidRPr="008175BB" w14:paraId="32AD831A" w14:textId="77777777" w:rsidTr="007E19D4">
        <w:tc>
          <w:tcPr>
            <w:tcW w:w="0" w:type="auto"/>
            <w:tcBorders>
              <w:top w:val="nil"/>
              <w:left w:val="nil"/>
              <w:bottom w:val="nil"/>
              <w:right w:val="nil"/>
            </w:tcBorders>
            <w:vAlign w:val="center"/>
            <w:hideMark/>
          </w:tcPr>
          <w:p w14:paraId="4F0F1671"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Weeks</w:t>
            </w:r>
          </w:p>
        </w:tc>
        <w:tc>
          <w:tcPr>
            <w:tcW w:w="0" w:type="auto"/>
            <w:tcBorders>
              <w:top w:val="nil"/>
              <w:left w:val="nil"/>
              <w:bottom w:val="nil"/>
              <w:right w:val="nil"/>
            </w:tcBorders>
            <w:vAlign w:val="center"/>
            <w:hideMark/>
          </w:tcPr>
          <w:p w14:paraId="10DCD7D4"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3508D47"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4448852E"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D2A0BE2"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20552.562</w:t>
            </w:r>
          </w:p>
        </w:tc>
        <w:tc>
          <w:tcPr>
            <w:tcW w:w="0" w:type="auto"/>
            <w:tcBorders>
              <w:top w:val="nil"/>
              <w:left w:val="nil"/>
              <w:bottom w:val="nil"/>
              <w:right w:val="nil"/>
            </w:tcBorders>
            <w:vAlign w:val="center"/>
            <w:hideMark/>
          </w:tcPr>
          <w:p w14:paraId="4116A33C"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C810F3D"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4.000</w:t>
            </w:r>
          </w:p>
        </w:tc>
        <w:tc>
          <w:tcPr>
            <w:tcW w:w="0" w:type="auto"/>
            <w:tcBorders>
              <w:top w:val="nil"/>
              <w:left w:val="nil"/>
              <w:bottom w:val="nil"/>
              <w:right w:val="nil"/>
            </w:tcBorders>
            <w:vAlign w:val="center"/>
            <w:hideMark/>
          </w:tcPr>
          <w:p w14:paraId="1E3253DB"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BC7B0FC"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5138.140</w:t>
            </w:r>
          </w:p>
        </w:tc>
        <w:tc>
          <w:tcPr>
            <w:tcW w:w="0" w:type="auto"/>
            <w:tcBorders>
              <w:top w:val="nil"/>
              <w:left w:val="nil"/>
              <w:bottom w:val="nil"/>
              <w:right w:val="nil"/>
            </w:tcBorders>
            <w:vAlign w:val="center"/>
            <w:hideMark/>
          </w:tcPr>
          <w:p w14:paraId="06DD5E69"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57B91B9"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9.397</w:t>
            </w:r>
          </w:p>
        </w:tc>
        <w:tc>
          <w:tcPr>
            <w:tcW w:w="0" w:type="auto"/>
            <w:tcBorders>
              <w:top w:val="nil"/>
              <w:left w:val="nil"/>
              <w:bottom w:val="nil"/>
              <w:right w:val="nil"/>
            </w:tcBorders>
            <w:vAlign w:val="center"/>
            <w:hideMark/>
          </w:tcPr>
          <w:p w14:paraId="20924D29"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7A6E78D"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&lt; .001</w:t>
            </w:r>
          </w:p>
        </w:tc>
        <w:tc>
          <w:tcPr>
            <w:tcW w:w="0" w:type="auto"/>
            <w:tcBorders>
              <w:top w:val="nil"/>
              <w:left w:val="nil"/>
              <w:bottom w:val="nil"/>
              <w:right w:val="nil"/>
            </w:tcBorders>
            <w:vAlign w:val="center"/>
            <w:hideMark/>
          </w:tcPr>
          <w:p w14:paraId="490DD4E7" w14:textId="77777777" w:rsidR="009261C0" w:rsidRPr="008175BB" w:rsidRDefault="009261C0" w:rsidP="007E19D4">
            <w:pPr>
              <w:spacing w:after="0" w:line="240" w:lineRule="auto"/>
              <w:rPr>
                <w:rFonts w:ascii="Times New Roman" w:eastAsia="Times New Roman" w:hAnsi="Times New Roman" w:cs="Times New Roman"/>
                <w:lang w:eastAsia="es-ES"/>
              </w:rPr>
            </w:pPr>
          </w:p>
        </w:tc>
      </w:tr>
      <w:tr w:rsidR="009261C0" w:rsidRPr="008175BB" w14:paraId="7C7B348E" w14:textId="77777777" w:rsidTr="007E19D4">
        <w:tc>
          <w:tcPr>
            <w:tcW w:w="0" w:type="auto"/>
            <w:tcBorders>
              <w:top w:val="nil"/>
              <w:left w:val="nil"/>
              <w:bottom w:val="nil"/>
              <w:right w:val="nil"/>
            </w:tcBorders>
            <w:vAlign w:val="center"/>
            <w:hideMark/>
          </w:tcPr>
          <w:p w14:paraId="458B4679"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xml:space="preserve">Weeks </w:t>
            </w:r>
            <w:r w:rsidRPr="008175BB">
              <w:rPr>
                <w:rFonts w:ascii="Segoe UI Symbol" w:eastAsia="Times New Roman" w:hAnsi="Segoe UI Symbol" w:cs="Segoe UI Symbol"/>
                <w:sz w:val="18"/>
                <w:szCs w:val="18"/>
                <w:lang w:eastAsia="es-ES"/>
              </w:rPr>
              <w:t>✻</w:t>
            </w:r>
            <w:r w:rsidRPr="008175BB">
              <w:rPr>
                <w:rFonts w:ascii="Times New Roman" w:eastAsia="Times New Roman" w:hAnsi="Times New Roman" w:cs="Times New Roman"/>
                <w:lang w:eastAsia="es-ES"/>
              </w:rPr>
              <w:t xml:space="preserve"> Group</w:t>
            </w:r>
          </w:p>
        </w:tc>
        <w:tc>
          <w:tcPr>
            <w:tcW w:w="0" w:type="auto"/>
            <w:tcBorders>
              <w:top w:val="nil"/>
              <w:left w:val="nil"/>
              <w:bottom w:val="nil"/>
              <w:right w:val="nil"/>
            </w:tcBorders>
            <w:vAlign w:val="center"/>
            <w:hideMark/>
          </w:tcPr>
          <w:p w14:paraId="0B1B7B7C"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85CEA43"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5F93D83E"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5DB9C70"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5704.887</w:t>
            </w:r>
          </w:p>
        </w:tc>
        <w:tc>
          <w:tcPr>
            <w:tcW w:w="0" w:type="auto"/>
            <w:tcBorders>
              <w:top w:val="nil"/>
              <w:left w:val="nil"/>
              <w:bottom w:val="nil"/>
              <w:right w:val="nil"/>
            </w:tcBorders>
            <w:vAlign w:val="center"/>
            <w:hideMark/>
          </w:tcPr>
          <w:p w14:paraId="150D4D55"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A5C64C9"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4.000</w:t>
            </w:r>
          </w:p>
        </w:tc>
        <w:tc>
          <w:tcPr>
            <w:tcW w:w="0" w:type="auto"/>
            <w:tcBorders>
              <w:top w:val="nil"/>
              <w:left w:val="nil"/>
              <w:bottom w:val="nil"/>
              <w:right w:val="nil"/>
            </w:tcBorders>
            <w:vAlign w:val="center"/>
            <w:hideMark/>
          </w:tcPr>
          <w:p w14:paraId="059341A0"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D4938FD"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1426.222</w:t>
            </w:r>
          </w:p>
        </w:tc>
        <w:tc>
          <w:tcPr>
            <w:tcW w:w="0" w:type="auto"/>
            <w:tcBorders>
              <w:top w:val="nil"/>
              <w:left w:val="nil"/>
              <w:bottom w:val="nil"/>
              <w:right w:val="nil"/>
            </w:tcBorders>
            <w:vAlign w:val="center"/>
            <w:hideMark/>
          </w:tcPr>
          <w:p w14:paraId="7D1C4601"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0B69D8F"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2.608</w:t>
            </w:r>
          </w:p>
        </w:tc>
        <w:tc>
          <w:tcPr>
            <w:tcW w:w="0" w:type="auto"/>
            <w:tcBorders>
              <w:top w:val="nil"/>
              <w:left w:val="nil"/>
              <w:bottom w:val="nil"/>
              <w:right w:val="nil"/>
            </w:tcBorders>
            <w:vAlign w:val="center"/>
            <w:hideMark/>
          </w:tcPr>
          <w:p w14:paraId="38C740E7"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F11C279"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0.050</w:t>
            </w:r>
          </w:p>
        </w:tc>
        <w:tc>
          <w:tcPr>
            <w:tcW w:w="0" w:type="auto"/>
            <w:tcBorders>
              <w:top w:val="nil"/>
              <w:left w:val="nil"/>
              <w:bottom w:val="nil"/>
              <w:right w:val="nil"/>
            </w:tcBorders>
            <w:vAlign w:val="center"/>
            <w:hideMark/>
          </w:tcPr>
          <w:p w14:paraId="775E6CA7" w14:textId="77777777" w:rsidR="009261C0" w:rsidRPr="008175BB" w:rsidRDefault="009261C0" w:rsidP="007E19D4">
            <w:pPr>
              <w:spacing w:after="0" w:line="240" w:lineRule="auto"/>
              <w:rPr>
                <w:rFonts w:ascii="Times New Roman" w:eastAsia="Times New Roman" w:hAnsi="Times New Roman" w:cs="Times New Roman"/>
                <w:lang w:eastAsia="es-ES"/>
              </w:rPr>
            </w:pPr>
          </w:p>
        </w:tc>
      </w:tr>
      <w:tr w:rsidR="009261C0" w:rsidRPr="008175BB" w14:paraId="508D53FA" w14:textId="77777777" w:rsidTr="007E19D4">
        <w:tc>
          <w:tcPr>
            <w:tcW w:w="0" w:type="auto"/>
            <w:tcBorders>
              <w:top w:val="nil"/>
              <w:left w:val="nil"/>
              <w:bottom w:val="nil"/>
              <w:right w:val="nil"/>
            </w:tcBorders>
            <w:vAlign w:val="center"/>
            <w:hideMark/>
          </w:tcPr>
          <w:p w14:paraId="1D9C2F63"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0BD2AFED"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B3CB19"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08835A2C"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227068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21872.039</w:t>
            </w:r>
          </w:p>
        </w:tc>
        <w:tc>
          <w:tcPr>
            <w:tcW w:w="0" w:type="auto"/>
            <w:tcBorders>
              <w:top w:val="nil"/>
              <w:left w:val="nil"/>
              <w:bottom w:val="nil"/>
              <w:right w:val="nil"/>
            </w:tcBorders>
            <w:vAlign w:val="center"/>
            <w:hideMark/>
          </w:tcPr>
          <w:p w14:paraId="1E3239E5"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7E3B94C"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40.000</w:t>
            </w:r>
          </w:p>
        </w:tc>
        <w:tc>
          <w:tcPr>
            <w:tcW w:w="0" w:type="auto"/>
            <w:tcBorders>
              <w:top w:val="nil"/>
              <w:left w:val="nil"/>
              <w:bottom w:val="nil"/>
              <w:right w:val="nil"/>
            </w:tcBorders>
            <w:vAlign w:val="center"/>
            <w:hideMark/>
          </w:tcPr>
          <w:p w14:paraId="46484771"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DE981AE"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546.801</w:t>
            </w:r>
          </w:p>
        </w:tc>
        <w:tc>
          <w:tcPr>
            <w:tcW w:w="0" w:type="auto"/>
            <w:tcBorders>
              <w:top w:val="nil"/>
              <w:left w:val="nil"/>
              <w:bottom w:val="nil"/>
              <w:right w:val="nil"/>
            </w:tcBorders>
            <w:vAlign w:val="center"/>
            <w:hideMark/>
          </w:tcPr>
          <w:p w14:paraId="6220E2ED"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2AE7B76"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1AC31DC9"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4A5A592C"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071BCCD2"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78CF05F0" w14:textId="77777777" w:rsidTr="007E19D4">
        <w:tc>
          <w:tcPr>
            <w:tcW w:w="0" w:type="auto"/>
            <w:gridSpan w:val="14"/>
            <w:tcBorders>
              <w:top w:val="nil"/>
              <w:left w:val="nil"/>
              <w:bottom w:val="single" w:sz="12" w:space="0" w:color="000000"/>
              <w:right w:val="nil"/>
            </w:tcBorders>
            <w:vAlign w:val="center"/>
            <w:hideMark/>
          </w:tcPr>
          <w:p w14:paraId="58DB86CB"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2E74E2F0" w14:textId="77777777" w:rsidTr="007E19D4">
        <w:tc>
          <w:tcPr>
            <w:tcW w:w="0" w:type="auto"/>
            <w:gridSpan w:val="14"/>
            <w:tcBorders>
              <w:top w:val="nil"/>
              <w:left w:val="nil"/>
              <w:bottom w:val="nil"/>
              <w:right w:val="nil"/>
            </w:tcBorders>
            <w:vAlign w:val="center"/>
            <w:hideMark/>
          </w:tcPr>
          <w:p w14:paraId="3923D37B"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i/>
                <w:iCs/>
                <w:lang w:eastAsia="es-ES"/>
              </w:rPr>
              <w:t>Note.</w:t>
            </w:r>
            <w:r w:rsidRPr="008175BB">
              <w:rPr>
                <w:rFonts w:ascii="Times New Roman" w:eastAsia="Times New Roman" w:hAnsi="Times New Roman" w:cs="Times New Roman"/>
                <w:lang w:eastAsia="es-ES"/>
              </w:rPr>
              <w:t xml:space="preserve">  Type II Sum of Squares</w:t>
            </w:r>
          </w:p>
        </w:tc>
      </w:tr>
    </w:tbl>
    <w:p w14:paraId="5532CF14" w14:textId="77777777" w:rsidR="009261C0" w:rsidRPr="008175BB" w:rsidRDefault="009261C0" w:rsidP="009261C0">
      <w:pPr>
        <w:spacing w:after="126"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886"/>
        <w:gridCol w:w="36"/>
        <w:gridCol w:w="1456"/>
        <w:gridCol w:w="54"/>
        <w:gridCol w:w="250"/>
        <w:gridCol w:w="36"/>
        <w:gridCol w:w="1243"/>
        <w:gridCol w:w="52"/>
        <w:gridCol w:w="525"/>
        <w:gridCol w:w="36"/>
        <w:gridCol w:w="525"/>
        <w:gridCol w:w="36"/>
      </w:tblGrid>
      <w:tr w:rsidR="009261C0" w:rsidRPr="008175BB" w14:paraId="22F3F728" w14:textId="77777777" w:rsidTr="007E19D4">
        <w:trPr>
          <w:tblHeader/>
        </w:trPr>
        <w:tc>
          <w:tcPr>
            <w:tcW w:w="0" w:type="auto"/>
            <w:gridSpan w:val="12"/>
            <w:tcBorders>
              <w:top w:val="nil"/>
              <w:left w:val="nil"/>
              <w:bottom w:val="single" w:sz="6" w:space="0" w:color="000000"/>
              <w:right w:val="nil"/>
            </w:tcBorders>
            <w:vAlign w:val="center"/>
            <w:hideMark/>
          </w:tcPr>
          <w:p w14:paraId="193F0D75" w14:textId="77777777" w:rsidR="009261C0" w:rsidRPr="008175BB" w:rsidRDefault="009261C0" w:rsidP="007E19D4">
            <w:pPr>
              <w:spacing w:after="0" w:line="240" w:lineRule="auto"/>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 xml:space="preserve">Between Subjects Effects </w:t>
            </w:r>
          </w:p>
        </w:tc>
      </w:tr>
      <w:tr w:rsidR="009261C0" w:rsidRPr="008175BB" w14:paraId="31D351C4" w14:textId="77777777" w:rsidTr="007E19D4">
        <w:trPr>
          <w:tblHeader/>
        </w:trPr>
        <w:tc>
          <w:tcPr>
            <w:tcW w:w="0" w:type="auto"/>
            <w:gridSpan w:val="2"/>
            <w:tcBorders>
              <w:top w:val="nil"/>
              <w:left w:val="nil"/>
              <w:bottom w:val="single" w:sz="6" w:space="0" w:color="000000"/>
              <w:right w:val="nil"/>
            </w:tcBorders>
            <w:vAlign w:val="center"/>
            <w:hideMark/>
          </w:tcPr>
          <w:p w14:paraId="045D6F1C"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0F7C33C8"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2ADB3262"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3628B251"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524DA9A9"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0872A93E" w14:textId="77777777" w:rsidR="009261C0" w:rsidRPr="008175BB" w:rsidRDefault="009261C0" w:rsidP="007E19D4">
            <w:pPr>
              <w:spacing w:after="0" w:line="240" w:lineRule="auto"/>
              <w:jc w:val="center"/>
              <w:rPr>
                <w:rFonts w:ascii="Times New Roman" w:eastAsia="Times New Roman" w:hAnsi="Times New Roman" w:cs="Times New Roman"/>
                <w:b/>
                <w:bCs/>
                <w:lang w:eastAsia="es-ES"/>
              </w:rPr>
            </w:pPr>
            <w:r w:rsidRPr="008175BB">
              <w:rPr>
                <w:rFonts w:ascii="Times New Roman" w:eastAsia="Times New Roman" w:hAnsi="Times New Roman" w:cs="Times New Roman"/>
                <w:b/>
                <w:bCs/>
                <w:lang w:eastAsia="es-ES"/>
              </w:rPr>
              <w:t>p</w:t>
            </w:r>
          </w:p>
        </w:tc>
      </w:tr>
      <w:tr w:rsidR="009261C0" w:rsidRPr="008175BB" w14:paraId="06F53252" w14:textId="77777777" w:rsidTr="007E19D4">
        <w:tc>
          <w:tcPr>
            <w:tcW w:w="0" w:type="auto"/>
            <w:tcBorders>
              <w:top w:val="nil"/>
              <w:left w:val="nil"/>
              <w:bottom w:val="nil"/>
              <w:right w:val="nil"/>
            </w:tcBorders>
            <w:vAlign w:val="center"/>
            <w:hideMark/>
          </w:tcPr>
          <w:p w14:paraId="12F4A66B"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Group</w:t>
            </w:r>
          </w:p>
        </w:tc>
        <w:tc>
          <w:tcPr>
            <w:tcW w:w="0" w:type="auto"/>
            <w:tcBorders>
              <w:top w:val="nil"/>
              <w:left w:val="nil"/>
              <w:bottom w:val="nil"/>
              <w:right w:val="nil"/>
            </w:tcBorders>
            <w:vAlign w:val="center"/>
            <w:hideMark/>
          </w:tcPr>
          <w:p w14:paraId="4EA12505"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7161BF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3150.746</w:t>
            </w:r>
          </w:p>
        </w:tc>
        <w:tc>
          <w:tcPr>
            <w:tcW w:w="0" w:type="auto"/>
            <w:tcBorders>
              <w:top w:val="nil"/>
              <w:left w:val="nil"/>
              <w:bottom w:val="nil"/>
              <w:right w:val="nil"/>
            </w:tcBorders>
            <w:vAlign w:val="center"/>
            <w:hideMark/>
          </w:tcPr>
          <w:p w14:paraId="463BA2D4"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8E27F85"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w:t>
            </w:r>
          </w:p>
        </w:tc>
        <w:tc>
          <w:tcPr>
            <w:tcW w:w="0" w:type="auto"/>
            <w:tcBorders>
              <w:top w:val="nil"/>
              <w:left w:val="nil"/>
              <w:bottom w:val="nil"/>
              <w:right w:val="nil"/>
            </w:tcBorders>
            <w:vAlign w:val="center"/>
            <w:hideMark/>
          </w:tcPr>
          <w:p w14:paraId="24430FB9"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BBEF02B"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3150.746</w:t>
            </w:r>
          </w:p>
        </w:tc>
        <w:tc>
          <w:tcPr>
            <w:tcW w:w="0" w:type="auto"/>
            <w:tcBorders>
              <w:top w:val="nil"/>
              <w:left w:val="nil"/>
              <w:bottom w:val="nil"/>
              <w:right w:val="nil"/>
            </w:tcBorders>
            <w:vAlign w:val="center"/>
            <w:hideMark/>
          </w:tcPr>
          <w:p w14:paraId="271071CC"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CEA6039"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2.951</w:t>
            </w:r>
          </w:p>
        </w:tc>
        <w:tc>
          <w:tcPr>
            <w:tcW w:w="0" w:type="auto"/>
            <w:tcBorders>
              <w:top w:val="nil"/>
              <w:left w:val="nil"/>
              <w:bottom w:val="nil"/>
              <w:right w:val="nil"/>
            </w:tcBorders>
            <w:vAlign w:val="center"/>
            <w:hideMark/>
          </w:tcPr>
          <w:p w14:paraId="067A3EA1"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AC16AC0"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0.117</w:t>
            </w:r>
          </w:p>
        </w:tc>
        <w:tc>
          <w:tcPr>
            <w:tcW w:w="0" w:type="auto"/>
            <w:tcBorders>
              <w:top w:val="nil"/>
              <w:left w:val="nil"/>
              <w:bottom w:val="nil"/>
              <w:right w:val="nil"/>
            </w:tcBorders>
            <w:vAlign w:val="center"/>
            <w:hideMark/>
          </w:tcPr>
          <w:p w14:paraId="09290D70"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0B3AAE4D" w14:textId="77777777" w:rsidTr="007E19D4">
        <w:tc>
          <w:tcPr>
            <w:tcW w:w="0" w:type="auto"/>
            <w:tcBorders>
              <w:top w:val="nil"/>
              <w:left w:val="nil"/>
              <w:bottom w:val="nil"/>
              <w:right w:val="nil"/>
            </w:tcBorders>
            <w:vAlign w:val="center"/>
            <w:hideMark/>
          </w:tcPr>
          <w:p w14:paraId="079822D9"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727D9501" w14:textId="77777777" w:rsidR="009261C0" w:rsidRPr="008175BB"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6CA2DB7"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10676.175</w:t>
            </w:r>
          </w:p>
        </w:tc>
        <w:tc>
          <w:tcPr>
            <w:tcW w:w="0" w:type="auto"/>
            <w:tcBorders>
              <w:top w:val="nil"/>
              <w:left w:val="nil"/>
              <w:bottom w:val="nil"/>
              <w:right w:val="nil"/>
            </w:tcBorders>
            <w:vAlign w:val="center"/>
            <w:hideMark/>
          </w:tcPr>
          <w:p w14:paraId="2548A41E"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ECCD62E"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10</w:t>
            </w:r>
          </w:p>
        </w:tc>
        <w:tc>
          <w:tcPr>
            <w:tcW w:w="0" w:type="auto"/>
            <w:tcBorders>
              <w:top w:val="nil"/>
              <w:left w:val="nil"/>
              <w:bottom w:val="nil"/>
              <w:right w:val="nil"/>
            </w:tcBorders>
            <w:vAlign w:val="center"/>
            <w:hideMark/>
          </w:tcPr>
          <w:p w14:paraId="4341A742"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8BA7541"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1067.618</w:t>
            </w:r>
          </w:p>
        </w:tc>
        <w:tc>
          <w:tcPr>
            <w:tcW w:w="0" w:type="auto"/>
            <w:tcBorders>
              <w:top w:val="nil"/>
              <w:left w:val="nil"/>
              <w:bottom w:val="nil"/>
              <w:right w:val="nil"/>
            </w:tcBorders>
            <w:vAlign w:val="center"/>
            <w:hideMark/>
          </w:tcPr>
          <w:p w14:paraId="34311621"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A2ACFD2"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37739158" w14:textId="77777777" w:rsidR="009261C0" w:rsidRPr="008175BB"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679B9F94" w14:textId="77777777" w:rsidR="009261C0" w:rsidRPr="008175BB" w:rsidRDefault="009261C0" w:rsidP="007E19D4">
            <w:pPr>
              <w:spacing w:after="0" w:line="240" w:lineRule="auto"/>
              <w:jc w:val="right"/>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5845DCF6" w14:textId="77777777" w:rsidR="009261C0" w:rsidRPr="008175BB" w:rsidRDefault="009261C0" w:rsidP="007E19D4">
            <w:pPr>
              <w:spacing w:after="0" w:line="240" w:lineRule="auto"/>
              <w:jc w:val="right"/>
              <w:rPr>
                <w:rFonts w:ascii="Times New Roman" w:eastAsia="Times New Roman" w:hAnsi="Times New Roman" w:cs="Times New Roman"/>
                <w:lang w:eastAsia="es-ES"/>
              </w:rPr>
            </w:pPr>
          </w:p>
        </w:tc>
      </w:tr>
      <w:tr w:rsidR="009261C0" w:rsidRPr="008175BB" w14:paraId="7F9D0A4D" w14:textId="77777777" w:rsidTr="007E19D4">
        <w:tc>
          <w:tcPr>
            <w:tcW w:w="0" w:type="auto"/>
            <w:gridSpan w:val="12"/>
            <w:tcBorders>
              <w:top w:val="nil"/>
              <w:left w:val="nil"/>
              <w:bottom w:val="single" w:sz="12" w:space="0" w:color="000000"/>
              <w:right w:val="nil"/>
            </w:tcBorders>
            <w:vAlign w:val="center"/>
            <w:hideMark/>
          </w:tcPr>
          <w:p w14:paraId="653D66C9" w14:textId="77777777" w:rsidR="009261C0" w:rsidRPr="008175BB"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30FA6294" w14:textId="77777777" w:rsidTr="007E19D4">
        <w:tc>
          <w:tcPr>
            <w:tcW w:w="0" w:type="auto"/>
            <w:gridSpan w:val="12"/>
            <w:tcBorders>
              <w:top w:val="nil"/>
              <w:left w:val="nil"/>
              <w:bottom w:val="nil"/>
              <w:right w:val="nil"/>
            </w:tcBorders>
            <w:vAlign w:val="center"/>
            <w:hideMark/>
          </w:tcPr>
          <w:p w14:paraId="46A131A5" w14:textId="77777777" w:rsidR="009261C0" w:rsidRPr="008175BB" w:rsidRDefault="009261C0" w:rsidP="007E19D4">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i/>
                <w:iCs/>
                <w:lang w:eastAsia="es-ES"/>
              </w:rPr>
              <w:t>Note.</w:t>
            </w:r>
            <w:r w:rsidRPr="008175BB">
              <w:rPr>
                <w:rFonts w:ascii="Times New Roman" w:eastAsia="Times New Roman" w:hAnsi="Times New Roman" w:cs="Times New Roman"/>
                <w:lang w:eastAsia="es-ES"/>
              </w:rPr>
              <w:t xml:space="preserve">  Type II Sum of Squares</w:t>
            </w:r>
          </w:p>
        </w:tc>
      </w:tr>
    </w:tbl>
    <w:p w14:paraId="10A4A73A" w14:textId="77777777" w:rsidR="009261C0" w:rsidRPr="008175BB" w:rsidRDefault="009261C0" w:rsidP="009261C0">
      <w:pPr>
        <w:spacing w:after="0" w:line="240" w:lineRule="auto"/>
        <w:rPr>
          <w:rFonts w:ascii="Times New Roman" w:eastAsia="Times New Roman" w:hAnsi="Times New Roman" w:cs="Times New Roman"/>
          <w:lang w:eastAsia="es-ES"/>
        </w:rPr>
      </w:pPr>
      <w:r w:rsidRPr="008175BB">
        <w:rPr>
          <w:rFonts w:ascii="Times New Roman" w:eastAsia="Times New Roman" w:hAnsi="Times New Roman" w:cs="Times New Roman"/>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994"/>
        <w:gridCol w:w="55"/>
        <w:gridCol w:w="1843"/>
        <w:gridCol w:w="55"/>
        <w:gridCol w:w="220"/>
        <w:gridCol w:w="56"/>
        <w:gridCol w:w="318"/>
        <w:gridCol w:w="318"/>
        <w:gridCol w:w="568"/>
        <w:gridCol w:w="318"/>
        <w:gridCol w:w="318"/>
        <w:gridCol w:w="312"/>
        <w:gridCol w:w="962"/>
        <w:gridCol w:w="55"/>
        <w:gridCol w:w="106"/>
        <w:gridCol w:w="616"/>
        <w:gridCol w:w="53"/>
        <w:gridCol w:w="53"/>
        <w:gridCol w:w="653"/>
        <w:gridCol w:w="399"/>
        <w:gridCol w:w="232"/>
      </w:tblGrid>
      <w:tr w:rsidR="009261C0" w:rsidRPr="001956DC" w14:paraId="5AACE45F" w14:textId="77777777" w:rsidTr="007E19D4">
        <w:trPr>
          <w:tblHeader/>
        </w:trPr>
        <w:tc>
          <w:tcPr>
            <w:tcW w:w="0" w:type="auto"/>
            <w:gridSpan w:val="21"/>
            <w:tcBorders>
              <w:top w:val="nil"/>
              <w:left w:val="nil"/>
              <w:bottom w:val="single" w:sz="6" w:space="0" w:color="000000"/>
              <w:right w:val="nil"/>
            </w:tcBorders>
            <w:vAlign w:val="center"/>
            <w:hideMark/>
          </w:tcPr>
          <w:p w14:paraId="17B01F49" w14:textId="77777777" w:rsidR="009261C0" w:rsidRPr="001956DC" w:rsidRDefault="009261C0" w:rsidP="007E19D4">
            <w:pPr>
              <w:spacing w:after="0" w:line="240" w:lineRule="auto"/>
              <w:rPr>
                <w:rFonts w:ascii="Times New Roman" w:eastAsia="Times New Roman" w:hAnsi="Times New Roman" w:cs="Times New Roman"/>
                <w:b/>
                <w:bCs/>
                <w:lang w:eastAsia="es-ES"/>
              </w:rPr>
            </w:pPr>
            <w:r w:rsidRPr="00904517">
              <w:rPr>
                <w:rFonts w:ascii="Times New Roman" w:eastAsia="Times New Roman" w:hAnsi="Times New Roman" w:cs="Times New Roman"/>
                <w:b/>
                <w:bCs/>
                <w:lang w:eastAsia="es-ES"/>
              </w:rPr>
              <w:t>Mann-Whitney U test</w:t>
            </w:r>
            <w:r w:rsidRPr="001956DC">
              <w:rPr>
                <w:rFonts w:ascii="Times New Roman" w:eastAsia="Times New Roman" w:hAnsi="Times New Roman" w:cs="Times New Roman"/>
                <w:b/>
                <w:bCs/>
                <w:lang w:eastAsia="es-ES"/>
              </w:rPr>
              <w:t xml:space="preserve"> </w:t>
            </w:r>
          </w:p>
        </w:tc>
      </w:tr>
      <w:tr w:rsidR="009261C0" w:rsidRPr="001956DC" w14:paraId="236ACD3A" w14:textId="77777777" w:rsidTr="007E19D4">
        <w:trPr>
          <w:tblHeader/>
        </w:trPr>
        <w:tc>
          <w:tcPr>
            <w:tcW w:w="0" w:type="auto"/>
            <w:gridSpan w:val="10"/>
            <w:tcBorders>
              <w:top w:val="nil"/>
              <w:left w:val="nil"/>
              <w:bottom w:val="single" w:sz="6" w:space="0" w:color="000000"/>
              <w:right w:val="nil"/>
            </w:tcBorders>
            <w:vAlign w:val="center"/>
            <w:hideMark/>
          </w:tcPr>
          <w:p w14:paraId="35C1FAD6" w14:textId="77777777" w:rsidR="009261C0" w:rsidRPr="001956DC" w:rsidRDefault="009261C0" w:rsidP="007E19D4">
            <w:pPr>
              <w:spacing w:after="0" w:line="240" w:lineRule="auto"/>
              <w:rPr>
                <w:rFonts w:ascii="Times New Roman" w:eastAsia="Times New Roman" w:hAnsi="Times New Roman" w:cs="Times New Roman"/>
                <w:b/>
                <w:bCs/>
                <w:lang w:eastAsia="es-ES"/>
              </w:rPr>
            </w:pPr>
          </w:p>
        </w:tc>
        <w:tc>
          <w:tcPr>
            <w:tcW w:w="0" w:type="auto"/>
            <w:gridSpan w:val="5"/>
            <w:tcBorders>
              <w:top w:val="nil"/>
              <w:left w:val="nil"/>
              <w:bottom w:val="single" w:sz="6" w:space="0" w:color="000000"/>
              <w:right w:val="nil"/>
            </w:tcBorders>
            <w:vAlign w:val="center"/>
            <w:hideMark/>
          </w:tcPr>
          <w:p w14:paraId="6DC0B3EA"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W</w:t>
            </w:r>
          </w:p>
        </w:tc>
        <w:tc>
          <w:tcPr>
            <w:tcW w:w="0" w:type="auto"/>
            <w:gridSpan w:val="3"/>
            <w:tcBorders>
              <w:top w:val="nil"/>
              <w:left w:val="nil"/>
              <w:bottom w:val="single" w:sz="6" w:space="0" w:color="000000"/>
              <w:right w:val="nil"/>
            </w:tcBorders>
            <w:vAlign w:val="center"/>
            <w:hideMark/>
          </w:tcPr>
          <w:p w14:paraId="14C2FF7D"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df</w:t>
            </w:r>
          </w:p>
        </w:tc>
        <w:tc>
          <w:tcPr>
            <w:tcW w:w="0" w:type="auto"/>
            <w:gridSpan w:val="3"/>
            <w:tcBorders>
              <w:top w:val="nil"/>
              <w:left w:val="nil"/>
              <w:bottom w:val="single" w:sz="6" w:space="0" w:color="000000"/>
              <w:right w:val="nil"/>
            </w:tcBorders>
            <w:vAlign w:val="center"/>
            <w:hideMark/>
          </w:tcPr>
          <w:p w14:paraId="17D00C0B"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p</w:t>
            </w:r>
          </w:p>
        </w:tc>
      </w:tr>
      <w:tr w:rsidR="009261C0" w:rsidRPr="001956DC" w14:paraId="176A0B69" w14:textId="77777777" w:rsidTr="007E19D4">
        <w:tc>
          <w:tcPr>
            <w:tcW w:w="0" w:type="auto"/>
            <w:gridSpan w:val="7"/>
            <w:tcBorders>
              <w:top w:val="nil"/>
              <w:left w:val="nil"/>
              <w:bottom w:val="nil"/>
              <w:right w:val="nil"/>
            </w:tcBorders>
            <w:vAlign w:val="center"/>
            <w:hideMark/>
          </w:tcPr>
          <w:p w14:paraId="534FEBA2"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8</w:t>
            </w:r>
          </w:p>
        </w:tc>
        <w:tc>
          <w:tcPr>
            <w:tcW w:w="0" w:type="auto"/>
            <w:gridSpan w:val="3"/>
            <w:tcBorders>
              <w:top w:val="nil"/>
              <w:left w:val="nil"/>
              <w:bottom w:val="nil"/>
              <w:right w:val="nil"/>
            </w:tcBorders>
            <w:vAlign w:val="center"/>
            <w:hideMark/>
          </w:tcPr>
          <w:p w14:paraId="3C0F7D38"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gridSpan w:val="4"/>
            <w:tcBorders>
              <w:top w:val="nil"/>
              <w:left w:val="nil"/>
              <w:bottom w:val="nil"/>
              <w:right w:val="nil"/>
            </w:tcBorders>
            <w:vAlign w:val="center"/>
            <w:hideMark/>
          </w:tcPr>
          <w:p w14:paraId="39439F3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13.500</w:t>
            </w:r>
          </w:p>
        </w:tc>
        <w:tc>
          <w:tcPr>
            <w:tcW w:w="0" w:type="auto"/>
            <w:tcBorders>
              <w:top w:val="nil"/>
              <w:left w:val="nil"/>
              <w:bottom w:val="nil"/>
              <w:right w:val="nil"/>
            </w:tcBorders>
            <w:vAlign w:val="center"/>
            <w:hideMark/>
          </w:tcPr>
          <w:p w14:paraId="7240D57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C49AB5E"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71400219" w14:textId="77777777" w:rsidR="009261C0" w:rsidRPr="001956DC"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3F9D67D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0.261</w:t>
            </w:r>
          </w:p>
        </w:tc>
        <w:tc>
          <w:tcPr>
            <w:tcW w:w="0" w:type="auto"/>
            <w:tcBorders>
              <w:top w:val="nil"/>
              <w:left w:val="nil"/>
              <w:bottom w:val="nil"/>
              <w:right w:val="nil"/>
            </w:tcBorders>
            <w:vAlign w:val="center"/>
            <w:hideMark/>
          </w:tcPr>
          <w:p w14:paraId="14A4F57A"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3D28A4FE" w14:textId="77777777" w:rsidTr="007E19D4">
        <w:tc>
          <w:tcPr>
            <w:tcW w:w="0" w:type="auto"/>
            <w:gridSpan w:val="7"/>
            <w:tcBorders>
              <w:top w:val="nil"/>
              <w:left w:val="nil"/>
              <w:bottom w:val="nil"/>
              <w:right w:val="nil"/>
            </w:tcBorders>
            <w:vAlign w:val="center"/>
            <w:hideMark/>
          </w:tcPr>
          <w:p w14:paraId="5A447690"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10</w:t>
            </w:r>
          </w:p>
        </w:tc>
        <w:tc>
          <w:tcPr>
            <w:tcW w:w="0" w:type="auto"/>
            <w:gridSpan w:val="3"/>
            <w:tcBorders>
              <w:top w:val="nil"/>
              <w:left w:val="nil"/>
              <w:bottom w:val="nil"/>
              <w:right w:val="nil"/>
            </w:tcBorders>
            <w:vAlign w:val="center"/>
            <w:hideMark/>
          </w:tcPr>
          <w:p w14:paraId="0F854DBA"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gridSpan w:val="4"/>
            <w:tcBorders>
              <w:top w:val="nil"/>
              <w:left w:val="nil"/>
              <w:bottom w:val="nil"/>
              <w:right w:val="nil"/>
            </w:tcBorders>
            <w:vAlign w:val="center"/>
            <w:hideMark/>
          </w:tcPr>
          <w:p w14:paraId="0803A32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17.500</w:t>
            </w:r>
          </w:p>
        </w:tc>
        <w:tc>
          <w:tcPr>
            <w:tcW w:w="0" w:type="auto"/>
            <w:tcBorders>
              <w:top w:val="nil"/>
              <w:left w:val="nil"/>
              <w:bottom w:val="nil"/>
              <w:right w:val="nil"/>
            </w:tcBorders>
            <w:vAlign w:val="center"/>
            <w:hideMark/>
          </w:tcPr>
          <w:p w14:paraId="0E95D23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4ADC49F"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395CD64A" w14:textId="77777777" w:rsidR="009261C0" w:rsidRPr="001956DC"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3995962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0.500</w:t>
            </w:r>
          </w:p>
        </w:tc>
        <w:tc>
          <w:tcPr>
            <w:tcW w:w="0" w:type="auto"/>
            <w:tcBorders>
              <w:top w:val="nil"/>
              <w:left w:val="nil"/>
              <w:bottom w:val="nil"/>
              <w:right w:val="nil"/>
            </w:tcBorders>
            <w:vAlign w:val="center"/>
            <w:hideMark/>
          </w:tcPr>
          <w:p w14:paraId="3AADEB4C"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49E90F19" w14:textId="77777777" w:rsidTr="007E19D4">
        <w:tc>
          <w:tcPr>
            <w:tcW w:w="0" w:type="auto"/>
            <w:gridSpan w:val="7"/>
            <w:tcBorders>
              <w:top w:val="nil"/>
              <w:left w:val="nil"/>
              <w:bottom w:val="nil"/>
              <w:right w:val="nil"/>
            </w:tcBorders>
            <w:vAlign w:val="center"/>
            <w:hideMark/>
          </w:tcPr>
          <w:p w14:paraId="5B4E6AB4"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12</w:t>
            </w:r>
          </w:p>
        </w:tc>
        <w:tc>
          <w:tcPr>
            <w:tcW w:w="0" w:type="auto"/>
            <w:gridSpan w:val="3"/>
            <w:tcBorders>
              <w:top w:val="nil"/>
              <w:left w:val="nil"/>
              <w:bottom w:val="nil"/>
              <w:right w:val="nil"/>
            </w:tcBorders>
            <w:vAlign w:val="center"/>
            <w:hideMark/>
          </w:tcPr>
          <w:p w14:paraId="6A6071B3"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gridSpan w:val="4"/>
            <w:tcBorders>
              <w:top w:val="nil"/>
              <w:left w:val="nil"/>
              <w:bottom w:val="nil"/>
              <w:right w:val="nil"/>
            </w:tcBorders>
            <w:vAlign w:val="center"/>
            <w:hideMark/>
          </w:tcPr>
          <w:p w14:paraId="10F6D8F7"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6.000</w:t>
            </w:r>
          </w:p>
        </w:tc>
        <w:tc>
          <w:tcPr>
            <w:tcW w:w="0" w:type="auto"/>
            <w:tcBorders>
              <w:top w:val="nil"/>
              <w:left w:val="nil"/>
              <w:bottom w:val="nil"/>
              <w:right w:val="nil"/>
            </w:tcBorders>
            <w:vAlign w:val="center"/>
            <w:hideMark/>
          </w:tcPr>
          <w:p w14:paraId="68EE35A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58D0ACE"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5EE45115" w14:textId="77777777" w:rsidR="009261C0" w:rsidRPr="001956DC"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7807811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0.032</w:t>
            </w:r>
          </w:p>
        </w:tc>
        <w:tc>
          <w:tcPr>
            <w:tcW w:w="0" w:type="auto"/>
            <w:tcBorders>
              <w:top w:val="nil"/>
              <w:left w:val="nil"/>
              <w:bottom w:val="nil"/>
              <w:right w:val="nil"/>
            </w:tcBorders>
            <w:vAlign w:val="center"/>
            <w:hideMark/>
          </w:tcPr>
          <w:p w14:paraId="52EF85B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1021CF6C" w14:textId="77777777" w:rsidTr="007E19D4">
        <w:tc>
          <w:tcPr>
            <w:tcW w:w="0" w:type="auto"/>
            <w:gridSpan w:val="7"/>
            <w:tcBorders>
              <w:top w:val="nil"/>
              <w:left w:val="nil"/>
              <w:bottom w:val="nil"/>
              <w:right w:val="nil"/>
            </w:tcBorders>
            <w:vAlign w:val="center"/>
            <w:hideMark/>
          </w:tcPr>
          <w:p w14:paraId="0CF52194"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14</w:t>
            </w:r>
          </w:p>
        </w:tc>
        <w:tc>
          <w:tcPr>
            <w:tcW w:w="0" w:type="auto"/>
            <w:gridSpan w:val="3"/>
            <w:tcBorders>
              <w:top w:val="nil"/>
              <w:left w:val="nil"/>
              <w:bottom w:val="nil"/>
              <w:right w:val="nil"/>
            </w:tcBorders>
            <w:vAlign w:val="center"/>
            <w:hideMark/>
          </w:tcPr>
          <w:p w14:paraId="3315E908"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gridSpan w:val="4"/>
            <w:tcBorders>
              <w:top w:val="nil"/>
              <w:left w:val="nil"/>
              <w:bottom w:val="nil"/>
              <w:right w:val="nil"/>
            </w:tcBorders>
            <w:vAlign w:val="center"/>
            <w:hideMark/>
          </w:tcPr>
          <w:p w14:paraId="6A99AF9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11.000</w:t>
            </w:r>
          </w:p>
        </w:tc>
        <w:tc>
          <w:tcPr>
            <w:tcW w:w="0" w:type="auto"/>
            <w:tcBorders>
              <w:top w:val="nil"/>
              <w:left w:val="nil"/>
              <w:bottom w:val="nil"/>
              <w:right w:val="nil"/>
            </w:tcBorders>
            <w:vAlign w:val="center"/>
            <w:hideMark/>
          </w:tcPr>
          <w:p w14:paraId="24F161D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B422002"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12D2D674" w14:textId="77777777" w:rsidR="009261C0" w:rsidRPr="001956DC"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3D79DEE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0.155</w:t>
            </w:r>
          </w:p>
        </w:tc>
        <w:tc>
          <w:tcPr>
            <w:tcW w:w="0" w:type="auto"/>
            <w:tcBorders>
              <w:top w:val="nil"/>
              <w:left w:val="nil"/>
              <w:bottom w:val="nil"/>
              <w:right w:val="nil"/>
            </w:tcBorders>
            <w:vAlign w:val="center"/>
            <w:hideMark/>
          </w:tcPr>
          <w:p w14:paraId="076A328C"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244A5A47" w14:textId="77777777" w:rsidTr="007E19D4">
        <w:tc>
          <w:tcPr>
            <w:tcW w:w="0" w:type="auto"/>
            <w:gridSpan w:val="7"/>
            <w:tcBorders>
              <w:top w:val="nil"/>
              <w:left w:val="nil"/>
              <w:bottom w:val="nil"/>
              <w:right w:val="nil"/>
            </w:tcBorders>
            <w:vAlign w:val="center"/>
            <w:hideMark/>
          </w:tcPr>
          <w:p w14:paraId="7C1F1C4D"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16</w:t>
            </w:r>
          </w:p>
        </w:tc>
        <w:tc>
          <w:tcPr>
            <w:tcW w:w="0" w:type="auto"/>
            <w:gridSpan w:val="3"/>
            <w:tcBorders>
              <w:top w:val="nil"/>
              <w:left w:val="nil"/>
              <w:bottom w:val="nil"/>
              <w:right w:val="nil"/>
            </w:tcBorders>
            <w:vAlign w:val="center"/>
            <w:hideMark/>
          </w:tcPr>
          <w:p w14:paraId="508DAD68"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gridSpan w:val="4"/>
            <w:tcBorders>
              <w:top w:val="nil"/>
              <w:left w:val="nil"/>
              <w:bottom w:val="nil"/>
              <w:right w:val="nil"/>
            </w:tcBorders>
            <w:vAlign w:val="center"/>
            <w:hideMark/>
          </w:tcPr>
          <w:p w14:paraId="66425D4C"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19.000</w:t>
            </w:r>
          </w:p>
        </w:tc>
        <w:tc>
          <w:tcPr>
            <w:tcW w:w="0" w:type="auto"/>
            <w:tcBorders>
              <w:top w:val="nil"/>
              <w:left w:val="nil"/>
              <w:bottom w:val="nil"/>
              <w:right w:val="nil"/>
            </w:tcBorders>
            <w:vAlign w:val="center"/>
            <w:hideMark/>
          </w:tcPr>
          <w:p w14:paraId="1B0229B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D081E8A"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7B8856AA" w14:textId="77777777" w:rsidR="009261C0" w:rsidRPr="001956DC"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gridSpan w:val="2"/>
            <w:tcBorders>
              <w:top w:val="nil"/>
              <w:left w:val="nil"/>
              <w:bottom w:val="nil"/>
              <w:right w:val="nil"/>
            </w:tcBorders>
            <w:vAlign w:val="center"/>
            <w:hideMark/>
          </w:tcPr>
          <w:p w14:paraId="3871C35A"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0.591</w:t>
            </w:r>
          </w:p>
        </w:tc>
        <w:tc>
          <w:tcPr>
            <w:tcW w:w="0" w:type="auto"/>
            <w:tcBorders>
              <w:top w:val="nil"/>
              <w:left w:val="nil"/>
              <w:bottom w:val="nil"/>
              <w:right w:val="nil"/>
            </w:tcBorders>
            <w:vAlign w:val="center"/>
            <w:hideMark/>
          </w:tcPr>
          <w:p w14:paraId="7F60167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72C16890" w14:textId="77777777" w:rsidTr="007E19D4">
        <w:tc>
          <w:tcPr>
            <w:tcW w:w="0" w:type="auto"/>
            <w:gridSpan w:val="21"/>
            <w:tcBorders>
              <w:top w:val="nil"/>
              <w:left w:val="nil"/>
              <w:bottom w:val="single" w:sz="12" w:space="0" w:color="000000"/>
              <w:right w:val="nil"/>
            </w:tcBorders>
            <w:vAlign w:val="center"/>
            <w:hideMark/>
          </w:tcPr>
          <w:p w14:paraId="53760C44"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1284DA23" w14:textId="77777777" w:rsidTr="007E19D4">
        <w:tc>
          <w:tcPr>
            <w:tcW w:w="0" w:type="auto"/>
            <w:gridSpan w:val="21"/>
            <w:tcBorders>
              <w:top w:val="nil"/>
              <w:left w:val="nil"/>
              <w:bottom w:val="nil"/>
              <w:right w:val="nil"/>
            </w:tcBorders>
            <w:vAlign w:val="center"/>
            <w:hideMark/>
          </w:tcPr>
          <w:p w14:paraId="00D550AE"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i/>
                <w:iCs/>
                <w:lang w:eastAsia="es-ES"/>
              </w:rPr>
              <w:t>Note.</w:t>
            </w:r>
            <w:r w:rsidRPr="001956DC">
              <w:rPr>
                <w:rFonts w:ascii="Times New Roman" w:eastAsia="Times New Roman" w:hAnsi="Times New Roman" w:cs="Times New Roman"/>
                <w:lang w:eastAsia="es-ES"/>
              </w:rPr>
              <w:t xml:space="preserve">  For all tests, the alternative hypothesis specifies that group </w:t>
            </w:r>
            <w:r w:rsidRPr="001956DC">
              <w:rPr>
                <w:rFonts w:ascii="Times New Roman" w:eastAsia="Times New Roman" w:hAnsi="Times New Roman" w:cs="Times New Roman"/>
                <w:i/>
                <w:iCs/>
                <w:lang w:eastAsia="es-ES"/>
              </w:rPr>
              <w:t xml:space="preserve">TG_GCN2iB </w:t>
            </w:r>
            <w:r w:rsidRPr="001956DC">
              <w:rPr>
                <w:rFonts w:ascii="Times New Roman" w:eastAsia="Times New Roman" w:hAnsi="Times New Roman" w:cs="Times New Roman"/>
                <w:lang w:eastAsia="es-ES"/>
              </w:rPr>
              <w:t xml:space="preserve">is less than group </w:t>
            </w:r>
            <w:proofErr w:type="spellStart"/>
            <w:r w:rsidRPr="001956DC">
              <w:rPr>
                <w:rFonts w:ascii="Times New Roman" w:eastAsia="Times New Roman" w:hAnsi="Times New Roman" w:cs="Times New Roman"/>
                <w:i/>
                <w:iCs/>
                <w:lang w:eastAsia="es-ES"/>
              </w:rPr>
              <w:t>TG_Veh</w:t>
            </w:r>
            <w:proofErr w:type="spellEnd"/>
            <w:r w:rsidRPr="001956DC">
              <w:rPr>
                <w:rFonts w:ascii="Times New Roman" w:eastAsia="Times New Roman" w:hAnsi="Times New Roman" w:cs="Times New Roman"/>
                <w:i/>
                <w:iCs/>
                <w:lang w:eastAsia="es-ES"/>
              </w:rPr>
              <w:t xml:space="preserve"> </w:t>
            </w:r>
            <w:r w:rsidRPr="001956DC">
              <w:rPr>
                <w:rFonts w:ascii="Times New Roman" w:eastAsia="Times New Roman" w:hAnsi="Times New Roman" w:cs="Times New Roman"/>
                <w:lang w:eastAsia="es-ES"/>
              </w:rPr>
              <w:t>.</w:t>
            </w:r>
          </w:p>
        </w:tc>
      </w:tr>
      <w:tr w:rsidR="009261C0" w:rsidRPr="001956DC" w14:paraId="46FE9283" w14:textId="77777777" w:rsidTr="007E19D4">
        <w:trPr>
          <w:gridAfter w:val="2"/>
          <w:tblHeader/>
        </w:trPr>
        <w:tc>
          <w:tcPr>
            <w:tcW w:w="0" w:type="auto"/>
            <w:gridSpan w:val="19"/>
            <w:tcBorders>
              <w:top w:val="nil"/>
              <w:left w:val="nil"/>
              <w:bottom w:val="single" w:sz="6" w:space="0" w:color="000000"/>
              <w:right w:val="nil"/>
            </w:tcBorders>
            <w:vAlign w:val="center"/>
            <w:hideMark/>
          </w:tcPr>
          <w:p w14:paraId="0DB129AA" w14:textId="77777777" w:rsidR="009261C0" w:rsidRDefault="009261C0" w:rsidP="007E19D4">
            <w:pPr>
              <w:spacing w:after="0" w:line="240" w:lineRule="auto"/>
              <w:rPr>
                <w:rFonts w:ascii="Times New Roman" w:eastAsia="Times New Roman" w:hAnsi="Times New Roman" w:cs="Times New Roman"/>
                <w:b/>
                <w:bCs/>
                <w:lang w:eastAsia="es-ES"/>
              </w:rPr>
            </w:pPr>
          </w:p>
          <w:p w14:paraId="60981F88" w14:textId="77777777" w:rsidR="009261C0" w:rsidRPr="001956DC" w:rsidRDefault="009261C0" w:rsidP="007E19D4">
            <w:pPr>
              <w:spacing w:after="0" w:line="240" w:lineRule="auto"/>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 xml:space="preserve">Group </w:t>
            </w:r>
            <w:proofErr w:type="spellStart"/>
            <w:r w:rsidRPr="001956DC">
              <w:rPr>
                <w:rFonts w:ascii="Times New Roman" w:eastAsia="Times New Roman" w:hAnsi="Times New Roman" w:cs="Times New Roman"/>
                <w:b/>
                <w:bCs/>
                <w:lang w:eastAsia="es-ES"/>
              </w:rPr>
              <w:t>Descriptives</w:t>
            </w:r>
            <w:proofErr w:type="spellEnd"/>
            <w:r w:rsidRPr="001956DC">
              <w:rPr>
                <w:rFonts w:ascii="Times New Roman" w:eastAsia="Times New Roman" w:hAnsi="Times New Roman" w:cs="Times New Roman"/>
                <w:b/>
                <w:bCs/>
                <w:lang w:eastAsia="es-ES"/>
              </w:rPr>
              <w:t xml:space="preserve"> </w:t>
            </w:r>
          </w:p>
        </w:tc>
      </w:tr>
      <w:tr w:rsidR="009261C0" w:rsidRPr="001956DC" w14:paraId="2C254BE6" w14:textId="77777777" w:rsidTr="007E19D4">
        <w:trPr>
          <w:gridAfter w:val="2"/>
          <w:tblHeader/>
        </w:trPr>
        <w:tc>
          <w:tcPr>
            <w:tcW w:w="0" w:type="auto"/>
            <w:gridSpan w:val="2"/>
            <w:tcBorders>
              <w:top w:val="nil"/>
              <w:left w:val="nil"/>
              <w:bottom w:val="single" w:sz="6" w:space="0" w:color="000000"/>
              <w:right w:val="nil"/>
            </w:tcBorders>
            <w:vAlign w:val="center"/>
            <w:hideMark/>
          </w:tcPr>
          <w:p w14:paraId="2F47958A"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 </w:t>
            </w:r>
          </w:p>
        </w:tc>
        <w:tc>
          <w:tcPr>
            <w:tcW w:w="0" w:type="auto"/>
            <w:gridSpan w:val="2"/>
            <w:tcBorders>
              <w:top w:val="nil"/>
              <w:left w:val="nil"/>
              <w:bottom w:val="single" w:sz="6" w:space="0" w:color="000000"/>
              <w:right w:val="nil"/>
            </w:tcBorders>
            <w:vAlign w:val="center"/>
            <w:hideMark/>
          </w:tcPr>
          <w:p w14:paraId="6840A2D3"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Group</w:t>
            </w:r>
          </w:p>
        </w:tc>
        <w:tc>
          <w:tcPr>
            <w:tcW w:w="0" w:type="auto"/>
            <w:gridSpan w:val="2"/>
            <w:tcBorders>
              <w:top w:val="nil"/>
              <w:left w:val="nil"/>
              <w:bottom w:val="single" w:sz="6" w:space="0" w:color="000000"/>
              <w:right w:val="nil"/>
            </w:tcBorders>
            <w:vAlign w:val="center"/>
            <w:hideMark/>
          </w:tcPr>
          <w:p w14:paraId="12B374BD"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N</w:t>
            </w:r>
          </w:p>
        </w:tc>
        <w:tc>
          <w:tcPr>
            <w:tcW w:w="0" w:type="auto"/>
            <w:gridSpan w:val="3"/>
            <w:tcBorders>
              <w:top w:val="nil"/>
              <w:left w:val="nil"/>
              <w:bottom w:val="single" w:sz="6" w:space="0" w:color="000000"/>
              <w:right w:val="nil"/>
            </w:tcBorders>
            <w:vAlign w:val="center"/>
            <w:hideMark/>
          </w:tcPr>
          <w:p w14:paraId="09922259"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Mean</w:t>
            </w:r>
          </w:p>
        </w:tc>
        <w:tc>
          <w:tcPr>
            <w:tcW w:w="0" w:type="auto"/>
            <w:gridSpan w:val="3"/>
            <w:tcBorders>
              <w:top w:val="nil"/>
              <w:left w:val="nil"/>
              <w:bottom w:val="single" w:sz="6" w:space="0" w:color="000000"/>
              <w:right w:val="nil"/>
            </w:tcBorders>
            <w:vAlign w:val="center"/>
            <w:hideMark/>
          </w:tcPr>
          <w:p w14:paraId="463C5FD6"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SD</w:t>
            </w:r>
          </w:p>
        </w:tc>
        <w:tc>
          <w:tcPr>
            <w:tcW w:w="0" w:type="auto"/>
            <w:gridSpan w:val="2"/>
            <w:tcBorders>
              <w:top w:val="nil"/>
              <w:left w:val="nil"/>
              <w:bottom w:val="single" w:sz="6" w:space="0" w:color="000000"/>
              <w:right w:val="nil"/>
            </w:tcBorders>
            <w:vAlign w:val="center"/>
            <w:hideMark/>
          </w:tcPr>
          <w:p w14:paraId="153574BA"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SE</w:t>
            </w:r>
          </w:p>
        </w:tc>
        <w:tc>
          <w:tcPr>
            <w:tcW w:w="0" w:type="auto"/>
            <w:gridSpan w:val="5"/>
            <w:tcBorders>
              <w:top w:val="nil"/>
              <w:left w:val="nil"/>
              <w:bottom w:val="single" w:sz="6" w:space="0" w:color="000000"/>
              <w:right w:val="nil"/>
            </w:tcBorders>
            <w:vAlign w:val="center"/>
            <w:hideMark/>
          </w:tcPr>
          <w:p w14:paraId="3ECBD132"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Coefficient of variation</w:t>
            </w:r>
          </w:p>
        </w:tc>
      </w:tr>
      <w:tr w:rsidR="009261C0" w:rsidRPr="001956DC" w14:paraId="0509B5BD" w14:textId="77777777" w:rsidTr="007E19D4">
        <w:trPr>
          <w:gridAfter w:val="2"/>
        </w:trPr>
        <w:tc>
          <w:tcPr>
            <w:tcW w:w="0" w:type="auto"/>
            <w:tcBorders>
              <w:top w:val="nil"/>
              <w:left w:val="nil"/>
              <w:bottom w:val="nil"/>
              <w:right w:val="nil"/>
            </w:tcBorders>
            <w:vAlign w:val="center"/>
            <w:hideMark/>
          </w:tcPr>
          <w:p w14:paraId="2DDD7D23"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8</w:t>
            </w:r>
          </w:p>
        </w:tc>
        <w:tc>
          <w:tcPr>
            <w:tcW w:w="0" w:type="auto"/>
            <w:tcBorders>
              <w:top w:val="nil"/>
              <w:left w:val="nil"/>
              <w:bottom w:val="nil"/>
              <w:right w:val="nil"/>
            </w:tcBorders>
            <w:vAlign w:val="center"/>
            <w:hideMark/>
          </w:tcPr>
          <w:p w14:paraId="2516859A"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C102F46"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43F27176"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6F79E6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2484836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0AB2B44F"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0.075</w:t>
            </w:r>
          </w:p>
        </w:tc>
        <w:tc>
          <w:tcPr>
            <w:tcW w:w="0" w:type="auto"/>
            <w:tcBorders>
              <w:top w:val="nil"/>
              <w:left w:val="nil"/>
              <w:bottom w:val="nil"/>
              <w:right w:val="nil"/>
            </w:tcBorders>
            <w:vAlign w:val="center"/>
            <w:hideMark/>
          </w:tcPr>
          <w:p w14:paraId="04BBE7A9"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37B2F14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0.082</w:t>
            </w:r>
          </w:p>
        </w:tc>
        <w:tc>
          <w:tcPr>
            <w:tcW w:w="0" w:type="auto"/>
            <w:tcBorders>
              <w:top w:val="nil"/>
              <w:left w:val="nil"/>
              <w:bottom w:val="nil"/>
              <w:right w:val="nil"/>
            </w:tcBorders>
            <w:vAlign w:val="center"/>
            <w:hideMark/>
          </w:tcPr>
          <w:p w14:paraId="66DECAB7"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C13C8D8"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0.034</w:t>
            </w:r>
          </w:p>
        </w:tc>
        <w:tc>
          <w:tcPr>
            <w:tcW w:w="0" w:type="auto"/>
            <w:tcBorders>
              <w:top w:val="nil"/>
              <w:left w:val="nil"/>
              <w:bottom w:val="nil"/>
              <w:right w:val="nil"/>
            </w:tcBorders>
            <w:vAlign w:val="center"/>
            <w:hideMark/>
          </w:tcPr>
          <w:p w14:paraId="6E0CAB5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7715C3C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1.099</w:t>
            </w:r>
          </w:p>
        </w:tc>
        <w:tc>
          <w:tcPr>
            <w:tcW w:w="0" w:type="auto"/>
            <w:gridSpan w:val="2"/>
            <w:tcBorders>
              <w:top w:val="nil"/>
              <w:left w:val="nil"/>
              <w:bottom w:val="nil"/>
              <w:right w:val="nil"/>
            </w:tcBorders>
            <w:vAlign w:val="center"/>
            <w:hideMark/>
          </w:tcPr>
          <w:p w14:paraId="19058D48"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555DCB1F" w14:textId="77777777" w:rsidTr="007E19D4">
        <w:trPr>
          <w:gridAfter w:val="2"/>
        </w:trPr>
        <w:tc>
          <w:tcPr>
            <w:tcW w:w="0" w:type="auto"/>
            <w:tcBorders>
              <w:top w:val="nil"/>
              <w:left w:val="nil"/>
              <w:bottom w:val="nil"/>
              <w:right w:val="nil"/>
            </w:tcBorders>
            <w:vAlign w:val="center"/>
            <w:hideMark/>
          </w:tcPr>
          <w:p w14:paraId="608DB813"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7DB9562"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DFE9A54" w14:textId="77777777" w:rsidR="009261C0" w:rsidRPr="001956DC" w:rsidRDefault="009261C0" w:rsidP="007E19D4">
            <w:pPr>
              <w:spacing w:after="0" w:line="240" w:lineRule="auto"/>
              <w:rPr>
                <w:rFonts w:ascii="Times New Roman" w:eastAsia="Times New Roman" w:hAnsi="Times New Roman" w:cs="Times New Roman"/>
                <w:lang w:eastAsia="es-ES"/>
              </w:rPr>
            </w:pPr>
            <w:proofErr w:type="spellStart"/>
            <w:r w:rsidRPr="001956DC">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2B737E87"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8C9DE2F"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435D5C1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6FA2758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0.390</w:t>
            </w:r>
          </w:p>
        </w:tc>
        <w:tc>
          <w:tcPr>
            <w:tcW w:w="0" w:type="auto"/>
            <w:tcBorders>
              <w:top w:val="nil"/>
              <w:left w:val="nil"/>
              <w:bottom w:val="nil"/>
              <w:right w:val="nil"/>
            </w:tcBorders>
            <w:vAlign w:val="center"/>
            <w:hideMark/>
          </w:tcPr>
          <w:p w14:paraId="4682DAF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2515F37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0.636</w:t>
            </w:r>
          </w:p>
        </w:tc>
        <w:tc>
          <w:tcPr>
            <w:tcW w:w="0" w:type="auto"/>
            <w:tcBorders>
              <w:top w:val="nil"/>
              <w:left w:val="nil"/>
              <w:bottom w:val="nil"/>
              <w:right w:val="nil"/>
            </w:tcBorders>
            <w:vAlign w:val="center"/>
            <w:hideMark/>
          </w:tcPr>
          <w:p w14:paraId="5629101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05C0F1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0.260</w:t>
            </w:r>
          </w:p>
        </w:tc>
        <w:tc>
          <w:tcPr>
            <w:tcW w:w="0" w:type="auto"/>
            <w:tcBorders>
              <w:top w:val="nil"/>
              <w:left w:val="nil"/>
              <w:bottom w:val="nil"/>
              <w:right w:val="nil"/>
            </w:tcBorders>
            <w:vAlign w:val="center"/>
            <w:hideMark/>
          </w:tcPr>
          <w:p w14:paraId="66BC988F"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6C359BA9"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1.629</w:t>
            </w:r>
          </w:p>
        </w:tc>
        <w:tc>
          <w:tcPr>
            <w:tcW w:w="0" w:type="auto"/>
            <w:gridSpan w:val="2"/>
            <w:tcBorders>
              <w:top w:val="nil"/>
              <w:left w:val="nil"/>
              <w:bottom w:val="nil"/>
              <w:right w:val="nil"/>
            </w:tcBorders>
            <w:vAlign w:val="center"/>
            <w:hideMark/>
          </w:tcPr>
          <w:p w14:paraId="5FA1985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7283BFA7" w14:textId="77777777" w:rsidTr="007E19D4">
        <w:trPr>
          <w:gridAfter w:val="2"/>
        </w:trPr>
        <w:tc>
          <w:tcPr>
            <w:tcW w:w="0" w:type="auto"/>
            <w:tcBorders>
              <w:top w:val="nil"/>
              <w:left w:val="nil"/>
              <w:bottom w:val="nil"/>
              <w:right w:val="nil"/>
            </w:tcBorders>
            <w:vAlign w:val="center"/>
            <w:hideMark/>
          </w:tcPr>
          <w:p w14:paraId="0A4640BA"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10</w:t>
            </w:r>
          </w:p>
        </w:tc>
        <w:tc>
          <w:tcPr>
            <w:tcW w:w="0" w:type="auto"/>
            <w:tcBorders>
              <w:top w:val="nil"/>
              <w:left w:val="nil"/>
              <w:bottom w:val="nil"/>
              <w:right w:val="nil"/>
            </w:tcBorders>
            <w:vAlign w:val="center"/>
            <w:hideMark/>
          </w:tcPr>
          <w:p w14:paraId="442DD897"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DDAFB76"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44EDB934"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EE6E9D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2BA5B0C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0E7C7E4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4.946</w:t>
            </w:r>
          </w:p>
        </w:tc>
        <w:tc>
          <w:tcPr>
            <w:tcW w:w="0" w:type="auto"/>
            <w:tcBorders>
              <w:top w:val="nil"/>
              <w:left w:val="nil"/>
              <w:bottom w:val="nil"/>
              <w:right w:val="nil"/>
            </w:tcBorders>
            <w:vAlign w:val="center"/>
            <w:hideMark/>
          </w:tcPr>
          <w:p w14:paraId="5904CFB7"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28A19798"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3.845</w:t>
            </w:r>
          </w:p>
        </w:tc>
        <w:tc>
          <w:tcPr>
            <w:tcW w:w="0" w:type="auto"/>
            <w:tcBorders>
              <w:top w:val="nil"/>
              <w:left w:val="nil"/>
              <w:bottom w:val="nil"/>
              <w:right w:val="nil"/>
            </w:tcBorders>
            <w:vAlign w:val="center"/>
            <w:hideMark/>
          </w:tcPr>
          <w:p w14:paraId="5A415C3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87B741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1.570</w:t>
            </w:r>
          </w:p>
        </w:tc>
        <w:tc>
          <w:tcPr>
            <w:tcW w:w="0" w:type="auto"/>
            <w:tcBorders>
              <w:top w:val="nil"/>
              <w:left w:val="nil"/>
              <w:bottom w:val="nil"/>
              <w:right w:val="nil"/>
            </w:tcBorders>
            <w:vAlign w:val="center"/>
            <w:hideMark/>
          </w:tcPr>
          <w:p w14:paraId="53213C1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3D0C39B8"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0.778</w:t>
            </w:r>
          </w:p>
        </w:tc>
        <w:tc>
          <w:tcPr>
            <w:tcW w:w="0" w:type="auto"/>
            <w:gridSpan w:val="2"/>
            <w:tcBorders>
              <w:top w:val="nil"/>
              <w:left w:val="nil"/>
              <w:bottom w:val="nil"/>
              <w:right w:val="nil"/>
            </w:tcBorders>
            <w:vAlign w:val="center"/>
            <w:hideMark/>
          </w:tcPr>
          <w:p w14:paraId="190F142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38B78C50" w14:textId="77777777" w:rsidTr="007E19D4">
        <w:trPr>
          <w:gridAfter w:val="2"/>
        </w:trPr>
        <w:tc>
          <w:tcPr>
            <w:tcW w:w="0" w:type="auto"/>
            <w:tcBorders>
              <w:top w:val="nil"/>
              <w:left w:val="nil"/>
              <w:bottom w:val="nil"/>
              <w:right w:val="nil"/>
            </w:tcBorders>
            <w:vAlign w:val="center"/>
            <w:hideMark/>
          </w:tcPr>
          <w:p w14:paraId="435C5411"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4811E751"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1E3F1C7" w14:textId="77777777" w:rsidR="009261C0" w:rsidRPr="001956DC" w:rsidRDefault="009261C0" w:rsidP="007E19D4">
            <w:pPr>
              <w:spacing w:after="0" w:line="240" w:lineRule="auto"/>
              <w:rPr>
                <w:rFonts w:ascii="Times New Roman" w:eastAsia="Times New Roman" w:hAnsi="Times New Roman" w:cs="Times New Roman"/>
                <w:lang w:eastAsia="es-ES"/>
              </w:rPr>
            </w:pPr>
            <w:proofErr w:type="spellStart"/>
            <w:r w:rsidRPr="001956DC">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50BF59F3"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7EAA67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60008E8C"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10698BF8"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7.265</w:t>
            </w:r>
          </w:p>
        </w:tc>
        <w:tc>
          <w:tcPr>
            <w:tcW w:w="0" w:type="auto"/>
            <w:tcBorders>
              <w:top w:val="nil"/>
              <w:left w:val="nil"/>
              <w:bottom w:val="nil"/>
              <w:right w:val="nil"/>
            </w:tcBorders>
            <w:vAlign w:val="center"/>
            <w:hideMark/>
          </w:tcPr>
          <w:p w14:paraId="3C2B6D47"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690C21D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8.765</w:t>
            </w:r>
          </w:p>
        </w:tc>
        <w:tc>
          <w:tcPr>
            <w:tcW w:w="0" w:type="auto"/>
            <w:tcBorders>
              <w:top w:val="nil"/>
              <w:left w:val="nil"/>
              <w:bottom w:val="nil"/>
              <w:right w:val="nil"/>
            </w:tcBorders>
            <w:vAlign w:val="center"/>
            <w:hideMark/>
          </w:tcPr>
          <w:p w14:paraId="117C432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727F7AB"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3.578</w:t>
            </w:r>
          </w:p>
        </w:tc>
        <w:tc>
          <w:tcPr>
            <w:tcW w:w="0" w:type="auto"/>
            <w:tcBorders>
              <w:top w:val="nil"/>
              <w:left w:val="nil"/>
              <w:bottom w:val="nil"/>
              <w:right w:val="nil"/>
            </w:tcBorders>
            <w:vAlign w:val="center"/>
            <w:hideMark/>
          </w:tcPr>
          <w:p w14:paraId="03553B2F"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77CC284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1.206</w:t>
            </w:r>
          </w:p>
        </w:tc>
        <w:tc>
          <w:tcPr>
            <w:tcW w:w="0" w:type="auto"/>
            <w:gridSpan w:val="2"/>
            <w:tcBorders>
              <w:top w:val="nil"/>
              <w:left w:val="nil"/>
              <w:bottom w:val="nil"/>
              <w:right w:val="nil"/>
            </w:tcBorders>
            <w:vAlign w:val="center"/>
            <w:hideMark/>
          </w:tcPr>
          <w:p w14:paraId="6E3314F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24A14181" w14:textId="77777777" w:rsidTr="007E19D4">
        <w:trPr>
          <w:gridAfter w:val="2"/>
        </w:trPr>
        <w:tc>
          <w:tcPr>
            <w:tcW w:w="0" w:type="auto"/>
            <w:tcBorders>
              <w:top w:val="nil"/>
              <w:left w:val="nil"/>
              <w:bottom w:val="nil"/>
              <w:right w:val="nil"/>
            </w:tcBorders>
            <w:vAlign w:val="center"/>
            <w:hideMark/>
          </w:tcPr>
          <w:p w14:paraId="748EB166"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12</w:t>
            </w:r>
          </w:p>
        </w:tc>
        <w:tc>
          <w:tcPr>
            <w:tcW w:w="0" w:type="auto"/>
            <w:tcBorders>
              <w:top w:val="nil"/>
              <w:left w:val="nil"/>
              <w:bottom w:val="nil"/>
              <w:right w:val="nil"/>
            </w:tcBorders>
            <w:vAlign w:val="center"/>
            <w:hideMark/>
          </w:tcPr>
          <w:p w14:paraId="21389C2E"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3CC4996"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1F2FADCD"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32B4EB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2F769F2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74C3DC7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5.698</w:t>
            </w:r>
          </w:p>
        </w:tc>
        <w:tc>
          <w:tcPr>
            <w:tcW w:w="0" w:type="auto"/>
            <w:tcBorders>
              <w:top w:val="nil"/>
              <w:left w:val="nil"/>
              <w:bottom w:val="nil"/>
              <w:right w:val="nil"/>
            </w:tcBorders>
            <w:vAlign w:val="center"/>
            <w:hideMark/>
          </w:tcPr>
          <w:p w14:paraId="18ED3DB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6065346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4.109</w:t>
            </w:r>
          </w:p>
        </w:tc>
        <w:tc>
          <w:tcPr>
            <w:tcW w:w="0" w:type="auto"/>
            <w:tcBorders>
              <w:top w:val="nil"/>
              <w:left w:val="nil"/>
              <w:bottom w:val="nil"/>
              <w:right w:val="nil"/>
            </w:tcBorders>
            <w:vAlign w:val="center"/>
            <w:hideMark/>
          </w:tcPr>
          <w:p w14:paraId="2599141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CA5603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1.677</w:t>
            </w:r>
          </w:p>
        </w:tc>
        <w:tc>
          <w:tcPr>
            <w:tcW w:w="0" w:type="auto"/>
            <w:tcBorders>
              <w:top w:val="nil"/>
              <w:left w:val="nil"/>
              <w:bottom w:val="nil"/>
              <w:right w:val="nil"/>
            </w:tcBorders>
            <w:vAlign w:val="center"/>
            <w:hideMark/>
          </w:tcPr>
          <w:p w14:paraId="6F6838D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0C58EEC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0.721</w:t>
            </w:r>
          </w:p>
        </w:tc>
        <w:tc>
          <w:tcPr>
            <w:tcW w:w="0" w:type="auto"/>
            <w:gridSpan w:val="2"/>
            <w:tcBorders>
              <w:top w:val="nil"/>
              <w:left w:val="nil"/>
              <w:bottom w:val="nil"/>
              <w:right w:val="nil"/>
            </w:tcBorders>
            <w:vAlign w:val="center"/>
            <w:hideMark/>
          </w:tcPr>
          <w:p w14:paraId="4ACC8F4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169B95AB" w14:textId="77777777" w:rsidTr="007E19D4">
        <w:trPr>
          <w:gridAfter w:val="2"/>
        </w:trPr>
        <w:tc>
          <w:tcPr>
            <w:tcW w:w="0" w:type="auto"/>
            <w:tcBorders>
              <w:top w:val="nil"/>
              <w:left w:val="nil"/>
              <w:bottom w:val="nil"/>
              <w:right w:val="nil"/>
            </w:tcBorders>
            <w:vAlign w:val="center"/>
            <w:hideMark/>
          </w:tcPr>
          <w:p w14:paraId="595AB9DE"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089968D9"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057EF3A" w14:textId="77777777" w:rsidR="009261C0" w:rsidRPr="001956DC" w:rsidRDefault="009261C0" w:rsidP="007E19D4">
            <w:pPr>
              <w:spacing w:after="0" w:line="240" w:lineRule="auto"/>
              <w:rPr>
                <w:rFonts w:ascii="Times New Roman" w:eastAsia="Times New Roman" w:hAnsi="Times New Roman" w:cs="Times New Roman"/>
                <w:lang w:eastAsia="es-ES"/>
              </w:rPr>
            </w:pPr>
            <w:proofErr w:type="spellStart"/>
            <w:r w:rsidRPr="001956DC">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488145DB"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261CED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1D48954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04946F3C"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42.076</w:t>
            </w:r>
          </w:p>
        </w:tc>
        <w:tc>
          <w:tcPr>
            <w:tcW w:w="0" w:type="auto"/>
            <w:tcBorders>
              <w:top w:val="nil"/>
              <w:left w:val="nil"/>
              <w:bottom w:val="nil"/>
              <w:right w:val="nil"/>
            </w:tcBorders>
            <w:vAlign w:val="center"/>
            <w:hideMark/>
          </w:tcPr>
          <w:p w14:paraId="4D7C167B"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2C7743A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23.830</w:t>
            </w:r>
          </w:p>
        </w:tc>
        <w:tc>
          <w:tcPr>
            <w:tcW w:w="0" w:type="auto"/>
            <w:tcBorders>
              <w:top w:val="nil"/>
              <w:left w:val="nil"/>
              <w:bottom w:val="nil"/>
              <w:right w:val="nil"/>
            </w:tcBorders>
            <w:vAlign w:val="center"/>
            <w:hideMark/>
          </w:tcPr>
          <w:p w14:paraId="766C194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12223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9.728</w:t>
            </w:r>
          </w:p>
        </w:tc>
        <w:tc>
          <w:tcPr>
            <w:tcW w:w="0" w:type="auto"/>
            <w:tcBorders>
              <w:top w:val="nil"/>
              <w:left w:val="nil"/>
              <w:bottom w:val="nil"/>
              <w:right w:val="nil"/>
            </w:tcBorders>
            <w:vAlign w:val="center"/>
            <w:hideMark/>
          </w:tcPr>
          <w:p w14:paraId="4EB8649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12F7B3F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0.566</w:t>
            </w:r>
          </w:p>
        </w:tc>
        <w:tc>
          <w:tcPr>
            <w:tcW w:w="0" w:type="auto"/>
            <w:gridSpan w:val="2"/>
            <w:tcBorders>
              <w:top w:val="nil"/>
              <w:left w:val="nil"/>
              <w:bottom w:val="nil"/>
              <w:right w:val="nil"/>
            </w:tcBorders>
            <w:vAlign w:val="center"/>
            <w:hideMark/>
          </w:tcPr>
          <w:p w14:paraId="43BF228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3E7F2285" w14:textId="77777777" w:rsidTr="007E19D4">
        <w:trPr>
          <w:gridAfter w:val="2"/>
        </w:trPr>
        <w:tc>
          <w:tcPr>
            <w:tcW w:w="0" w:type="auto"/>
            <w:tcBorders>
              <w:top w:val="nil"/>
              <w:left w:val="nil"/>
              <w:bottom w:val="nil"/>
              <w:right w:val="nil"/>
            </w:tcBorders>
            <w:vAlign w:val="center"/>
            <w:hideMark/>
          </w:tcPr>
          <w:p w14:paraId="69C97CB0"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14</w:t>
            </w:r>
          </w:p>
        </w:tc>
        <w:tc>
          <w:tcPr>
            <w:tcW w:w="0" w:type="auto"/>
            <w:tcBorders>
              <w:top w:val="nil"/>
              <w:left w:val="nil"/>
              <w:bottom w:val="nil"/>
              <w:right w:val="nil"/>
            </w:tcBorders>
            <w:vAlign w:val="center"/>
            <w:hideMark/>
          </w:tcPr>
          <w:p w14:paraId="71C15549"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0F1BA32"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7480E08F"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F33CA5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50E5E66F"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1EC61C1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28.947</w:t>
            </w:r>
          </w:p>
        </w:tc>
        <w:tc>
          <w:tcPr>
            <w:tcW w:w="0" w:type="auto"/>
            <w:tcBorders>
              <w:top w:val="nil"/>
              <w:left w:val="nil"/>
              <w:bottom w:val="nil"/>
              <w:right w:val="nil"/>
            </w:tcBorders>
            <w:vAlign w:val="center"/>
            <w:hideMark/>
          </w:tcPr>
          <w:p w14:paraId="312FC00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0FE665B9"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16.925</w:t>
            </w:r>
          </w:p>
        </w:tc>
        <w:tc>
          <w:tcPr>
            <w:tcW w:w="0" w:type="auto"/>
            <w:tcBorders>
              <w:top w:val="nil"/>
              <w:left w:val="nil"/>
              <w:bottom w:val="nil"/>
              <w:right w:val="nil"/>
            </w:tcBorders>
            <w:vAlign w:val="center"/>
            <w:hideMark/>
          </w:tcPr>
          <w:p w14:paraId="14D91EE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882922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6.910</w:t>
            </w:r>
          </w:p>
        </w:tc>
        <w:tc>
          <w:tcPr>
            <w:tcW w:w="0" w:type="auto"/>
            <w:tcBorders>
              <w:top w:val="nil"/>
              <w:left w:val="nil"/>
              <w:bottom w:val="nil"/>
              <w:right w:val="nil"/>
            </w:tcBorders>
            <w:vAlign w:val="center"/>
            <w:hideMark/>
          </w:tcPr>
          <w:p w14:paraId="742EAC8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3D9D8B4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0.585</w:t>
            </w:r>
          </w:p>
        </w:tc>
        <w:tc>
          <w:tcPr>
            <w:tcW w:w="0" w:type="auto"/>
            <w:gridSpan w:val="2"/>
            <w:tcBorders>
              <w:top w:val="nil"/>
              <w:left w:val="nil"/>
              <w:bottom w:val="nil"/>
              <w:right w:val="nil"/>
            </w:tcBorders>
            <w:vAlign w:val="center"/>
            <w:hideMark/>
          </w:tcPr>
          <w:p w14:paraId="5FF46979"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4D862BE8" w14:textId="77777777" w:rsidTr="007E19D4">
        <w:trPr>
          <w:gridAfter w:val="2"/>
        </w:trPr>
        <w:tc>
          <w:tcPr>
            <w:tcW w:w="0" w:type="auto"/>
            <w:tcBorders>
              <w:top w:val="nil"/>
              <w:left w:val="nil"/>
              <w:bottom w:val="nil"/>
              <w:right w:val="nil"/>
            </w:tcBorders>
            <w:vAlign w:val="center"/>
            <w:hideMark/>
          </w:tcPr>
          <w:p w14:paraId="2E5C20CF"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1F636C89"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4477440" w14:textId="77777777" w:rsidR="009261C0" w:rsidRPr="001956DC" w:rsidRDefault="009261C0" w:rsidP="007E19D4">
            <w:pPr>
              <w:spacing w:after="0" w:line="240" w:lineRule="auto"/>
              <w:rPr>
                <w:rFonts w:ascii="Times New Roman" w:eastAsia="Times New Roman" w:hAnsi="Times New Roman" w:cs="Times New Roman"/>
                <w:lang w:eastAsia="es-ES"/>
              </w:rPr>
            </w:pPr>
            <w:proofErr w:type="spellStart"/>
            <w:r w:rsidRPr="001956DC">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044382BC"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FB24B7"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39BC3FB8"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05E55B6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68.733</w:t>
            </w:r>
          </w:p>
        </w:tc>
        <w:tc>
          <w:tcPr>
            <w:tcW w:w="0" w:type="auto"/>
            <w:tcBorders>
              <w:top w:val="nil"/>
              <w:left w:val="nil"/>
              <w:bottom w:val="nil"/>
              <w:right w:val="nil"/>
            </w:tcBorders>
            <w:vAlign w:val="center"/>
            <w:hideMark/>
          </w:tcPr>
          <w:p w14:paraId="4AEF2A1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542DD738"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67.517</w:t>
            </w:r>
          </w:p>
        </w:tc>
        <w:tc>
          <w:tcPr>
            <w:tcW w:w="0" w:type="auto"/>
            <w:tcBorders>
              <w:top w:val="nil"/>
              <w:left w:val="nil"/>
              <w:bottom w:val="nil"/>
              <w:right w:val="nil"/>
            </w:tcBorders>
            <w:vAlign w:val="center"/>
            <w:hideMark/>
          </w:tcPr>
          <w:p w14:paraId="7DA661A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2FD032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27.564</w:t>
            </w:r>
          </w:p>
        </w:tc>
        <w:tc>
          <w:tcPr>
            <w:tcW w:w="0" w:type="auto"/>
            <w:tcBorders>
              <w:top w:val="nil"/>
              <w:left w:val="nil"/>
              <w:bottom w:val="nil"/>
              <w:right w:val="nil"/>
            </w:tcBorders>
            <w:vAlign w:val="center"/>
            <w:hideMark/>
          </w:tcPr>
          <w:p w14:paraId="6F6E037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6A88F86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0.982</w:t>
            </w:r>
          </w:p>
        </w:tc>
        <w:tc>
          <w:tcPr>
            <w:tcW w:w="0" w:type="auto"/>
            <w:gridSpan w:val="2"/>
            <w:tcBorders>
              <w:top w:val="nil"/>
              <w:left w:val="nil"/>
              <w:bottom w:val="nil"/>
              <w:right w:val="nil"/>
            </w:tcBorders>
            <w:vAlign w:val="center"/>
            <w:hideMark/>
          </w:tcPr>
          <w:p w14:paraId="23AD619B"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7A6F3EFD" w14:textId="77777777" w:rsidTr="007E19D4">
        <w:trPr>
          <w:gridAfter w:val="2"/>
        </w:trPr>
        <w:tc>
          <w:tcPr>
            <w:tcW w:w="0" w:type="auto"/>
            <w:tcBorders>
              <w:top w:val="nil"/>
              <w:left w:val="nil"/>
              <w:bottom w:val="nil"/>
              <w:right w:val="nil"/>
            </w:tcBorders>
            <w:vAlign w:val="center"/>
            <w:hideMark/>
          </w:tcPr>
          <w:p w14:paraId="2F4F50C1"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 16</w:t>
            </w:r>
          </w:p>
        </w:tc>
        <w:tc>
          <w:tcPr>
            <w:tcW w:w="0" w:type="auto"/>
            <w:tcBorders>
              <w:top w:val="nil"/>
              <w:left w:val="nil"/>
              <w:bottom w:val="nil"/>
              <w:right w:val="nil"/>
            </w:tcBorders>
            <w:vAlign w:val="center"/>
            <w:hideMark/>
          </w:tcPr>
          <w:p w14:paraId="10D9BE0E"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C5CCC92"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5F20BA54"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59918B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5D54C83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1890D8B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41.716</w:t>
            </w:r>
          </w:p>
        </w:tc>
        <w:tc>
          <w:tcPr>
            <w:tcW w:w="0" w:type="auto"/>
            <w:tcBorders>
              <w:top w:val="nil"/>
              <w:left w:val="nil"/>
              <w:bottom w:val="nil"/>
              <w:right w:val="nil"/>
            </w:tcBorders>
            <w:vAlign w:val="center"/>
            <w:hideMark/>
          </w:tcPr>
          <w:p w14:paraId="07D7BBC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7A4C8BF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24.099</w:t>
            </w:r>
          </w:p>
        </w:tc>
        <w:tc>
          <w:tcPr>
            <w:tcW w:w="0" w:type="auto"/>
            <w:tcBorders>
              <w:top w:val="nil"/>
              <w:left w:val="nil"/>
              <w:bottom w:val="nil"/>
              <w:right w:val="nil"/>
            </w:tcBorders>
            <w:vAlign w:val="center"/>
            <w:hideMark/>
          </w:tcPr>
          <w:p w14:paraId="65A1D95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D1CE12A"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9.838</w:t>
            </w:r>
          </w:p>
        </w:tc>
        <w:tc>
          <w:tcPr>
            <w:tcW w:w="0" w:type="auto"/>
            <w:tcBorders>
              <w:top w:val="nil"/>
              <w:left w:val="nil"/>
              <w:bottom w:val="nil"/>
              <w:right w:val="nil"/>
            </w:tcBorders>
            <w:vAlign w:val="center"/>
            <w:hideMark/>
          </w:tcPr>
          <w:p w14:paraId="27F6BEF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40088768"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0.578</w:t>
            </w:r>
          </w:p>
        </w:tc>
        <w:tc>
          <w:tcPr>
            <w:tcW w:w="0" w:type="auto"/>
            <w:gridSpan w:val="2"/>
            <w:tcBorders>
              <w:top w:val="nil"/>
              <w:left w:val="nil"/>
              <w:bottom w:val="nil"/>
              <w:right w:val="nil"/>
            </w:tcBorders>
            <w:vAlign w:val="center"/>
            <w:hideMark/>
          </w:tcPr>
          <w:p w14:paraId="223F88C9"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1AB7D9F9" w14:textId="77777777" w:rsidTr="007E19D4">
        <w:trPr>
          <w:gridAfter w:val="2"/>
        </w:trPr>
        <w:tc>
          <w:tcPr>
            <w:tcW w:w="0" w:type="auto"/>
            <w:tcBorders>
              <w:top w:val="nil"/>
              <w:left w:val="nil"/>
              <w:bottom w:val="nil"/>
              <w:right w:val="nil"/>
            </w:tcBorders>
            <w:vAlign w:val="center"/>
            <w:hideMark/>
          </w:tcPr>
          <w:p w14:paraId="18D0640D"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0D9B0F2F"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A223FE" w14:textId="77777777" w:rsidR="009261C0" w:rsidRPr="001956DC" w:rsidRDefault="009261C0" w:rsidP="007E19D4">
            <w:pPr>
              <w:spacing w:after="0" w:line="240" w:lineRule="auto"/>
              <w:rPr>
                <w:rFonts w:ascii="Times New Roman" w:eastAsia="Times New Roman" w:hAnsi="Times New Roman" w:cs="Times New Roman"/>
                <w:lang w:eastAsia="es-ES"/>
              </w:rPr>
            </w:pPr>
            <w:proofErr w:type="spellStart"/>
            <w:r w:rsidRPr="001956DC">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374B774E"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52CAF5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7E50A6A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7716380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35.382</w:t>
            </w:r>
          </w:p>
        </w:tc>
        <w:tc>
          <w:tcPr>
            <w:tcW w:w="0" w:type="auto"/>
            <w:tcBorders>
              <w:top w:val="nil"/>
              <w:left w:val="nil"/>
              <w:bottom w:val="nil"/>
              <w:right w:val="nil"/>
            </w:tcBorders>
            <w:vAlign w:val="center"/>
            <w:hideMark/>
          </w:tcPr>
          <w:p w14:paraId="2A7012A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2"/>
            <w:tcBorders>
              <w:top w:val="nil"/>
              <w:left w:val="nil"/>
              <w:bottom w:val="nil"/>
              <w:right w:val="nil"/>
            </w:tcBorders>
            <w:vAlign w:val="center"/>
            <w:hideMark/>
          </w:tcPr>
          <w:p w14:paraId="288752E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20.177</w:t>
            </w:r>
          </w:p>
        </w:tc>
        <w:tc>
          <w:tcPr>
            <w:tcW w:w="0" w:type="auto"/>
            <w:tcBorders>
              <w:top w:val="nil"/>
              <w:left w:val="nil"/>
              <w:bottom w:val="nil"/>
              <w:right w:val="nil"/>
            </w:tcBorders>
            <w:vAlign w:val="center"/>
            <w:hideMark/>
          </w:tcPr>
          <w:p w14:paraId="6A83318A"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61076F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8.237</w:t>
            </w:r>
          </w:p>
        </w:tc>
        <w:tc>
          <w:tcPr>
            <w:tcW w:w="0" w:type="auto"/>
            <w:tcBorders>
              <w:top w:val="nil"/>
              <w:left w:val="nil"/>
              <w:bottom w:val="nil"/>
              <w:right w:val="nil"/>
            </w:tcBorders>
            <w:vAlign w:val="center"/>
            <w:hideMark/>
          </w:tcPr>
          <w:p w14:paraId="00B1AB6B"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gridSpan w:val="3"/>
            <w:tcBorders>
              <w:top w:val="nil"/>
              <w:left w:val="nil"/>
              <w:bottom w:val="nil"/>
              <w:right w:val="nil"/>
            </w:tcBorders>
            <w:vAlign w:val="center"/>
            <w:hideMark/>
          </w:tcPr>
          <w:p w14:paraId="3B09E3B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0.570</w:t>
            </w:r>
          </w:p>
        </w:tc>
        <w:tc>
          <w:tcPr>
            <w:tcW w:w="0" w:type="auto"/>
            <w:gridSpan w:val="2"/>
            <w:tcBorders>
              <w:top w:val="nil"/>
              <w:left w:val="nil"/>
              <w:bottom w:val="nil"/>
              <w:right w:val="nil"/>
            </w:tcBorders>
            <w:vAlign w:val="center"/>
            <w:hideMark/>
          </w:tcPr>
          <w:p w14:paraId="0572A88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08B4B3F6" w14:textId="77777777" w:rsidTr="007E19D4">
        <w:trPr>
          <w:gridAfter w:val="2"/>
        </w:trPr>
        <w:tc>
          <w:tcPr>
            <w:tcW w:w="0" w:type="auto"/>
            <w:gridSpan w:val="19"/>
            <w:tcBorders>
              <w:top w:val="nil"/>
              <w:left w:val="nil"/>
              <w:bottom w:val="single" w:sz="12" w:space="0" w:color="000000"/>
              <w:right w:val="nil"/>
            </w:tcBorders>
            <w:vAlign w:val="center"/>
            <w:hideMark/>
          </w:tcPr>
          <w:p w14:paraId="1A31EF44"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r>
    </w:tbl>
    <w:p w14:paraId="176896F2" w14:textId="77777777" w:rsidR="009261C0" w:rsidRPr="001956DC" w:rsidRDefault="009261C0" w:rsidP="009261C0">
      <w:pPr>
        <w:rPr>
          <w:sz w:val="16"/>
          <w:szCs w:val="16"/>
        </w:rPr>
      </w:pPr>
    </w:p>
    <w:p w14:paraId="22738CB2" w14:textId="77777777" w:rsidR="009261C0" w:rsidRPr="00EC1AFC" w:rsidRDefault="009261C0" w:rsidP="009261C0">
      <w:pPr>
        <w:rPr>
          <w:rFonts w:ascii="Times New Roman" w:eastAsia="Times New Roman" w:hAnsi="Times New Roman" w:cs="Times New Roman"/>
          <w:lang w:eastAsia="es-ES"/>
        </w:rPr>
      </w:pPr>
      <w:r w:rsidRPr="00EC1AFC">
        <w:rPr>
          <w:rFonts w:ascii="Times New Roman" w:eastAsia="Times New Roman" w:hAnsi="Times New Roman" w:cs="Times New Roman"/>
          <w:lang w:eastAsia="es-ES"/>
        </w:rPr>
        <w:br w:type="page"/>
      </w:r>
    </w:p>
    <w:p w14:paraId="45E946C8" w14:textId="77777777" w:rsidR="009261C0" w:rsidRPr="002829B0" w:rsidRDefault="009261C0" w:rsidP="002829B0">
      <w:pPr>
        <w:rPr>
          <w:rFonts w:ascii="Times New Roman" w:hAnsi="Times New Roman" w:cs="Times New Roman"/>
          <w:b/>
          <w:sz w:val="28"/>
          <w:szCs w:val="28"/>
          <w:lang w:eastAsia="es-ES"/>
        </w:rPr>
      </w:pPr>
      <w:r w:rsidRPr="002829B0">
        <w:rPr>
          <w:rFonts w:ascii="Times New Roman" w:hAnsi="Times New Roman" w:cs="Times New Roman"/>
          <w:b/>
          <w:sz w:val="28"/>
          <w:szCs w:val="28"/>
          <w:lang w:eastAsia="es-ES"/>
        </w:rPr>
        <w:lastRenderedPageBreak/>
        <w:t>Repeated Measures ANOVA for WT, treated vs non-treated</w:t>
      </w:r>
    </w:p>
    <w:p w14:paraId="214D3063" w14:textId="77777777" w:rsidR="009261C0" w:rsidRDefault="009261C0" w:rsidP="009261C0">
      <w:pPr>
        <w:spacing w:after="0" w:line="240" w:lineRule="auto"/>
        <w:rPr>
          <w:rFonts w:ascii="Times New Roman" w:eastAsia="Times New Roman" w:hAnsi="Times New Roman" w:cs="Times New Roman"/>
          <w:lang w:eastAsia="es-ES"/>
        </w:rPr>
      </w:pPr>
      <w:r w:rsidRPr="00704FD7">
        <w:rPr>
          <w:rFonts w:ascii="Times New Roman" w:eastAsia="Times New Roman" w:hAnsi="Times New Roman" w:cs="Times New Roman"/>
          <w:lang w:eastAsia="es-ES"/>
        </w:rPr>
        <w:t>No effects were found in GCN2ib-treated WT mice</w:t>
      </w:r>
    </w:p>
    <w:p w14:paraId="2946159E" w14:textId="77777777" w:rsidR="009261C0" w:rsidRPr="00704FD7" w:rsidRDefault="009261C0" w:rsidP="009261C0">
      <w:pPr>
        <w:spacing w:after="0" w:line="240" w:lineRule="auto"/>
        <w:rPr>
          <w:rFonts w:ascii="Times New Roman" w:eastAsia="Times New Roman" w:hAnsi="Times New Roman" w:cs="Times New Roman"/>
          <w:lang w:eastAsia="es-ES"/>
        </w:rPr>
      </w:pPr>
    </w:p>
    <w:tbl>
      <w:tblPr>
        <w:tblW w:w="0" w:type="auto"/>
        <w:tblCellMar>
          <w:top w:w="15" w:type="dxa"/>
          <w:left w:w="15" w:type="dxa"/>
          <w:bottom w:w="15" w:type="dxa"/>
          <w:right w:w="15" w:type="dxa"/>
        </w:tblCellMar>
        <w:tblLook w:val="04A0" w:firstRow="1" w:lastRow="0" w:firstColumn="1" w:lastColumn="0" w:noHBand="0" w:noVBand="1"/>
      </w:tblPr>
      <w:tblGrid>
        <w:gridCol w:w="1461"/>
        <w:gridCol w:w="36"/>
        <w:gridCol w:w="1939"/>
        <w:gridCol w:w="138"/>
        <w:gridCol w:w="1412"/>
        <w:gridCol w:w="98"/>
        <w:gridCol w:w="635"/>
        <w:gridCol w:w="36"/>
        <w:gridCol w:w="1212"/>
        <w:gridCol w:w="83"/>
        <w:gridCol w:w="525"/>
        <w:gridCol w:w="36"/>
        <w:gridCol w:w="525"/>
        <w:gridCol w:w="36"/>
      </w:tblGrid>
      <w:tr w:rsidR="009261C0" w:rsidRPr="001956DC" w14:paraId="2EA85A7D" w14:textId="77777777" w:rsidTr="007E19D4">
        <w:trPr>
          <w:tblHeader/>
        </w:trPr>
        <w:tc>
          <w:tcPr>
            <w:tcW w:w="0" w:type="auto"/>
            <w:gridSpan w:val="14"/>
            <w:tcBorders>
              <w:top w:val="nil"/>
              <w:left w:val="nil"/>
              <w:bottom w:val="single" w:sz="6" w:space="0" w:color="000000"/>
              <w:right w:val="nil"/>
            </w:tcBorders>
            <w:vAlign w:val="center"/>
            <w:hideMark/>
          </w:tcPr>
          <w:p w14:paraId="00B8051A" w14:textId="77777777" w:rsidR="009261C0" w:rsidRPr="001956DC" w:rsidRDefault="009261C0" w:rsidP="007E19D4">
            <w:pPr>
              <w:spacing w:after="0" w:line="240" w:lineRule="auto"/>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 xml:space="preserve">Within Subjects Effects </w:t>
            </w:r>
          </w:p>
        </w:tc>
      </w:tr>
      <w:tr w:rsidR="009261C0" w:rsidRPr="001956DC" w14:paraId="7890CF33" w14:textId="77777777" w:rsidTr="007E19D4">
        <w:trPr>
          <w:tblHeader/>
        </w:trPr>
        <w:tc>
          <w:tcPr>
            <w:tcW w:w="0" w:type="auto"/>
            <w:gridSpan w:val="2"/>
            <w:tcBorders>
              <w:top w:val="nil"/>
              <w:left w:val="nil"/>
              <w:bottom w:val="single" w:sz="6" w:space="0" w:color="000000"/>
              <w:right w:val="nil"/>
            </w:tcBorders>
            <w:vAlign w:val="center"/>
            <w:hideMark/>
          </w:tcPr>
          <w:p w14:paraId="0BA42F0D"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34ADC932"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Sphericity Correction</w:t>
            </w:r>
          </w:p>
        </w:tc>
        <w:tc>
          <w:tcPr>
            <w:tcW w:w="0" w:type="auto"/>
            <w:gridSpan w:val="2"/>
            <w:tcBorders>
              <w:top w:val="nil"/>
              <w:left w:val="nil"/>
              <w:bottom w:val="single" w:sz="6" w:space="0" w:color="000000"/>
              <w:right w:val="nil"/>
            </w:tcBorders>
            <w:vAlign w:val="center"/>
            <w:hideMark/>
          </w:tcPr>
          <w:p w14:paraId="0A0C5F97"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17BBEC93"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1F6F94E4"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16AFA39E"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6B24A9BE"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p</w:t>
            </w:r>
          </w:p>
        </w:tc>
      </w:tr>
      <w:tr w:rsidR="009261C0" w:rsidRPr="001956DC" w14:paraId="0367F011" w14:textId="77777777" w:rsidTr="007E19D4">
        <w:tc>
          <w:tcPr>
            <w:tcW w:w="0" w:type="auto"/>
            <w:tcBorders>
              <w:top w:val="nil"/>
              <w:left w:val="nil"/>
              <w:bottom w:val="nil"/>
              <w:right w:val="nil"/>
            </w:tcBorders>
            <w:vAlign w:val="center"/>
            <w:hideMark/>
          </w:tcPr>
          <w:p w14:paraId="6669D2C8"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Weeks</w:t>
            </w:r>
          </w:p>
        </w:tc>
        <w:tc>
          <w:tcPr>
            <w:tcW w:w="0" w:type="auto"/>
            <w:tcBorders>
              <w:top w:val="nil"/>
              <w:left w:val="nil"/>
              <w:bottom w:val="nil"/>
              <w:right w:val="nil"/>
            </w:tcBorders>
            <w:vAlign w:val="center"/>
            <w:hideMark/>
          </w:tcPr>
          <w:p w14:paraId="04C83B38"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9490CA"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2E8346C3"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D3E753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2.940</w:t>
            </w:r>
          </w:p>
        </w:tc>
        <w:tc>
          <w:tcPr>
            <w:tcW w:w="0" w:type="auto"/>
            <w:tcBorders>
              <w:top w:val="nil"/>
              <w:left w:val="nil"/>
              <w:bottom w:val="nil"/>
              <w:right w:val="nil"/>
            </w:tcBorders>
            <w:vAlign w:val="center"/>
            <w:hideMark/>
          </w:tcPr>
          <w:p w14:paraId="602398AB"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0A4C24B"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4.000</w:t>
            </w:r>
          </w:p>
        </w:tc>
        <w:tc>
          <w:tcPr>
            <w:tcW w:w="0" w:type="auto"/>
            <w:tcBorders>
              <w:top w:val="nil"/>
              <w:left w:val="nil"/>
              <w:bottom w:val="nil"/>
              <w:right w:val="nil"/>
            </w:tcBorders>
            <w:vAlign w:val="center"/>
            <w:hideMark/>
          </w:tcPr>
          <w:p w14:paraId="5BBE9FD8"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B07113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0.735</w:t>
            </w:r>
          </w:p>
        </w:tc>
        <w:tc>
          <w:tcPr>
            <w:tcW w:w="0" w:type="auto"/>
            <w:tcBorders>
              <w:top w:val="nil"/>
              <w:left w:val="nil"/>
              <w:bottom w:val="nil"/>
              <w:right w:val="nil"/>
            </w:tcBorders>
            <w:vAlign w:val="center"/>
            <w:hideMark/>
          </w:tcPr>
          <w:p w14:paraId="192B319C"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91AF8FA"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2.489</w:t>
            </w:r>
          </w:p>
        </w:tc>
        <w:tc>
          <w:tcPr>
            <w:tcW w:w="0" w:type="auto"/>
            <w:tcBorders>
              <w:top w:val="nil"/>
              <w:left w:val="nil"/>
              <w:bottom w:val="nil"/>
              <w:right w:val="nil"/>
            </w:tcBorders>
            <w:vAlign w:val="center"/>
            <w:hideMark/>
          </w:tcPr>
          <w:p w14:paraId="0ACE575B"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8F9EAF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0.063</w:t>
            </w:r>
          </w:p>
        </w:tc>
        <w:tc>
          <w:tcPr>
            <w:tcW w:w="0" w:type="auto"/>
            <w:tcBorders>
              <w:top w:val="nil"/>
              <w:left w:val="nil"/>
              <w:bottom w:val="nil"/>
              <w:right w:val="nil"/>
            </w:tcBorders>
            <w:vAlign w:val="center"/>
            <w:hideMark/>
          </w:tcPr>
          <w:p w14:paraId="16B6F1D3" w14:textId="77777777" w:rsidR="009261C0" w:rsidRPr="001956DC" w:rsidRDefault="009261C0" w:rsidP="007E19D4">
            <w:pPr>
              <w:spacing w:after="0" w:line="240" w:lineRule="auto"/>
              <w:rPr>
                <w:rFonts w:ascii="Times New Roman" w:eastAsia="Times New Roman" w:hAnsi="Times New Roman" w:cs="Times New Roman"/>
                <w:lang w:eastAsia="es-ES"/>
              </w:rPr>
            </w:pPr>
          </w:p>
        </w:tc>
      </w:tr>
      <w:tr w:rsidR="009261C0" w:rsidRPr="001956DC" w14:paraId="5E845DC1" w14:textId="77777777" w:rsidTr="007E19D4">
        <w:tc>
          <w:tcPr>
            <w:tcW w:w="0" w:type="auto"/>
            <w:tcBorders>
              <w:top w:val="nil"/>
              <w:left w:val="nil"/>
              <w:bottom w:val="nil"/>
              <w:right w:val="nil"/>
            </w:tcBorders>
            <w:vAlign w:val="center"/>
            <w:hideMark/>
          </w:tcPr>
          <w:p w14:paraId="4571696F"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xml:space="preserve">Weeks </w:t>
            </w:r>
            <w:r w:rsidRPr="001956DC">
              <w:rPr>
                <w:rFonts w:ascii="Segoe UI Symbol" w:eastAsia="Times New Roman" w:hAnsi="Segoe UI Symbol" w:cs="Segoe UI Symbol"/>
                <w:sz w:val="18"/>
                <w:szCs w:val="18"/>
                <w:lang w:eastAsia="es-ES"/>
              </w:rPr>
              <w:t>✻</w:t>
            </w:r>
            <w:r w:rsidRPr="001956DC">
              <w:rPr>
                <w:rFonts w:ascii="Times New Roman" w:eastAsia="Times New Roman" w:hAnsi="Times New Roman" w:cs="Times New Roman"/>
                <w:lang w:eastAsia="es-ES"/>
              </w:rPr>
              <w:t xml:space="preserve"> Group</w:t>
            </w:r>
          </w:p>
        </w:tc>
        <w:tc>
          <w:tcPr>
            <w:tcW w:w="0" w:type="auto"/>
            <w:tcBorders>
              <w:top w:val="nil"/>
              <w:left w:val="nil"/>
              <w:bottom w:val="nil"/>
              <w:right w:val="nil"/>
            </w:tcBorders>
            <w:vAlign w:val="center"/>
            <w:hideMark/>
          </w:tcPr>
          <w:p w14:paraId="2AE69613"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B182D11"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1985E109"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016D37C"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0.254</w:t>
            </w:r>
          </w:p>
        </w:tc>
        <w:tc>
          <w:tcPr>
            <w:tcW w:w="0" w:type="auto"/>
            <w:tcBorders>
              <w:top w:val="nil"/>
              <w:left w:val="nil"/>
              <w:bottom w:val="nil"/>
              <w:right w:val="nil"/>
            </w:tcBorders>
            <w:vAlign w:val="center"/>
            <w:hideMark/>
          </w:tcPr>
          <w:p w14:paraId="46BC253F"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AEDBCA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4.000</w:t>
            </w:r>
          </w:p>
        </w:tc>
        <w:tc>
          <w:tcPr>
            <w:tcW w:w="0" w:type="auto"/>
            <w:tcBorders>
              <w:top w:val="nil"/>
              <w:left w:val="nil"/>
              <w:bottom w:val="nil"/>
              <w:right w:val="nil"/>
            </w:tcBorders>
            <w:vAlign w:val="center"/>
            <w:hideMark/>
          </w:tcPr>
          <w:p w14:paraId="4D6A1EB1"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B283A99"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0.064</w:t>
            </w:r>
          </w:p>
        </w:tc>
        <w:tc>
          <w:tcPr>
            <w:tcW w:w="0" w:type="auto"/>
            <w:tcBorders>
              <w:top w:val="nil"/>
              <w:left w:val="nil"/>
              <w:bottom w:val="nil"/>
              <w:right w:val="nil"/>
            </w:tcBorders>
            <w:vAlign w:val="center"/>
            <w:hideMark/>
          </w:tcPr>
          <w:p w14:paraId="515CF8AA"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6BC7FF9"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0.215</w:t>
            </w:r>
          </w:p>
        </w:tc>
        <w:tc>
          <w:tcPr>
            <w:tcW w:w="0" w:type="auto"/>
            <w:tcBorders>
              <w:top w:val="nil"/>
              <w:left w:val="nil"/>
              <w:bottom w:val="nil"/>
              <w:right w:val="nil"/>
            </w:tcBorders>
            <w:vAlign w:val="center"/>
            <w:hideMark/>
          </w:tcPr>
          <w:p w14:paraId="38867B14"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A2C7F6A"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0.928</w:t>
            </w:r>
          </w:p>
        </w:tc>
        <w:tc>
          <w:tcPr>
            <w:tcW w:w="0" w:type="auto"/>
            <w:tcBorders>
              <w:top w:val="nil"/>
              <w:left w:val="nil"/>
              <w:bottom w:val="nil"/>
              <w:right w:val="nil"/>
            </w:tcBorders>
            <w:vAlign w:val="center"/>
            <w:hideMark/>
          </w:tcPr>
          <w:p w14:paraId="3820D47C" w14:textId="77777777" w:rsidR="009261C0" w:rsidRPr="001956DC" w:rsidRDefault="009261C0" w:rsidP="007E19D4">
            <w:pPr>
              <w:spacing w:after="0" w:line="240" w:lineRule="auto"/>
              <w:rPr>
                <w:rFonts w:ascii="Times New Roman" w:eastAsia="Times New Roman" w:hAnsi="Times New Roman" w:cs="Times New Roman"/>
                <w:lang w:eastAsia="es-ES"/>
              </w:rPr>
            </w:pPr>
          </w:p>
        </w:tc>
      </w:tr>
      <w:tr w:rsidR="009261C0" w:rsidRPr="001956DC" w14:paraId="50A12192" w14:textId="77777777" w:rsidTr="007E19D4">
        <w:tc>
          <w:tcPr>
            <w:tcW w:w="0" w:type="auto"/>
            <w:tcBorders>
              <w:top w:val="nil"/>
              <w:left w:val="nil"/>
              <w:bottom w:val="nil"/>
              <w:right w:val="nil"/>
            </w:tcBorders>
            <w:vAlign w:val="center"/>
            <w:hideMark/>
          </w:tcPr>
          <w:p w14:paraId="170DA49C"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0170B2F1"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B8D78DA"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5D6230F7"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AFD5D0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9.450</w:t>
            </w:r>
          </w:p>
        </w:tc>
        <w:tc>
          <w:tcPr>
            <w:tcW w:w="0" w:type="auto"/>
            <w:tcBorders>
              <w:top w:val="nil"/>
              <w:left w:val="nil"/>
              <w:bottom w:val="nil"/>
              <w:right w:val="nil"/>
            </w:tcBorders>
            <w:vAlign w:val="center"/>
            <w:hideMark/>
          </w:tcPr>
          <w:p w14:paraId="04E5D11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F9273FB"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32.000</w:t>
            </w:r>
          </w:p>
        </w:tc>
        <w:tc>
          <w:tcPr>
            <w:tcW w:w="0" w:type="auto"/>
            <w:tcBorders>
              <w:top w:val="nil"/>
              <w:left w:val="nil"/>
              <w:bottom w:val="nil"/>
              <w:right w:val="nil"/>
            </w:tcBorders>
            <w:vAlign w:val="center"/>
            <w:hideMark/>
          </w:tcPr>
          <w:p w14:paraId="30785939"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403AF0F"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0.295</w:t>
            </w:r>
          </w:p>
        </w:tc>
        <w:tc>
          <w:tcPr>
            <w:tcW w:w="0" w:type="auto"/>
            <w:tcBorders>
              <w:top w:val="nil"/>
              <w:left w:val="nil"/>
              <w:bottom w:val="nil"/>
              <w:right w:val="nil"/>
            </w:tcBorders>
            <w:vAlign w:val="center"/>
            <w:hideMark/>
          </w:tcPr>
          <w:p w14:paraId="6C5F93A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9AFAF1B"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53DD5F05" w14:textId="77777777" w:rsidR="009261C0" w:rsidRPr="001956DC"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6E933634"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0935E9B"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027B9694" w14:textId="77777777" w:rsidTr="007E19D4">
        <w:tc>
          <w:tcPr>
            <w:tcW w:w="0" w:type="auto"/>
            <w:gridSpan w:val="14"/>
            <w:tcBorders>
              <w:top w:val="nil"/>
              <w:left w:val="nil"/>
              <w:bottom w:val="single" w:sz="12" w:space="0" w:color="000000"/>
              <w:right w:val="nil"/>
            </w:tcBorders>
            <w:vAlign w:val="center"/>
            <w:hideMark/>
          </w:tcPr>
          <w:p w14:paraId="5091BFE5"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3C0620B2" w14:textId="77777777" w:rsidTr="007E19D4">
        <w:tc>
          <w:tcPr>
            <w:tcW w:w="0" w:type="auto"/>
            <w:gridSpan w:val="14"/>
            <w:tcBorders>
              <w:top w:val="nil"/>
              <w:left w:val="nil"/>
              <w:bottom w:val="nil"/>
              <w:right w:val="nil"/>
            </w:tcBorders>
            <w:vAlign w:val="center"/>
            <w:hideMark/>
          </w:tcPr>
          <w:p w14:paraId="5A4C4BD5"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i/>
                <w:iCs/>
                <w:lang w:eastAsia="es-ES"/>
              </w:rPr>
              <w:t>Note.</w:t>
            </w:r>
            <w:r w:rsidRPr="001956DC">
              <w:rPr>
                <w:rFonts w:ascii="Times New Roman" w:eastAsia="Times New Roman" w:hAnsi="Times New Roman" w:cs="Times New Roman"/>
                <w:lang w:eastAsia="es-ES"/>
              </w:rPr>
              <w:t xml:space="preserve">  Type II Sum of Squares</w:t>
            </w:r>
          </w:p>
        </w:tc>
      </w:tr>
      <w:tr w:rsidR="009261C0" w:rsidRPr="00376408" w14:paraId="596ADB97" w14:textId="77777777" w:rsidTr="007E19D4">
        <w:tc>
          <w:tcPr>
            <w:tcW w:w="0" w:type="auto"/>
            <w:gridSpan w:val="14"/>
            <w:tcBorders>
              <w:top w:val="nil"/>
              <w:left w:val="nil"/>
              <w:bottom w:val="nil"/>
              <w:right w:val="nil"/>
            </w:tcBorders>
            <w:vAlign w:val="center"/>
            <w:hideMark/>
          </w:tcPr>
          <w:p w14:paraId="52210FE0"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Mauchly's test of sphericity indicates that the assumption of sphericity is violated (p &lt; .05).</w:t>
            </w:r>
          </w:p>
        </w:tc>
      </w:tr>
    </w:tbl>
    <w:p w14:paraId="73771A2D" w14:textId="77777777" w:rsidR="009261C0" w:rsidRPr="001956DC" w:rsidRDefault="009261C0" w:rsidP="009261C0">
      <w:pPr>
        <w:spacing w:after="126"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886"/>
        <w:gridCol w:w="36"/>
        <w:gridCol w:w="1457"/>
        <w:gridCol w:w="53"/>
        <w:gridCol w:w="180"/>
        <w:gridCol w:w="46"/>
        <w:gridCol w:w="1249"/>
        <w:gridCol w:w="46"/>
        <w:gridCol w:w="986"/>
        <w:gridCol w:w="36"/>
        <w:gridCol w:w="525"/>
        <w:gridCol w:w="36"/>
      </w:tblGrid>
      <w:tr w:rsidR="009261C0" w:rsidRPr="001956DC" w14:paraId="5AC493BA" w14:textId="77777777" w:rsidTr="007E19D4">
        <w:trPr>
          <w:tblHeader/>
        </w:trPr>
        <w:tc>
          <w:tcPr>
            <w:tcW w:w="0" w:type="auto"/>
            <w:gridSpan w:val="12"/>
            <w:tcBorders>
              <w:top w:val="nil"/>
              <w:left w:val="nil"/>
              <w:bottom w:val="single" w:sz="6" w:space="0" w:color="000000"/>
              <w:right w:val="nil"/>
            </w:tcBorders>
            <w:vAlign w:val="center"/>
            <w:hideMark/>
          </w:tcPr>
          <w:p w14:paraId="3B3426E3" w14:textId="77777777" w:rsidR="009261C0" w:rsidRPr="001956DC" w:rsidRDefault="009261C0" w:rsidP="007E19D4">
            <w:pPr>
              <w:spacing w:after="0" w:line="240" w:lineRule="auto"/>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 xml:space="preserve">Between Subjects Effects </w:t>
            </w:r>
          </w:p>
        </w:tc>
      </w:tr>
      <w:tr w:rsidR="009261C0" w:rsidRPr="001956DC" w14:paraId="7628D319" w14:textId="77777777" w:rsidTr="007E19D4">
        <w:trPr>
          <w:tblHeader/>
        </w:trPr>
        <w:tc>
          <w:tcPr>
            <w:tcW w:w="0" w:type="auto"/>
            <w:gridSpan w:val="2"/>
            <w:tcBorders>
              <w:top w:val="nil"/>
              <w:left w:val="nil"/>
              <w:bottom w:val="single" w:sz="6" w:space="0" w:color="000000"/>
              <w:right w:val="nil"/>
            </w:tcBorders>
            <w:vAlign w:val="center"/>
            <w:hideMark/>
          </w:tcPr>
          <w:p w14:paraId="4264286D"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176FBFFB"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3524C69E"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5EE46B58"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7BF707E6"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4EF70933" w14:textId="77777777" w:rsidR="009261C0" w:rsidRPr="001956DC" w:rsidRDefault="009261C0" w:rsidP="007E19D4">
            <w:pPr>
              <w:spacing w:after="0" w:line="240" w:lineRule="auto"/>
              <w:jc w:val="center"/>
              <w:rPr>
                <w:rFonts w:ascii="Times New Roman" w:eastAsia="Times New Roman" w:hAnsi="Times New Roman" w:cs="Times New Roman"/>
                <w:b/>
                <w:bCs/>
                <w:lang w:eastAsia="es-ES"/>
              </w:rPr>
            </w:pPr>
            <w:r w:rsidRPr="001956DC">
              <w:rPr>
                <w:rFonts w:ascii="Times New Roman" w:eastAsia="Times New Roman" w:hAnsi="Times New Roman" w:cs="Times New Roman"/>
                <w:b/>
                <w:bCs/>
                <w:lang w:eastAsia="es-ES"/>
              </w:rPr>
              <w:t>p</w:t>
            </w:r>
          </w:p>
        </w:tc>
      </w:tr>
      <w:tr w:rsidR="009261C0" w:rsidRPr="001956DC" w14:paraId="04ADCD79" w14:textId="77777777" w:rsidTr="007E19D4">
        <w:tc>
          <w:tcPr>
            <w:tcW w:w="0" w:type="auto"/>
            <w:tcBorders>
              <w:top w:val="nil"/>
              <w:left w:val="nil"/>
              <w:bottom w:val="nil"/>
              <w:right w:val="nil"/>
            </w:tcBorders>
            <w:vAlign w:val="center"/>
            <w:hideMark/>
          </w:tcPr>
          <w:p w14:paraId="173763AA"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Group</w:t>
            </w:r>
          </w:p>
        </w:tc>
        <w:tc>
          <w:tcPr>
            <w:tcW w:w="0" w:type="auto"/>
            <w:tcBorders>
              <w:top w:val="nil"/>
              <w:left w:val="nil"/>
              <w:bottom w:val="nil"/>
              <w:right w:val="nil"/>
            </w:tcBorders>
            <w:vAlign w:val="center"/>
            <w:hideMark/>
          </w:tcPr>
          <w:p w14:paraId="42F734B8"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0AE470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7.661×10</w:t>
            </w:r>
            <w:r w:rsidRPr="001956DC">
              <w:rPr>
                <w:rFonts w:ascii="Times New Roman" w:eastAsia="Times New Roman" w:hAnsi="Times New Roman" w:cs="Times New Roman"/>
                <w:vertAlign w:val="superscript"/>
                <w:lang w:eastAsia="es-ES"/>
              </w:rPr>
              <w:t>-5</w:t>
            </w:r>
            <w:r w:rsidRPr="001956DC">
              <w:rPr>
                <w:rFonts w:ascii="Times New Roman" w:eastAsia="Times New Roman" w:hAnsi="Times New Roman" w:cs="Times New Roman"/>
                <w:lang w:eastAsia="es-ES"/>
              </w:rPr>
              <w:t xml:space="preserve"> </w:t>
            </w:r>
          </w:p>
        </w:tc>
        <w:tc>
          <w:tcPr>
            <w:tcW w:w="0" w:type="auto"/>
            <w:tcBorders>
              <w:top w:val="nil"/>
              <w:left w:val="nil"/>
              <w:bottom w:val="nil"/>
              <w:right w:val="nil"/>
            </w:tcBorders>
            <w:vAlign w:val="center"/>
            <w:hideMark/>
          </w:tcPr>
          <w:p w14:paraId="58E74BE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C58BD6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1</w:t>
            </w:r>
          </w:p>
        </w:tc>
        <w:tc>
          <w:tcPr>
            <w:tcW w:w="0" w:type="auto"/>
            <w:tcBorders>
              <w:top w:val="nil"/>
              <w:left w:val="nil"/>
              <w:bottom w:val="nil"/>
              <w:right w:val="nil"/>
            </w:tcBorders>
            <w:vAlign w:val="center"/>
            <w:hideMark/>
          </w:tcPr>
          <w:p w14:paraId="33661CD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F6E0FF7"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7.661×10</w:t>
            </w:r>
            <w:r w:rsidRPr="001956DC">
              <w:rPr>
                <w:rFonts w:ascii="Times New Roman" w:eastAsia="Times New Roman" w:hAnsi="Times New Roman" w:cs="Times New Roman"/>
                <w:vertAlign w:val="superscript"/>
                <w:lang w:eastAsia="es-ES"/>
              </w:rPr>
              <w:t>-5</w:t>
            </w:r>
            <w:r w:rsidRPr="001956DC">
              <w:rPr>
                <w:rFonts w:ascii="Times New Roman" w:eastAsia="Times New Roman" w:hAnsi="Times New Roman" w:cs="Times New Roman"/>
                <w:lang w:eastAsia="es-ES"/>
              </w:rPr>
              <w:t xml:space="preserve"> </w:t>
            </w:r>
          </w:p>
        </w:tc>
        <w:tc>
          <w:tcPr>
            <w:tcW w:w="0" w:type="auto"/>
            <w:tcBorders>
              <w:top w:val="nil"/>
              <w:left w:val="nil"/>
              <w:bottom w:val="nil"/>
              <w:right w:val="nil"/>
            </w:tcBorders>
            <w:vAlign w:val="center"/>
            <w:hideMark/>
          </w:tcPr>
          <w:p w14:paraId="6C67741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7DD457C"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2.970×10</w:t>
            </w:r>
            <w:r w:rsidRPr="001956DC">
              <w:rPr>
                <w:rFonts w:ascii="Times New Roman" w:eastAsia="Times New Roman" w:hAnsi="Times New Roman" w:cs="Times New Roman"/>
                <w:vertAlign w:val="superscript"/>
                <w:lang w:eastAsia="es-ES"/>
              </w:rPr>
              <w:t>-4</w:t>
            </w:r>
            <w:r w:rsidRPr="001956DC">
              <w:rPr>
                <w:rFonts w:ascii="Times New Roman" w:eastAsia="Times New Roman" w:hAnsi="Times New Roman" w:cs="Times New Roman"/>
                <w:lang w:eastAsia="es-ES"/>
              </w:rPr>
              <w:t xml:space="preserve"> </w:t>
            </w:r>
          </w:p>
        </w:tc>
        <w:tc>
          <w:tcPr>
            <w:tcW w:w="0" w:type="auto"/>
            <w:tcBorders>
              <w:top w:val="nil"/>
              <w:left w:val="nil"/>
              <w:bottom w:val="nil"/>
              <w:right w:val="nil"/>
            </w:tcBorders>
            <w:vAlign w:val="center"/>
            <w:hideMark/>
          </w:tcPr>
          <w:p w14:paraId="5EBF89A0"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50FA852"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0.987</w:t>
            </w:r>
          </w:p>
        </w:tc>
        <w:tc>
          <w:tcPr>
            <w:tcW w:w="0" w:type="auto"/>
            <w:tcBorders>
              <w:top w:val="nil"/>
              <w:left w:val="nil"/>
              <w:bottom w:val="nil"/>
              <w:right w:val="nil"/>
            </w:tcBorders>
            <w:vAlign w:val="center"/>
            <w:hideMark/>
          </w:tcPr>
          <w:p w14:paraId="74B952E3"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15838036" w14:textId="77777777" w:rsidTr="007E19D4">
        <w:tc>
          <w:tcPr>
            <w:tcW w:w="0" w:type="auto"/>
            <w:tcBorders>
              <w:top w:val="nil"/>
              <w:left w:val="nil"/>
              <w:bottom w:val="nil"/>
              <w:right w:val="nil"/>
            </w:tcBorders>
            <w:vAlign w:val="center"/>
            <w:hideMark/>
          </w:tcPr>
          <w:p w14:paraId="1AB049F1"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781151C1" w14:textId="77777777" w:rsidR="009261C0" w:rsidRPr="001956DC"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B7A439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2.063</w:t>
            </w:r>
          </w:p>
        </w:tc>
        <w:tc>
          <w:tcPr>
            <w:tcW w:w="0" w:type="auto"/>
            <w:tcBorders>
              <w:top w:val="nil"/>
              <w:left w:val="nil"/>
              <w:bottom w:val="nil"/>
              <w:right w:val="nil"/>
            </w:tcBorders>
            <w:vAlign w:val="center"/>
            <w:hideMark/>
          </w:tcPr>
          <w:p w14:paraId="2C7FAFA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983660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8</w:t>
            </w:r>
          </w:p>
        </w:tc>
        <w:tc>
          <w:tcPr>
            <w:tcW w:w="0" w:type="auto"/>
            <w:tcBorders>
              <w:top w:val="nil"/>
              <w:left w:val="nil"/>
              <w:bottom w:val="nil"/>
              <w:right w:val="nil"/>
            </w:tcBorders>
            <w:vAlign w:val="center"/>
            <w:hideMark/>
          </w:tcPr>
          <w:p w14:paraId="00EED146"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4DF2805"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0.258</w:t>
            </w:r>
          </w:p>
        </w:tc>
        <w:tc>
          <w:tcPr>
            <w:tcW w:w="0" w:type="auto"/>
            <w:tcBorders>
              <w:top w:val="nil"/>
              <w:left w:val="nil"/>
              <w:bottom w:val="nil"/>
              <w:right w:val="nil"/>
            </w:tcBorders>
            <w:vAlign w:val="center"/>
            <w:hideMark/>
          </w:tcPr>
          <w:p w14:paraId="600F2D7E"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15132BC"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631428B7" w14:textId="77777777" w:rsidR="009261C0" w:rsidRPr="001956DC"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176AED31" w14:textId="77777777" w:rsidR="009261C0" w:rsidRPr="001956DC" w:rsidRDefault="009261C0" w:rsidP="007E19D4">
            <w:pPr>
              <w:spacing w:after="0" w:line="240" w:lineRule="auto"/>
              <w:jc w:val="right"/>
              <w:rPr>
                <w:rFonts w:ascii="Times New Roman" w:eastAsia="Times New Roman" w:hAnsi="Times New Roman" w:cs="Times New Roman"/>
                <w:lang w:eastAsia="es-ES"/>
              </w:rPr>
            </w:pPr>
            <w:r w:rsidRPr="001956DC">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7C1A3C2D" w14:textId="77777777" w:rsidR="009261C0" w:rsidRPr="001956DC" w:rsidRDefault="009261C0" w:rsidP="007E19D4">
            <w:pPr>
              <w:spacing w:after="0" w:line="240" w:lineRule="auto"/>
              <w:jc w:val="right"/>
              <w:rPr>
                <w:rFonts w:ascii="Times New Roman" w:eastAsia="Times New Roman" w:hAnsi="Times New Roman" w:cs="Times New Roman"/>
                <w:lang w:eastAsia="es-ES"/>
              </w:rPr>
            </w:pPr>
          </w:p>
        </w:tc>
      </w:tr>
      <w:tr w:rsidR="009261C0" w:rsidRPr="001956DC" w14:paraId="05A7398B" w14:textId="77777777" w:rsidTr="007E19D4">
        <w:tc>
          <w:tcPr>
            <w:tcW w:w="0" w:type="auto"/>
            <w:gridSpan w:val="12"/>
            <w:tcBorders>
              <w:top w:val="nil"/>
              <w:left w:val="nil"/>
              <w:bottom w:val="single" w:sz="12" w:space="0" w:color="000000"/>
              <w:right w:val="nil"/>
            </w:tcBorders>
            <w:vAlign w:val="center"/>
            <w:hideMark/>
          </w:tcPr>
          <w:p w14:paraId="70DA66D0" w14:textId="77777777" w:rsidR="009261C0" w:rsidRPr="001956DC"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5E2F5E17" w14:textId="77777777" w:rsidTr="007E19D4">
        <w:tc>
          <w:tcPr>
            <w:tcW w:w="0" w:type="auto"/>
            <w:gridSpan w:val="12"/>
            <w:tcBorders>
              <w:top w:val="nil"/>
              <w:left w:val="nil"/>
              <w:bottom w:val="nil"/>
              <w:right w:val="nil"/>
            </w:tcBorders>
            <w:vAlign w:val="center"/>
            <w:hideMark/>
          </w:tcPr>
          <w:p w14:paraId="7B574642" w14:textId="77777777" w:rsidR="009261C0" w:rsidRPr="001956DC" w:rsidRDefault="009261C0" w:rsidP="007E19D4">
            <w:pPr>
              <w:spacing w:after="0" w:line="240" w:lineRule="auto"/>
              <w:rPr>
                <w:rFonts w:ascii="Times New Roman" w:eastAsia="Times New Roman" w:hAnsi="Times New Roman" w:cs="Times New Roman"/>
                <w:lang w:eastAsia="es-ES"/>
              </w:rPr>
            </w:pPr>
            <w:r w:rsidRPr="001956DC">
              <w:rPr>
                <w:rFonts w:ascii="Times New Roman" w:eastAsia="Times New Roman" w:hAnsi="Times New Roman" w:cs="Times New Roman"/>
                <w:i/>
                <w:iCs/>
                <w:lang w:eastAsia="es-ES"/>
              </w:rPr>
              <w:t>Note.</w:t>
            </w:r>
            <w:r w:rsidRPr="001956DC">
              <w:rPr>
                <w:rFonts w:ascii="Times New Roman" w:eastAsia="Times New Roman" w:hAnsi="Times New Roman" w:cs="Times New Roman"/>
                <w:lang w:eastAsia="es-ES"/>
              </w:rPr>
              <w:t xml:space="preserve">  Type II Sum of Squares</w:t>
            </w:r>
          </w:p>
        </w:tc>
      </w:tr>
    </w:tbl>
    <w:p w14:paraId="5A398BF8" w14:textId="77777777" w:rsidR="009261C0" w:rsidRPr="001956DC" w:rsidRDefault="009261C0" w:rsidP="009261C0">
      <w:pPr>
        <w:spacing w:after="0"/>
        <w:rPr>
          <w:sz w:val="20"/>
          <w:szCs w:val="20"/>
        </w:rPr>
      </w:pPr>
    </w:p>
    <w:p w14:paraId="6CBB8D58" w14:textId="77777777" w:rsidR="009261C0" w:rsidRDefault="009261C0" w:rsidP="009261C0">
      <w:pPr>
        <w:rPr>
          <w:sz w:val="20"/>
          <w:szCs w:val="20"/>
        </w:rPr>
      </w:pPr>
      <w:r>
        <w:rPr>
          <w:sz w:val="20"/>
          <w:szCs w:val="20"/>
        </w:rPr>
        <w:br w:type="page"/>
      </w:r>
    </w:p>
    <w:p w14:paraId="722A6A84" w14:textId="77777777" w:rsidR="009261C0" w:rsidRPr="002829B0" w:rsidRDefault="009261C0" w:rsidP="002829B0">
      <w:pPr>
        <w:pStyle w:val="Heading3"/>
        <w:rPr>
          <w:rFonts w:ascii="Times New Roman" w:eastAsia="Times New Roman" w:hAnsi="Times New Roman" w:cs="Times New Roman"/>
          <w:color w:val="auto"/>
          <w:sz w:val="32"/>
          <w:szCs w:val="32"/>
          <w:lang w:eastAsia="es-ES"/>
        </w:rPr>
      </w:pPr>
      <w:r w:rsidRPr="002829B0">
        <w:rPr>
          <w:rFonts w:ascii="Times New Roman" w:eastAsia="Times New Roman" w:hAnsi="Times New Roman" w:cs="Times New Roman"/>
          <w:color w:val="auto"/>
          <w:sz w:val="32"/>
          <w:szCs w:val="32"/>
          <w:lang w:eastAsia="es-ES"/>
        </w:rPr>
        <w:lastRenderedPageBreak/>
        <w:t>EMG evolution in SOL muscle</w:t>
      </w:r>
    </w:p>
    <w:p w14:paraId="52DD2027" w14:textId="77777777" w:rsidR="00944DB7" w:rsidRDefault="00944DB7" w:rsidP="002829B0">
      <w:pPr>
        <w:rPr>
          <w:rFonts w:ascii="Times New Roman" w:hAnsi="Times New Roman" w:cs="Times New Roman"/>
          <w:b/>
          <w:sz w:val="28"/>
          <w:szCs w:val="28"/>
          <w:lang w:eastAsia="es-ES"/>
        </w:rPr>
      </w:pPr>
    </w:p>
    <w:p w14:paraId="60454C67" w14:textId="26F2FCE8" w:rsidR="009261C0" w:rsidRPr="002829B0" w:rsidRDefault="009261C0" w:rsidP="002829B0">
      <w:pPr>
        <w:rPr>
          <w:rFonts w:ascii="Times New Roman" w:hAnsi="Times New Roman" w:cs="Times New Roman"/>
          <w:b/>
          <w:sz w:val="28"/>
          <w:szCs w:val="28"/>
          <w:lang w:eastAsia="es-ES"/>
        </w:rPr>
      </w:pPr>
      <w:r w:rsidRPr="002829B0">
        <w:rPr>
          <w:rFonts w:ascii="Times New Roman" w:hAnsi="Times New Roman" w:cs="Times New Roman"/>
          <w:b/>
          <w:sz w:val="28"/>
          <w:szCs w:val="28"/>
          <w:lang w:eastAsia="es-ES"/>
        </w:rPr>
        <w:t>Repeated Measures ANOVA for 4 groups, 5 time points</w:t>
      </w:r>
    </w:p>
    <w:p w14:paraId="5D90EE66" w14:textId="77777777" w:rsidR="009261C0" w:rsidRDefault="009261C0" w:rsidP="009261C0">
      <w:pPr>
        <w:spacing w:after="0" w:line="240" w:lineRule="auto"/>
        <w:rPr>
          <w:rFonts w:ascii="Times New Roman" w:eastAsia="Times New Roman" w:hAnsi="Times New Roman" w:cs="Times New Roman"/>
          <w:lang w:eastAsia="es-ES"/>
        </w:rPr>
      </w:pPr>
      <w:r w:rsidRPr="00376408">
        <w:rPr>
          <w:rFonts w:ascii="Times New Roman" w:eastAsia="Times New Roman" w:hAnsi="Times New Roman" w:cs="Times New Roman"/>
          <w:lang w:eastAsia="es-ES"/>
        </w:rPr>
        <w:t>2-way mixed ANOVA com</w:t>
      </w:r>
      <w:r>
        <w:rPr>
          <w:rFonts w:ascii="Times New Roman" w:eastAsia="Times New Roman" w:hAnsi="Times New Roman" w:cs="Times New Roman"/>
          <w:lang w:eastAsia="es-ES"/>
        </w:rPr>
        <w:t>paring the evolution of EMG activity at SOL muscle among the two genotypes and treatments (4 groups) detects only</w:t>
      </w:r>
      <w:r w:rsidRPr="00376408">
        <w:rPr>
          <w:rFonts w:ascii="Times New Roman" w:eastAsia="Times New Roman" w:hAnsi="Times New Roman" w:cs="Times New Roman"/>
          <w:lang w:eastAsia="es-ES"/>
        </w:rPr>
        <w:t xml:space="preserve"> a significant effect </w:t>
      </w:r>
      <w:r>
        <w:rPr>
          <w:rFonts w:ascii="Times New Roman" w:eastAsia="Times New Roman" w:hAnsi="Times New Roman" w:cs="Times New Roman"/>
          <w:lang w:eastAsia="es-ES"/>
        </w:rPr>
        <w:t>of</w:t>
      </w:r>
      <w:r w:rsidRPr="00376408">
        <w:rPr>
          <w:rFonts w:ascii="Times New Roman" w:eastAsia="Times New Roman" w:hAnsi="Times New Roman" w:cs="Times New Roman"/>
          <w:lang w:eastAsia="es-ES"/>
        </w:rPr>
        <w:t xml:space="preserve"> </w:t>
      </w:r>
      <w:r>
        <w:rPr>
          <w:rFonts w:ascii="Times New Roman" w:eastAsia="Times New Roman" w:hAnsi="Times New Roman" w:cs="Times New Roman"/>
          <w:lang w:eastAsia="es-ES"/>
        </w:rPr>
        <w:t xml:space="preserve">the </w:t>
      </w:r>
      <w:r w:rsidRPr="00376408">
        <w:rPr>
          <w:rFonts w:ascii="Times New Roman" w:eastAsia="Times New Roman" w:hAnsi="Times New Roman" w:cs="Times New Roman"/>
          <w:lang w:eastAsia="es-ES"/>
        </w:rPr>
        <w:t>group</w:t>
      </w:r>
      <w:r>
        <w:rPr>
          <w:rFonts w:ascii="Times New Roman" w:eastAsia="Times New Roman" w:hAnsi="Times New Roman" w:cs="Times New Roman"/>
          <w:lang w:eastAsia="es-ES"/>
        </w:rPr>
        <w:t xml:space="preserve"> factor (although the interaction effect is 0.06). </w:t>
      </w:r>
    </w:p>
    <w:tbl>
      <w:tblPr>
        <w:tblW w:w="0" w:type="auto"/>
        <w:tblCellMar>
          <w:top w:w="15" w:type="dxa"/>
          <w:left w:w="15" w:type="dxa"/>
          <w:bottom w:w="15" w:type="dxa"/>
          <w:right w:w="15" w:type="dxa"/>
        </w:tblCellMar>
        <w:tblLook w:val="04A0" w:firstRow="1" w:lastRow="0" w:firstColumn="1" w:lastColumn="0" w:noHBand="0" w:noVBand="1"/>
      </w:tblPr>
      <w:tblGrid>
        <w:gridCol w:w="1461"/>
        <w:gridCol w:w="36"/>
        <w:gridCol w:w="1939"/>
        <w:gridCol w:w="138"/>
        <w:gridCol w:w="1441"/>
        <w:gridCol w:w="69"/>
        <w:gridCol w:w="635"/>
        <w:gridCol w:w="36"/>
        <w:gridCol w:w="1212"/>
        <w:gridCol w:w="83"/>
        <w:gridCol w:w="525"/>
        <w:gridCol w:w="36"/>
        <w:gridCol w:w="525"/>
        <w:gridCol w:w="36"/>
      </w:tblGrid>
      <w:tr w:rsidR="009261C0" w:rsidRPr="00D1750F" w14:paraId="7CE17EA0" w14:textId="77777777" w:rsidTr="007E19D4">
        <w:trPr>
          <w:tblHeader/>
        </w:trPr>
        <w:tc>
          <w:tcPr>
            <w:tcW w:w="0" w:type="auto"/>
            <w:gridSpan w:val="14"/>
            <w:tcBorders>
              <w:top w:val="nil"/>
              <w:left w:val="nil"/>
              <w:bottom w:val="single" w:sz="6" w:space="0" w:color="000000"/>
              <w:right w:val="nil"/>
            </w:tcBorders>
            <w:vAlign w:val="center"/>
            <w:hideMark/>
          </w:tcPr>
          <w:p w14:paraId="1C1696E0" w14:textId="77777777" w:rsidR="009261C0" w:rsidRPr="00704FD7" w:rsidRDefault="009261C0" w:rsidP="007E19D4">
            <w:pPr>
              <w:spacing w:after="0" w:line="240" w:lineRule="auto"/>
              <w:rPr>
                <w:rFonts w:ascii="Times New Roman" w:eastAsia="Times New Roman" w:hAnsi="Times New Roman" w:cs="Times New Roman"/>
                <w:b/>
                <w:bCs/>
                <w:lang w:eastAsia="es-ES"/>
              </w:rPr>
            </w:pPr>
          </w:p>
          <w:p w14:paraId="29A6BE5B" w14:textId="77777777" w:rsidR="009261C0" w:rsidRPr="00D1750F" w:rsidRDefault="009261C0" w:rsidP="007E19D4">
            <w:pPr>
              <w:spacing w:after="0" w:line="240" w:lineRule="auto"/>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 xml:space="preserve">Within Subjects Effects </w:t>
            </w:r>
          </w:p>
        </w:tc>
      </w:tr>
      <w:tr w:rsidR="009261C0" w:rsidRPr="00D1750F" w14:paraId="77B2D72C" w14:textId="77777777" w:rsidTr="007E19D4">
        <w:trPr>
          <w:tblHeader/>
        </w:trPr>
        <w:tc>
          <w:tcPr>
            <w:tcW w:w="0" w:type="auto"/>
            <w:gridSpan w:val="2"/>
            <w:tcBorders>
              <w:top w:val="nil"/>
              <w:left w:val="nil"/>
              <w:bottom w:val="single" w:sz="6" w:space="0" w:color="000000"/>
              <w:right w:val="nil"/>
            </w:tcBorders>
            <w:vAlign w:val="center"/>
            <w:hideMark/>
          </w:tcPr>
          <w:p w14:paraId="71C3AA98"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7A748DC3"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Sphericity Correction</w:t>
            </w:r>
          </w:p>
        </w:tc>
        <w:tc>
          <w:tcPr>
            <w:tcW w:w="0" w:type="auto"/>
            <w:gridSpan w:val="2"/>
            <w:tcBorders>
              <w:top w:val="nil"/>
              <w:left w:val="nil"/>
              <w:bottom w:val="single" w:sz="6" w:space="0" w:color="000000"/>
              <w:right w:val="nil"/>
            </w:tcBorders>
            <w:vAlign w:val="center"/>
            <w:hideMark/>
          </w:tcPr>
          <w:p w14:paraId="646F7E7A"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24540C47"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4767C03B"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7246795D"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14AACE23"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p</w:t>
            </w:r>
          </w:p>
        </w:tc>
      </w:tr>
      <w:tr w:rsidR="009261C0" w:rsidRPr="00D1750F" w14:paraId="7B098452" w14:textId="77777777" w:rsidTr="007E19D4">
        <w:tc>
          <w:tcPr>
            <w:tcW w:w="0" w:type="auto"/>
            <w:tcBorders>
              <w:top w:val="nil"/>
              <w:left w:val="nil"/>
              <w:bottom w:val="nil"/>
              <w:right w:val="nil"/>
            </w:tcBorders>
            <w:vAlign w:val="center"/>
            <w:hideMark/>
          </w:tcPr>
          <w:p w14:paraId="22F5B79C"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Weeks</w:t>
            </w:r>
          </w:p>
        </w:tc>
        <w:tc>
          <w:tcPr>
            <w:tcW w:w="0" w:type="auto"/>
            <w:tcBorders>
              <w:top w:val="nil"/>
              <w:left w:val="nil"/>
              <w:bottom w:val="nil"/>
              <w:right w:val="nil"/>
            </w:tcBorders>
            <w:vAlign w:val="center"/>
            <w:hideMark/>
          </w:tcPr>
          <w:p w14:paraId="4791A2A1"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918D4DA"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08AA8B4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1AE2C1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30.116</w:t>
            </w:r>
          </w:p>
        </w:tc>
        <w:tc>
          <w:tcPr>
            <w:tcW w:w="0" w:type="auto"/>
            <w:tcBorders>
              <w:top w:val="nil"/>
              <w:left w:val="nil"/>
              <w:bottom w:val="nil"/>
              <w:right w:val="nil"/>
            </w:tcBorders>
            <w:vAlign w:val="center"/>
            <w:hideMark/>
          </w:tcPr>
          <w:p w14:paraId="61DD32A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DED56D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4.000</w:t>
            </w:r>
          </w:p>
        </w:tc>
        <w:tc>
          <w:tcPr>
            <w:tcW w:w="0" w:type="auto"/>
            <w:tcBorders>
              <w:top w:val="nil"/>
              <w:left w:val="nil"/>
              <w:bottom w:val="nil"/>
              <w:right w:val="nil"/>
            </w:tcBorders>
            <w:vAlign w:val="center"/>
            <w:hideMark/>
          </w:tcPr>
          <w:p w14:paraId="152A0B1E"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8F9459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7.529</w:t>
            </w:r>
          </w:p>
        </w:tc>
        <w:tc>
          <w:tcPr>
            <w:tcW w:w="0" w:type="auto"/>
            <w:tcBorders>
              <w:top w:val="nil"/>
              <w:left w:val="nil"/>
              <w:bottom w:val="nil"/>
              <w:right w:val="nil"/>
            </w:tcBorders>
            <w:vAlign w:val="center"/>
            <w:hideMark/>
          </w:tcPr>
          <w:p w14:paraId="5DF01EA1"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FD3DFB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1.568</w:t>
            </w:r>
          </w:p>
        </w:tc>
        <w:tc>
          <w:tcPr>
            <w:tcW w:w="0" w:type="auto"/>
            <w:tcBorders>
              <w:top w:val="nil"/>
              <w:left w:val="nil"/>
              <w:bottom w:val="nil"/>
              <w:right w:val="nil"/>
            </w:tcBorders>
            <w:vAlign w:val="center"/>
            <w:hideMark/>
          </w:tcPr>
          <w:p w14:paraId="5E3AC938"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4663B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0.192</w:t>
            </w:r>
          </w:p>
        </w:tc>
        <w:tc>
          <w:tcPr>
            <w:tcW w:w="0" w:type="auto"/>
            <w:tcBorders>
              <w:top w:val="nil"/>
              <w:left w:val="nil"/>
              <w:bottom w:val="nil"/>
              <w:right w:val="nil"/>
            </w:tcBorders>
            <w:vAlign w:val="center"/>
            <w:hideMark/>
          </w:tcPr>
          <w:p w14:paraId="776BBB9E" w14:textId="77777777" w:rsidR="009261C0" w:rsidRPr="00D1750F" w:rsidRDefault="009261C0" w:rsidP="007E19D4">
            <w:pPr>
              <w:spacing w:after="0" w:line="240" w:lineRule="auto"/>
              <w:rPr>
                <w:rFonts w:ascii="Times New Roman" w:eastAsia="Times New Roman" w:hAnsi="Times New Roman" w:cs="Times New Roman"/>
                <w:lang w:eastAsia="es-ES"/>
              </w:rPr>
            </w:pPr>
          </w:p>
        </w:tc>
      </w:tr>
      <w:tr w:rsidR="009261C0" w:rsidRPr="00D1750F" w14:paraId="77C4ACC4" w14:textId="77777777" w:rsidTr="007E19D4">
        <w:tc>
          <w:tcPr>
            <w:tcW w:w="0" w:type="auto"/>
            <w:tcBorders>
              <w:top w:val="nil"/>
              <w:left w:val="nil"/>
              <w:bottom w:val="nil"/>
              <w:right w:val="nil"/>
            </w:tcBorders>
            <w:vAlign w:val="center"/>
            <w:hideMark/>
          </w:tcPr>
          <w:p w14:paraId="37263B98"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xml:space="preserve">Weeks </w:t>
            </w:r>
            <w:r w:rsidRPr="00D1750F">
              <w:rPr>
                <w:rFonts w:ascii="Segoe UI Symbol" w:eastAsia="Times New Roman" w:hAnsi="Segoe UI Symbol" w:cs="Segoe UI Symbol"/>
                <w:sz w:val="18"/>
                <w:szCs w:val="18"/>
                <w:lang w:eastAsia="es-ES"/>
              </w:rPr>
              <w:t>✻</w:t>
            </w:r>
            <w:r w:rsidRPr="00D1750F">
              <w:rPr>
                <w:rFonts w:ascii="Times New Roman" w:eastAsia="Times New Roman" w:hAnsi="Times New Roman" w:cs="Times New Roman"/>
                <w:lang w:eastAsia="es-ES"/>
              </w:rPr>
              <w:t xml:space="preserve"> Group</w:t>
            </w:r>
          </w:p>
        </w:tc>
        <w:tc>
          <w:tcPr>
            <w:tcW w:w="0" w:type="auto"/>
            <w:tcBorders>
              <w:top w:val="nil"/>
              <w:left w:val="nil"/>
              <w:bottom w:val="nil"/>
              <w:right w:val="nil"/>
            </w:tcBorders>
            <w:vAlign w:val="center"/>
            <w:hideMark/>
          </w:tcPr>
          <w:p w14:paraId="50C90F28"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C5762AC"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4F7144F6"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76F817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105.159</w:t>
            </w:r>
          </w:p>
        </w:tc>
        <w:tc>
          <w:tcPr>
            <w:tcW w:w="0" w:type="auto"/>
            <w:tcBorders>
              <w:top w:val="nil"/>
              <w:left w:val="nil"/>
              <w:bottom w:val="nil"/>
              <w:right w:val="nil"/>
            </w:tcBorders>
            <w:vAlign w:val="center"/>
            <w:hideMark/>
          </w:tcPr>
          <w:p w14:paraId="1BC65B85"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3B1B40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12.000</w:t>
            </w:r>
          </w:p>
        </w:tc>
        <w:tc>
          <w:tcPr>
            <w:tcW w:w="0" w:type="auto"/>
            <w:tcBorders>
              <w:top w:val="nil"/>
              <w:left w:val="nil"/>
              <w:bottom w:val="nil"/>
              <w:right w:val="nil"/>
            </w:tcBorders>
            <w:vAlign w:val="center"/>
            <w:hideMark/>
          </w:tcPr>
          <w:p w14:paraId="7353C7DB"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027048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8.763</w:t>
            </w:r>
          </w:p>
        </w:tc>
        <w:tc>
          <w:tcPr>
            <w:tcW w:w="0" w:type="auto"/>
            <w:tcBorders>
              <w:top w:val="nil"/>
              <w:left w:val="nil"/>
              <w:bottom w:val="nil"/>
              <w:right w:val="nil"/>
            </w:tcBorders>
            <w:vAlign w:val="center"/>
            <w:hideMark/>
          </w:tcPr>
          <w:p w14:paraId="23E6C04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66B7E5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1.825</w:t>
            </w:r>
          </w:p>
        </w:tc>
        <w:tc>
          <w:tcPr>
            <w:tcW w:w="0" w:type="auto"/>
            <w:tcBorders>
              <w:top w:val="nil"/>
              <w:left w:val="nil"/>
              <w:bottom w:val="nil"/>
              <w:right w:val="nil"/>
            </w:tcBorders>
            <w:vAlign w:val="center"/>
            <w:hideMark/>
          </w:tcPr>
          <w:p w14:paraId="44DBD1C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00BEC9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0.060</w:t>
            </w:r>
          </w:p>
        </w:tc>
        <w:tc>
          <w:tcPr>
            <w:tcW w:w="0" w:type="auto"/>
            <w:tcBorders>
              <w:top w:val="nil"/>
              <w:left w:val="nil"/>
              <w:bottom w:val="nil"/>
              <w:right w:val="nil"/>
            </w:tcBorders>
            <w:vAlign w:val="center"/>
            <w:hideMark/>
          </w:tcPr>
          <w:p w14:paraId="2480AEF5" w14:textId="77777777" w:rsidR="009261C0" w:rsidRPr="00D1750F" w:rsidRDefault="009261C0" w:rsidP="007E19D4">
            <w:pPr>
              <w:spacing w:after="0" w:line="240" w:lineRule="auto"/>
              <w:rPr>
                <w:rFonts w:ascii="Times New Roman" w:eastAsia="Times New Roman" w:hAnsi="Times New Roman" w:cs="Times New Roman"/>
                <w:lang w:eastAsia="es-ES"/>
              </w:rPr>
            </w:pPr>
          </w:p>
        </w:tc>
      </w:tr>
      <w:tr w:rsidR="009261C0" w:rsidRPr="00D1750F" w14:paraId="7FE8938C" w14:textId="77777777" w:rsidTr="007E19D4">
        <w:tc>
          <w:tcPr>
            <w:tcW w:w="0" w:type="auto"/>
            <w:tcBorders>
              <w:top w:val="nil"/>
              <w:left w:val="nil"/>
              <w:bottom w:val="nil"/>
              <w:right w:val="nil"/>
            </w:tcBorders>
            <w:vAlign w:val="center"/>
            <w:hideMark/>
          </w:tcPr>
          <w:p w14:paraId="4F24CB25"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519232AA"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0AE96FF"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None</w:t>
            </w:r>
          </w:p>
        </w:tc>
        <w:tc>
          <w:tcPr>
            <w:tcW w:w="0" w:type="auto"/>
            <w:tcBorders>
              <w:top w:val="nil"/>
              <w:left w:val="nil"/>
              <w:bottom w:val="nil"/>
              <w:right w:val="nil"/>
            </w:tcBorders>
            <w:vAlign w:val="center"/>
            <w:hideMark/>
          </w:tcPr>
          <w:p w14:paraId="74E39C6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AF4580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345.781</w:t>
            </w:r>
          </w:p>
        </w:tc>
        <w:tc>
          <w:tcPr>
            <w:tcW w:w="0" w:type="auto"/>
            <w:tcBorders>
              <w:top w:val="nil"/>
              <w:left w:val="nil"/>
              <w:bottom w:val="nil"/>
              <w:right w:val="nil"/>
            </w:tcBorders>
            <w:vAlign w:val="center"/>
            <w:hideMark/>
          </w:tcPr>
          <w:p w14:paraId="6AE14C4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037E37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72.000</w:t>
            </w:r>
          </w:p>
        </w:tc>
        <w:tc>
          <w:tcPr>
            <w:tcW w:w="0" w:type="auto"/>
            <w:tcBorders>
              <w:top w:val="nil"/>
              <w:left w:val="nil"/>
              <w:bottom w:val="nil"/>
              <w:right w:val="nil"/>
            </w:tcBorders>
            <w:vAlign w:val="center"/>
            <w:hideMark/>
          </w:tcPr>
          <w:p w14:paraId="5B1DEB0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5CE381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4.803</w:t>
            </w:r>
          </w:p>
        </w:tc>
        <w:tc>
          <w:tcPr>
            <w:tcW w:w="0" w:type="auto"/>
            <w:tcBorders>
              <w:top w:val="nil"/>
              <w:left w:val="nil"/>
              <w:bottom w:val="nil"/>
              <w:right w:val="nil"/>
            </w:tcBorders>
            <w:vAlign w:val="center"/>
            <w:hideMark/>
          </w:tcPr>
          <w:p w14:paraId="734BC92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D712A2C" w14:textId="77777777" w:rsidR="009261C0" w:rsidRPr="00D1750F"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396BB2A0" w14:textId="77777777" w:rsidR="009261C0" w:rsidRPr="00D1750F"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73B0796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542DE64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526C9EBB" w14:textId="77777777" w:rsidTr="007E19D4">
        <w:tc>
          <w:tcPr>
            <w:tcW w:w="0" w:type="auto"/>
            <w:gridSpan w:val="14"/>
            <w:tcBorders>
              <w:top w:val="nil"/>
              <w:left w:val="nil"/>
              <w:bottom w:val="single" w:sz="12" w:space="0" w:color="000000"/>
              <w:right w:val="nil"/>
            </w:tcBorders>
            <w:vAlign w:val="center"/>
            <w:hideMark/>
          </w:tcPr>
          <w:p w14:paraId="18716CEE" w14:textId="77777777" w:rsidR="009261C0" w:rsidRPr="00D1750F"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566A1350" w14:textId="77777777" w:rsidTr="007E19D4">
        <w:tc>
          <w:tcPr>
            <w:tcW w:w="0" w:type="auto"/>
            <w:gridSpan w:val="14"/>
            <w:tcBorders>
              <w:top w:val="nil"/>
              <w:left w:val="nil"/>
              <w:bottom w:val="nil"/>
              <w:right w:val="nil"/>
            </w:tcBorders>
            <w:vAlign w:val="center"/>
            <w:hideMark/>
          </w:tcPr>
          <w:p w14:paraId="2C125596"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i/>
                <w:iCs/>
                <w:lang w:eastAsia="es-ES"/>
              </w:rPr>
              <w:t>Note.</w:t>
            </w:r>
            <w:r w:rsidRPr="00D1750F">
              <w:rPr>
                <w:rFonts w:ascii="Times New Roman" w:eastAsia="Times New Roman" w:hAnsi="Times New Roman" w:cs="Times New Roman"/>
                <w:lang w:eastAsia="es-ES"/>
              </w:rPr>
              <w:t xml:space="preserve">  Type II Sum of Squares</w:t>
            </w:r>
          </w:p>
        </w:tc>
      </w:tr>
    </w:tbl>
    <w:p w14:paraId="3E73CA44" w14:textId="77777777" w:rsidR="009261C0" w:rsidRPr="00D1750F" w:rsidRDefault="009261C0" w:rsidP="009261C0">
      <w:pPr>
        <w:spacing w:after="126"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886"/>
        <w:gridCol w:w="36"/>
        <w:gridCol w:w="1430"/>
        <w:gridCol w:w="80"/>
        <w:gridCol w:w="250"/>
        <w:gridCol w:w="36"/>
        <w:gridCol w:w="1225"/>
        <w:gridCol w:w="70"/>
        <w:gridCol w:w="525"/>
        <w:gridCol w:w="36"/>
        <w:gridCol w:w="525"/>
        <w:gridCol w:w="36"/>
      </w:tblGrid>
      <w:tr w:rsidR="009261C0" w:rsidRPr="00D1750F" w14:paraId="17A37235" w14:textId="77777777" w:rsidTr="007E19D4">
        <w:trPr>
          <w:tblHeader/>
        </w:trPr>
        <w:tc>
          <w:tcPr>
            <w:tcW w:w="0" w:type="auto"/>
            <w:gridSpan w:val="12"/>
            <w:tcBorders>
              <w:top w:val="nil"/>
              <w:left w:val="nil"/>
              <w:bottom w:val="single" w:sz="6" w:space="0" w:color="000000"/>
              <w:right w:val="nil"/>
            </w:tcBorders>
            <w:vAlign w:val="center"/>
            <w:hideMark/>
          </w:tcPr>
          <w:p w14:paraId="7B23633F" w14:textId="77777777" w:rsidR="009261C0" w:rsidRPr="00D1750F" w:rsidRDefault="009261C0" w:rsidP="007E19D4">
            <w:pPr>
              <w:spacing w:after="0" w:line="240" w:lineRule="auto"/>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 xml:space="preserve">Between Subjects Effects </w:t>
            </w:r>
          </w:p>
        </w:tc>
      </w:tr>
      <w:tr w:rsidR="009261C0" w:rsidRPr="00D1750F" w14:paraId="673303E3" w14:textId="77777777" w:rsidTr="007E19D4">
        <w:trPr>
          <w:tblHeader/>
        </w:trPr>
        <w:tc>
          <w:tcPr>
            <w:tcW w:w="0" w:type="auto"/>
            <w:gridSpan w:val="2"/>
            <w:tcBorders>
              <w:top w:val="nil"/>
              <w:left w:val="nil"/>
              <w:bottom w:val="single" w:sz="6" w:space="0" w:color="000000"/>
              <w:right w:val="nil"/>
            </w:tcBorders>
            <w:vAlign w:val="center"/>
            <w:hideMark/>
          </w:tcPr>
          <w:p w14:paraId="74611AB7"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Cases</w:t>
            </w:r>
          </w:p>
        </w:tc>
        <w:tc>
          <w:tcPr>
            <w:tcW w:w="0" w:type="auto"/>
            <w:gridSpan w:val="2"/>
            <w:tcBorders>
              <w:top w:val="nil"/>
              <w:left w:val="nil"/>
              <w:bottom w:val="single" w:sz="6" w:space="0" w:color="000000"/>
              <w:right w:val="nil"/>
            </w:tcBorders>
            <w:vAlign w:val="center"/>
            <w:hideMark/>
          </w:tcPr>
          <w:p w14:paraId="4C4AD8EA"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Sum of Squares</w:t>
            </w:r>
          </w:p>
        </w:tc>
        <w:tc>
          <w:tcPr>
            <w:tcW w:w="0" w:type="auto"/>
            <w:gridSpan w:val="2"/>
            <w:tcBorders>
              <w:top w:val="nil"/>
              <w:left w:val="nil"/>
              <w:bottom w:val="single" w:sz="6" w:space="0" w:color="000000"/>
              <w:right w:val="nil"/>
            </w:tcBorders>
            <w:vAlign w:val="center"/>
            <w:hideMark/>
          </w:tcPr>
          <w:p w14:paraId="6E705B5A"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df</w:t>
            </w:r>
          </w:p>
        </w:tc>
        <w:tc>
          <w:tcPr>
            <w:tcW w:w="0" w:type="auto"/>
            <w:gridSpan w:val="2"/>
            <w:tcBorders>
              <w:top w:val="nil"/>
              <w:left w:val="nil"/>
              <w:bottom w:val="single" w:sz="6" w:space="0" w:color="000000"/>
              <w:right w:val="nil"/>
            </w:tcBorders>
            <w:vAlign w:val="center"/>
            <w:hideMark/>
          </w:tcPr>
          <w:p w14:paraId="676D7D6F"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Mean Square</w:t>
            </w:r>
          </w:p>
        </w:tc>
        <w:tc>
          <w:tcPr>
            <w:tcW w:w="0" w:type="auto"/>
            <w:gridSpan w:val="2"/>
            <w:tcBorders>
              <w:top w:val="nil"/>
              <w:left w:val="nil"/>
              <w:bottom w:val="single" w:sz="6" w:space="0" w:color="000000"/>
              <w:right w:val="nil"/>
            </w:tcBorders>
            <w:vAlign w:val="center"/>
            <w:hideMark/>
          </w:tcPr>
          <w:p w14:paraId="6E720155"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F</w:t>
            </w:r>
          </w:p>
        </w:tc>
        <w:tc>
          <w:tcPr>
            <w:tcW w:w="0" w:type="auto"/>
            <w:gridSpan w:val="2"/>
            <w:tcBorders>
              <w:top w:val="nil"/>
              <w:left w:val="nil"/>
              <w:bottom w:val="single" w:sz="6" w:space="0" w:color="000000"/>
              <w:right w:val="nil"/>
            </w:tcBorders>
            <w:vAlign w:val="center"/>
            <w:hideMark/>
          </w:tcPr>
          <w:p w14:paraId="26AA1D4E"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p</w:t>
            </w:r>
          </w:p>
        </w:tc>
      </w:tr>
      <w:tr w:rsidR="009261C0" w:rsidRPr="00D1750F" w14:paraId="23ED4F07" w14:textId="77777777" w:rsidTr="007E19D4">
        <w:tc>
          <w:tcPr>
            <w:tcW w:w="0" w:type="auto"/>
            <w:tcBorders>
              <w:top w:val="nil"/>
              <w:left w:val="nil"/>
              <w:bottom w:val="nil"/>
              <w:right w:val="nil"/>
            </w:tcBorders>
            <w:vAlign w:val="center"/>
            <w:hideMark/>
          </w:tcPr>
          <w:p w14:paraId="2B291167"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Group</w:t>
            </w:r>
          </w:p>
        </w:tc>
        <w:tc>
          <w:tcPr>
            <w:tcW w:w="0" w:type="auto"/>
            <w:tcBorders>
              <w:top w:val="nil"/>
              <w:left w:val="nil"/>
              <w:bottom w:val="nil"/>
              <w:right w:val="nil"/>
            </w:tcBorders>
            <w:vAlign w:val="center"/>
            <w:hideMark/>
          </w:tcPr>
          <w:p w14:paraId="618D7282"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A6EDA1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66.634</w:t>
            </w:r>
          </w:p>
        </w:tc>
        <w:tc>
          <w:tcPr>
            <w:tcW w:w="0" w:type="auto"/>
            <w:tcBorders>
              <w:top w:val="nil"/>
              <w:left w:val="nil"/>
              <w:bottom w:val="nil"/>
              <w:right w:val="nil"/>
            </w:tcBorders>
            <w:vAlign w:val="center"/>
            <w:hideMark/>
          </w:tcPr>
          <w:p w14:paraId="59B2722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DD270C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3</w:t>
            </w:r>
          </w:p>
        </w:tc>
        <w:tc>
          <w:tcPr>
            <w:tcW w:w="0" w:type="auto"/>
            <w:tcBorders>
              <w:top w:val="nil"/>
              <w:left w:val="nil"/>
              <w:bottom w:val="nil"/>
              <w:right w:val="nil"/>
            </w:tcBorders>
            <w:vAlign w:val="center"/>
            <w:hideMark/>
          </w:tcPr>
          <w:p w14:paraId="7D3C582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F0DD6C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22.211</w:t>
            </w:r>
          </w:p>
        </w:tc>
        <w:tc>
          <w:tcPr>
            <w:tcW w:w="0" w:type="auto"/>
            <w:tcBorders>
              <w:top w:val="nil"/>
              <w:left w:val="nil"/>
              <w:bottom w:val="nil"/>
              <w:right w:val="nil"/>
            </w:tcBorders>
            <w:vAlign w:val="center"/>
            <w:hideMark/>
          </w:tcPr>
          <w:p w14:paraId="20F5ACF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BF978A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5.005</w:t>
            </w:r>
          </w:p>
        </w:tc>
        <w:tc>
          <w:tcPr>
            <w:tcW w:w="0" w:type="auto"/>
            <w:tcBorders>
              <w:top w:val="nil"/>
              <w:left w:val="nil"/>
              <w:bottom w:val="nil"/>
              <w:right w:val="nil"/>
            </w:tcBorders>
            <w:vAlign w:val="center"/>
            <w:hideMark/>
          </w:tcPr>
          <w:p w14:paraId="7C96F20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5D0532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0.011</w:t>
            </w:r>
          </w:p>
        </w:tc>
        <w:tc>
          <w:tcPr>
            <w:tcW w:w="0" w:type="auto"/>
            <w:tcBorders>
              <w:top w:val="nil"/>
              <w:left w:val="nil"/>
              <w:bottom w:val="nil"/>
              <w:right w:val="nil"/>
            </w:tcBorders>
            <w:vAlign w:val="center"/>
            <w:hideMark/>
          </w:tcPr>
          <w:p w14:paraId="64120F9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0EC4257C" w14:textId="77777777" w:rsidTr="007E19D4">
        <w:tc>
          <w:tcPr>
            <w:tcW w:w="0" w:type="auto"/>
            <w:tcBorders>
              <w:top w:val="nil"/>
              <w:left w:val="nil"/>
              <w:bottom w:val="nil"/>
              <w:right w:val="nil"/>
            </w:tcBorders>
            <w:vAlign w:val="center"/>
            <w:hideMark/>
          </w:tcPr>
          <w:p w14:paraId="61FD8F57"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Residuals</w:t>
            </w:r>
          </w:p>
        </w:tc>
        <w:tc>
          <w:tcPr>
            <w:tcW w:w="0" w:type="auto"/>
            <w:tcBorders>
              <w:top w:val="nil"/>
              <w:left w:val="nil"/>
              <w:bottom w:val="nil"/>
              <w:right w:val="nil"/>
            </w:tcBorders>
            <w:vAlign w:val="center"/>
            <w:hideMark/>
          </w:tcPr>
          <w:p w14:paraId="5770E79A"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171E77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79.881</w:t>
            </w:r>
          </w:p>
        </w:tc>
        <w:tc>
          <w:tcPr>
            <w:tcW w:w="0" w:type="auto"/>
            <w:tcBorders>
              <w:top w:val="nil"/>
              <w:left w:val="nil"/>
              <w:bottom w:val="nil"/>
              <w:right w:val="nil"/>
            </w:tcBorders>
            <w:vAlign w:val="center"/>
            <w:hideMark/>
          </w:tcPr>
          <w:p w14:paraId="29C9CF5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E243A4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18</w:t>
            </w:r>
          </w:p>
        </w:tc>
        <w:tc>
          <w:tcPr>
            <w:tcW w:w="0" w:type="auto"/>
            <w:tcBorders>
              <w:top w:val="nil"/>
              <w:left w:val="nil"/>
              <w:bottom w:val="nil"/>
              <w:right w:val="nil"/>
            </w:tcBorders>
            <w:vAlign w:val="center"/>
            <w:hideMark/>
          </w:tcPr>
          <w:p w14:paraId="0EDBE74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5440E1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4.438</w:t>
            </w:r>
          </w:p>
        </w:tc>
        <w:tc>
          <w:tcPr>
            <w:tcW w:w="0" w:type="auto"/>
            <w:tcBorders>
              <w:top w:val="nil"/>
              <w:left w:val="nil"/>
              <w:bottom w:val="nil"/>
              <w:right w:val="nil"/>
            </w:tcBorders>
            <w:vAlign w:val="center"/>
            <w:hideMark/>
          </w:tcPr>
          <w:p w14:paraId="3EDE7CC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864A225" w14:textId="77777777" w:rsidR="009261C0" w:rsidRPr="00D1750F" w:rsidRDefault="009261C0" w:rsidP="007E19D4">
            <w:pPr>
              <w:spacing w:after="0" w:line="240" w:lineRule="auto"/>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47AD61D2" w14:textId="77777777" w:rsidR="009261C0" w:rsidRPr="00D1750F" w:rsidRDefault="009261C0" w:rsidP="007E19D4">
            <w:pPr>
              <w:spacing w:after="0" w:line="240" w:lineRule="auto"/>
              <w:jc w:val="right"/>
              <w:rPr>
                <w:rFonts w:ascii="Times New Roman" w:eastAsia="Times New Roman" w:hAnsi="Times New Roman" w:cs="Times New Roman"/>
                <w:sz w:val="18"/>
                <w:szCs w:val="18"/>
                <w:lang w:eastAsia="es-ES"/>
              </w:rPr>
            </w:pPr>
          </w:p>
        </w:tc>
        <w:tc>
          <w:tcPr>
            <w:tcW w:w="0" w:type="auto"/>
            <w:tcBorders>
              <w:top w:val="nil"/>
              <w:left w:val="nil"/>
              <w:bottom w:val="nil"/>
              <w:right w:val="nil"/>
            </w:tcBorders>
            <w:vAlign w:val="center"/>
            <w:hideMark/>
          </w:tcPr>
          <w:p w14:paraId="618EA33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818140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1E4EE688" w14:textId="77777777" w:rsidTr="007E19D4">
        <w:tc>
          <w:tcPr>
            <w:tcW w:w="0" w:type="auto"/>
            <w:gridSpan w:val="12"/>
            <w:tcBorders>
              <w:top w:val="nil"/>
              <w:left w:val="nil"/>
              <w:bottom w:val="single" w:sz="12" w:space="0" w:color="000000"/>
              <w:right w:val="nil"/>
            </w:tcBorders>
            <w:vAlign w:val="center"/>
            <w:hideMark/>
          </w:tcPr>
          <w:p w14:paraId="15DEC597" w14:textId="77777777" w:rsidR="009261C0" w:rsidRPr="00D1750F" w:rsidRDefault="009261C0" w:rsidP="007E19D4">
            <w:pPr>
              <w:spacing w:after="0" w:line="240" w:lineRule="auto"/>
              <w:rPr>
                <w:rFonts w:ascii="Times New Roman" w:eastAsia="Times New Roman" w:hAnsi="Times New Roman" w:cs="Times New Roman"/>
                <w:sz w:val="18"/>
                <w:szCs w:val="18"/>
                <w:lang w:eastAsia="es-ES"/>
              </w:rPr>
            </w:pPr>
          </w:p>
        </w:tc>
      </w:tr>
      <w:tr w:rsidR="009261C0" w:rsidRPr="00376408" w14:paraId="08E7FBDE" w14:textId="77777777" w:rsidTr="007E19D4">
        <w:tc>
          <w:tcPr>
            <w:tcW w:w="0" w:type="auto"/>
            <w:gridSpan w:val="12"/>
            <w:tcBorders>
              <w:top w:val="nil"/>
              <w:left w:val="nil"/>
              <w:bottom w:val="nil"/>
              <w:right w:val="nil"/>
            </w:tcBorders>
            <w:vAlign w:val="center"/>
            <w:hideMark/>
          </w:tcPr>
          <w:p w14:paraId="53EEBD7B"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i/>
                <w:iCs/>
                <w:lang w:eastAsia="es-ES"/>
              </w:rPr>
              <w:t>Note.</w:t>
            </w:r>
            <w:r w:rsidRPr="00D1750F">
              <w:rPr>
                <w:rFonts w:ascii="Times New Roman" w:eastAsia="Times New Roman" w:hAnsi="Times New Roman" w:cs="Times New Roman"/>
                <w:lang w:eastAsia="es-ES"/>
              </w:rPr>
              <w:t xml:space="preserve">  Type II Sum of Squares</w:t>
            </w:r>
          </w:p>
        </w:tc>
      </w:tr>
    </w:tbl>
    <w:p w14:paraId="46B62181" w14:textId="77777777" w:rsidR="009261C0" w:rsidRPr="00D1750F" w:rsidRDefault="009261C0" w:rsidP="009261C0">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bl>
      <w:tblPr>
        <w:tblW w:w="0" w:type="auto"/>
        <w:tblCellMar>
          <w:top w:w="15" w:type="dxa"/>
          <w:left w:w="15" w:type="dxa"/>
          <w:bottom w:w="15" w:type="dxa"/>
          <w:right w:w="15" w:type="dxa"/>
        </w:tblCellMar>
        <w:tblLook w:val="04A0" w:firstRow="1" w:lastRow="0" w:firstColumn="1" w:lastColumn="0" w:noHBand="0" w:noVBand="1"/>
      </w:tblPr>
      <w:tblGrid>
        <w:gridCol w:w="770"/>
        <w:gridCol w:w="36"/>
        <w:gridCol w:w="1265"/>
        <w:gridCol w:w="36"/>
        <w:gridCol w:w="150"/>
        <w:gridCol w:w="39"/>
        <w:gridCol w:w="532"/>
        <w:gridCol w:w="36"/>
        <w:gridCol w:w="525"/>
        <w:gridCol w:w="36"/>
        <w:gridCol w:w="525"/>
        <w:gridCol w:w="36"/>
        <w:gridCol w:w="2063"/>
        <w:gridCol w:w="142"/>
      </w:tblGrid>
      <w:tr w:rsidR="009261C0" w:rsidRPr="00D1750F" w14:paraId="57FADF33" w14:textId="77777777" w:rsidTr="007E19D4">
        <w:trPr>
          <w:tblHeader/>
        </w:trPr>
        <w:tc>
          <w:tcPr>
            <w:tcW w:w="0" w:type="auto"/>
            <w:gridSpan w:val="14"/>
            <w:tcBorders>
              <w:top w:val="nil"/>
              <w:left w:val="nil"/>
              <w:bottom w:val="single" w:sz="6" w:space="0" w:color="000000"/>
              <w:right w:val="nil"/>
            </w:tcBorders>
            <w:vAlign w:val="center"/>
            <w:hideMark/>
          </w:tcPr>
          <w:p w14:paraId="543031FF" w14:textId="77777777" w:rsidR="009261C0" w:rsidRPr="00D1750F" w:rsidRDefault="009261C0" w:rsidP="007E19D4">
            <w:pPr>
              <w:spacing w:after="0" w:line="240" w:lineRule="auto"/>
              <w:rPr>
                <w:rFonts w:ascii="Times New Roman" w:eastAsia="Times New Roman" w:hAnsi="Times New Roman" w:cs="Times New Roman"/>
                <w:b/>
                <w:bCs/>
                <w:lang w:eastAsia="es-ES"/>
              </w:rPr>
            </w:pPr>
            <w:proofErr w:type="spellStart"/>
            <w:r w:rsidRPr="00D1750F">
              <w:rPr>
                <w:rFonts w:ascii="Times New Roman" w:eastAsia="Times New Roman" w:hAnsi="Times New Roman" w:cs="Times New Roman"/>
                <w:b/>
                <w:bCs/>
                <w:lang w:eastAsia="es-ES"/>
              </w:rPr>
              <w:t>Descriptives</w:t>
            </w:r>
            <w:proofErr w:type="spellEnd"/>
            <w:r w:rsidRPr="00D1750F">
              <w:rPr>
                <w:rFonts w:ascii="Times New Roman" w:eastAsia="Times New Roman" w:hAnsi="Times New Roman" w:cs="Times New Roman"/>
                <w:b/>
                <w:bCs/>
                <w:lang w:eastAsia="es-ES"/>
              </w:rPr>
              <w:t xml:space="preserve"> </w:t>
            </w:r>
          </w:p>
        </w:tc>
      </w:tr>
      <w:tr w:rsidR="009261C0" w:rsidRPr="00D1750F" w14:paraId="6371A393" w14:textId="77777777" w:rsidTr="007E19D4">
        <w:trPr>
          <w:tblHeader/>
        </w:trPr>
        <w:tc>
          <w:tcPr>
            <w:tcW w:w="0" w:type="auto"/>
            <w:gridSpan w:val="2"/>
            <w:tcBorders>
              <w:top w:val="nil"/>
              <w:left w:val="nil"/>
              <w:bottom w:val="single" w:sz="6" w:space="0" w:color="000000"/>
              <w:right w:val="nil"/>
            </w:tcBorders>
            <w:vAlign w:val="center"/>
            <w:hideMark/>
          </w:tcPr>
          <w:p w14:paraId="4E518004"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Weeks</w:t>
            </w:r>
          </w:p>
        </w:tc>
        <w:tc>
          <w:tcPr>
            <w:tcW w:w="0" w:type="auto"/>
            <w:gridSpan w:val="2"/>
            <w:tcBorders>
              <w:top w:val="nil"/>
              <w:left w:val="nil"/>
              <w:bottom w:val="single" w:sz="6" w:space="0" w:color="000000"/>
              <w:right w:val="nil"/>
            </w:tcBorders>
            <w:vAlign w:val="center"/>
            <w:hideMark/>
          </w:tcPr>
          <w:p w14:paraId="27A90726"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Group</w:t>
            </w:r>
          </w:p>
        </w:tc>
        <w:tc>
          <w:tcPr>
            <w:tcW w:w="0" w:type="auto"/>
            <w:gridSpan w:val="2"/>
            <w:tcBorders>
              <w:top w:val="nil"/>
              <w:left w:val="nil"/>
              <w:bottom w:val="single" w:sz="6" w:space="0" w:color="000000"/>
              <w:right w:val="nil"/>
            </w:tcBorders>
            <w:vAlign w:val="center"/>
            <w:hideMark/>
          </w:tcPr>
          <w:p w14:paraId="1A8413A6"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N</w:t>
            </w:r>
          </w:p>
        </w:tc>
        <w:tc>
          <w:tcPr>
            <w:tcW w:w="0" w:type="auto"/>
            <w:gridSpan w:val="2"/>
            <w:tcBorders>
              <w:top w:val="nil"/>
              <w:left w:val="nil"/>
              <w:bottom w:val="single" w:sz="6" w:space="0" w:color="000000"/>
              <w:right w:val="nil"/>
            </w:tcBorders>
            <w:vAlign w:val="center"/>
            <w:hideMark/>
          </w:tcPr>
          <w:p w14:paraId="57F28EC9"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Mean</w:t>
            </w:r>
          </w:p>
        </w:tc>
        <w:tc>
          <w:tcPr>
            <w:tcW w:w="0" w:type="auto"/>
            <w:gridSpan w:val="2"/>
            <w:tcBorders>
              <w:top w:val="nil"/>
              <w:left w:val="nil"/>
              <w:bottom w:val="single" w:sz="6" w:space="0" w:color="000000"/>
              <w:right w:val="nil"/>
            </w:tcBorders>
            <w:vAlign w:val="center"/>
            <w:hideMark/>
          </w:tcPr>
          <w:p w14:paraId="0F5C99CD"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SD</w:t>
            </w:r>
          </w:p>
        </w:tc>
        <w:tc>
          <w:tcPr>
            <w:tcW w:w="0" w:type="auto"/>
            <w:gridSpan w:val="2"/>
            <w:tcBorders>
              <w:top w:val="nil"/>
              <w:left w:val="nil"/>
              <w:bottom w:val="single" w:sz="6" w:space="0" w:color="000000"/>
              <w:right w:val="nil"/>
            </w:tcBorders>
            <w:vAlign w:val="center"/>
            <w:hideMark/>
          </w:tcPr>
          <w:p w14:paraId="6E850CB6"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SE</w:t>
            </w:r>
          </w:p>
        </w:tc>
        <w:tc>
          <w:tcPr>
            <w:tcW w:w="0" w:type="auto"/>
            <w:gridSpan w:val="2"/>
            <w:tcBorders>
              <w:top w:val="nil"/>
              <w:left w:val="nil"/>
              <w:bottom w:val="single" w:sz="6" w:space="0" w:color="000000"/>
              <w:right w:val="nil"/>
            </w:tcBorders>
            <w:vAlign w:val="center"/>
            <w:hideMark/>
          </w:tcPr>
          <w:p w14:paraId="014587A6"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Coefficient of variation</w:t>
            </w:r>
          </w:p>
        </w:tc>
      </w:tr>
      <w:tr w:rsidR="009261C0" w:rsidRPr="00D1750F" w14:paraId="772580DC" w14:textId="77777777" w:rsidTr="007E19D4">
        <w:tc>
          <w:tcPr>
            <w:tcW w:w="0" w:type="auto"/>
            <w:tcBorders>
              <w:top w:val="nil"/>
              <w:left w:val="nil"/>
              <w:bottom w:val="nil"/>
              <w:right w:val="nil"/>
            </w:tcBorders>
            <w:vAlign w:val="center"/>
            <w:hideMark/>
          </w:tcPr>
          <w:p w14:paraId="199D280E"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week 8</w:t>
            </w:r>
          </w:p>
        </w:tc>
        <w:tc>
          <w:tcPr>
            <w:tcW w:w="0" w:type="auto"/>
            <w:tcBorders>
              <w:top w:val="nil"/>
              <w:left w:val="nil"/>
              <w:bottom w:val="nil"/>
              <w:right w:val="nil"/>
            </w:tcBorders>
            <w:vAlign w:val="center"/>
            <w:hideMark/>
          </w:tcPr>
          <w:p w14:paraId="3D16645F"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F156EB3"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144488DF"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4437D3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4C26CB1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74B239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0.068</w:t>
            </w:r>
          </w:p>
        </w:tc>
        <w:tc>
          <w:tcPr>
            <w:tcW w:w="0" w:type="auto"/>
            <w:tcBorders>
              <w:top w:val="nil"/>
              <w:left w:val="nil"/>
              <w:bottom w:val="nil"/>
              <w:right w:val="nil"/>
            </w:tcBorders>
            <w:vAlign w:val="center"/>
            <w:hideMark/>
          </w:tcPr>
          <w:p w14:paraId="68A0AAE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6C913FD"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0.074</w:t>
            </w:r>
          </w:p>
        </w:tc>
        <w:tc>
          <w:tcPr>
            <w:tcW w:w="0" w:type="auto"/>
            <w:tcBorders>
              <w:top w:val="nil"/>
              <w:left w:val="nil"/>
              <w:bottom w:val="nil"/>
              <w:right w:val="nil"/>
            </w:tcBorders>
            <w:vAlign w:val="center"/>
            <w:hideMark/>
          </w:tcPr>
          <w:p w14:paraId="1B10DA5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094A77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0.030</w:t>
            </w:r>
          </w:p>
        </w:tc>
        <w:tc>
          <w:tcPr>
            <w:tcW w:w="0" w:type="auto"/>
            <w:tcBorders>
              <w:top w:val="nil"/>
              <w:left w:val="nil"/>
              <w:bottom w:val="nil"/>
              <w:right w:val="nil"/>
            </w:tcBorders>
            <w:vAlign w:val="center"/>
            <w:hideMark/>
          </w:tcPr>
          <w:p w14:paraId="11E8C5F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9FE560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1.084</w:t>
            </w:r>
          </w:p>
        </w:tc>
        <w:tc>
          <w:tcPr>
            <w:tcW w:w="0" w:type="auto"/>
            <w:tcBorders>
              <w:top w:val="nil"/>
              <w:left w:val="nil"/>
              <w:bottom w:val="nil"/>
              <w:right w:val="nil"/>
            </w:tcBorders>
            <w:vAlign w:val="center"/>
            <w:hideMark/>
          </w:tcPr>
          <w:p w14:paraId="1D378CE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753AAACC" w14:textId="77777777" w:rsidTr="007E19D4">
        <w:tc>
          <w:tcPr>
            <w:tcW w:w="0" w:type="auto"/>
            <w:tcBorders>
              <w:top w:val="nil"/>
              <w:left w:val="nil"/>
              <w:bottom w:val="nil"/>
              <w:right w:val="nil"/>
            </w:tcBorders>
            <w:vAlign w:val="center"/>
            <w:hideMark/>
          </w:tcPr>
          <w:p w14:paraId="74CD7D4B"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0A4C8C61"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5B20888"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09FE1217"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308B72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3068036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156656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0.853</w:t>
            </w:r>
          </w:p>
        </w:tc>
        <w:tc>
          <w:tcPr>
            <w:tcW w:w="0" w:type="auto"/>
            <w:tcBorders>
              <w:top w:val="nil"/>
              <w:left w:val="nil"/>
              <w:bottom w:val="nil"/>
              <w:right w:val="nil"/>
            </w:tcBorders>
            <w:vAlign w:val="center"/>
            <w:hideMark/>
          </w:tcPr>
          <w:p w14:paraId="0A7CC6A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FDD00C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1.929</w:t>
            </w:r>
          </w:p>
        </w:tc>
        <w:tc>
          <w:tcPr>
            <w:tcW w:w="0" w:type="auto"/>
            <w:tcBorders>
              <w:top w:val="nil"/>
              <w:left w:val="nil"/>
              <w:bottom w:val="nil"/>
              <w:right w:val="nil"/>
            </w:tcBorders>
            <w:vAlign w:val="center"/>
            <w:hideMark/>
          </w:tcPr>
          <w:p w14:paraId="0C72C60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A23D32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0.787</w:t>
            </w:r>
          </w:p>
        </w:tc>
        <w:tc>
          <w:tcPr>
            <w:tcW w:w="0" w:type="auto"/>
            <w:tcBorders>
              <w:top w:val="nil"/>
              <w:left w:val="nil"/>
              <w:bottom w:val="nil"/>
              <w:right w:val="nil"/>
            </w:tcBorders>
            <w:vAlign w:val="center"/>
            <w:hideMark/>
          </w:tcPr>
          <w:p w14:paraId="3B69875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A7A099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2.261</w:t>
            </w:r>
          </w:p>
        </w:tc>
        <w:tc>
          <w:tcPr>
            <w:tcW w:w="0" w:type="auto"/>
            <w:tcBorders>
              <w:top w:val="nil"/>
              <w:left w:val="nil"/>
              <w:bottom w:val="nil"/>
              <w:right w:val="nil"/>
            </w:tcBorders>
            <w:vAlign w:val="center"/>
            <w:hideMark/>
          </w:tcPr>
          <w:p w14:paraId="16CDEE4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48FB51F0" w14:textId="77777777" w:rsidTr="007E19D4">
        <w:tc>
          <w:tcPr>
            <w:tcW w:w="0" w:type="auto"/>
            <w:tcBorders>
              <w:top w:val="nil"/>
              <w:left w:val="nil"/>
              <w:bottom w:val="nil"/>
              <w:right w:val="nil"/>
            </w:tcBorders>
            <w:vAlign w:val="center"/>
            <w:hideMark/>
          </w:tcPr>
          <w:p w14:paraId="66B75D3A"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380637F"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F75C86B"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34967D13"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C49115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6A2A8BA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D3D1C3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0.357</w:t>
            </w:r>
          </w:p>
        </w:tc>
        <w:tc>
          <w:tcPr>
            <w:tcW w:w="0" w:type="auto"/>
            <w:tcBorders>
              <w:top w:val="nil"/>
              <w:left w:val="nil"/>
              <w:bottom w:val="nil"/>
              <w:right w:val="nil"/>
            </w:tcBorders>
            <w:vAlign w:val="center"/>
            <w:hideMark/>
          </w:tcPr>
          <w:p w14:paraId="2C71AA2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F98769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0.806</w:t>
            </w:r>
          </w:p>
        </w:tc>
        <w:tc>
          <w:tcPr>
            <w:tcW w:w="0" w:type="auto"/>
            <w:tcBorders>
              <w:top w:val="nil"/>
              <w:left w:val="nil"/>
              <w:bottom w:val="nil"/>
              <w:right w:val="nil"/>
            </w:tcBorders>
            <w:vAlign w:val="center"/>
            <w:hideMark/>
          </w:tcPr>
          <w:p w14:paraId="370AB7C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139323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0.329</w:t>
            </w:r>
          </w:p>
        </w:tc>
        <w:tc>
          <w:tcPr>
            <w:tcW w:w="0" w:type="auto"/>
            <w:tcBorders>
              <w:top w:val="nil"/>
              <w:left w:val="nil"/>
              <w:bottom w:val="nil"/>
              <w:right w:val="nil"/>
            </w:tcBorders>
            <w:vAlign w:val="center"/>
            <w:hideMark/>
          </w:tcPr>
          <w:p w14:paraId="7A4881E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AAB986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2.257</w:t>
            </w:r>
          </w:p>
        </w:tc>
        <w:tc>
          <w:tcPr>
            <w:tcW w:w="0" w:type="auto"/>
            <w:tcBorders>
              <w:top w:val="nil"/>
              <w:left w:val="nil"/>
              <w:bottom w:val="nil"/>
              <w:right w:val="nil"/>
            </w:tcBorders>
            <w:vAlign w:val="center"/>
            <w:hideMark/>
          </w:tcPr>
          <w:p w14:paraId="3401ED5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0D813746" w14:textId="77777777" w:rsidTr="007E19D4">
        <w:tc>
          <w:tcPr>
            <w:tcW w:w="0" w:type="auto"/>
            <w:tcBorders>
              <w:top w:val="nil"/>
              <w:left w:val="nil"/>
              <w:bottom w:val="nil"/>
              <w:right w:val="nil"/>
            </w:tcBorders>
            <w:vAlign w:val="center"/>
            <w:hideMark/>
          </w:tcPr>
          <w:p w14:paraId="6C833F86"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0228E1A2"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564B155"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32F3ED8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2EC81A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5636B83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C44DF1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0.018</w:t>
            </w:r>
          </w:p>
        </w:tc>
        <w:tc>
          <w:tcPr>
            <w:tcW w:w="0" w:type="auto"/>
            <w:tcBorders>
              <w:top w:val="nil"/>
              <w:left w:val="nil"/>
              <w:bottom w:val="nil"/>
              <w:right w:val="nil"/>
            </w:tcBorders>
            <w:vAlign w:val="center"/>
            <w:hideMark/>
          </w:tcPr>
          <w:p w14:paraId="492EF3B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94840B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0.027</w:t>
            </w:r>
          </w:p>
        </w:tc>
        <w:tc>
          <w:tcPr>
            <w:tcW w:w="0" w:type="auto"/>
            <w:tcBorders>
              <w:top w:val="nil"/>
              <w:left w:val="nil"/>
              <w:bottom w:val="nil"/>
              <w:right w:val="nil"/>
            </w:tcBorders>
            <w:vAlign w:val="center"/>
            <w:hideMark/>
          </w:tcPr>
          <w:p w14:paraId="53E898A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D34500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0.013</w:t>
            </w:r>
          </w:p>
        </w:tc>
        <w:tc>
          <w:tcPr>
            <w:tcW w:w="0" w:type="auto"/>
            <w:tcBorders>
              <w:top w:val="nil"/>
              <w:left w:val="nil"/>
              <w:bottom w:val="nil"/>
              <w:right w:val="nil"/>
            </w:tcBorders>
            <w:vAlign w:val="center"/>
            <w:hideMark/>
          </w:tcPr>
          <w:p w14:paraId="7AEDDEF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28FE18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1.460</w:t>
            </w:r>
          </w:p>
        </w:tc>
        <w:tc>
          <w:tcPr>
            <w:tcW w:w="0" w:type="auto"/>
            <w:tcBorders>
              <w:top w:val="nil"/>
              <w:left w:val="nil"/>
              <w:bottom w:val="nil"/>
              <w:right w:val="nil"/>
            </w:tcBorders>
            <w:vAlign w:val="center"/>
            <w:hideMark/>
          </w:tcPr>
          <w:p w14:paraId="34CBE79D"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49E38DD4" w14:textId="77777777" w:rsidTr="007E19D4">
        <w:tc>
          <w:tcPr>
            <w:tcW w:w="0" w:type="auto"/>
            <w:tcBorders>
              <w:top w:val="nil"/>
              <w:left w:val="nil"/>
              <w:bottom w:val="nil"/>
              <w:right w:val="nil"/>
            </w:tcBorders>
            <w:vAlign w:val="center"/>
            <w:hideMark/>
          </w:tcPr>
          <w:p w14:paraId="3132259D"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week 10</w:t>
            </w:r>
          </w:p>
        </w:tc>
        <w:tc>
          <w:tcPr>
            <w:tcW w:w="0" w:type="auto"/>
            <w:tcBorders>
              <w:top w:val="nil"/>
              <w:left w:val="nil"/>
              <w:bottom w:val="nil"/>
              <w:right w:val="nil"/>
            </w:tcBorders>
            <w:vAlign w:val="center"/>
            <w:hideMark/>
          </w:tcPr>
          <w:p w14:paraId="6BD9BFD0"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BA08F38"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79A3062C"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E30B3F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2D75708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D6B153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0.165</w:t>
            </w:r>
          </w:p>
        </w:tc>
        <w:tc>
          <w:tcPr>
            <w:tcW w:w="0" w:type="auto"/>
            <w:tcBorders>
              <w:top w:val="nil"/>
              <w:left w:val="nil"/>
              <w:bottom w:val="nil"/>
              <w:right w:val="nil"/>
            </w:tcBorders>
            <w:vAlign w:val="center"/>
            <w:hideMark/>
          </w:tcPr>
          <w:p w14:paraId="6019592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77D671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0.199</w:t>
            </w:r>
          </w:p>
        </w:tc>
        <w:tc>
          <w:tcPr>
            <w:tcW w:w="0" w:type="auto"/>
            <w:tcBorders>
              <w:top w:val="nil"/>
              <w:left w:val="nil"/>
              <w:bottom w:val="nil"/>
              <w:right w:val="nil"/>
            </w:tcBorders>
            <w:vAlign w:val="center"/>
            <w:hideMark/>
          </w:tcPr>
          <w:p w14:paraId="30E97D6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87BD4C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0.081</w:t>
            </w:r>
          </w:p>
        </w:tc>
        <w:tc>
          <w:tcPr>
            <w:tcW w:w="0" w:type="auto"/>
            <w:tcBorders>
              <w:top w:val="nil"/>
              <w:left w:val="nil"/>
              <w:bottom w:val="nil"/>
              <w:right w:val="nil"/>
            </w:tcBorders>
            <w:vAlign w:val="center"/>
            <w:hideMark/>
          </w:tcPr>
          <w:p w14:paraId="119E5DF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38687E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1.206</w:t>
            </w:r>
          </w:p>
        </w:tc>
        <w:tc>
          <w:tcPr>
            <w:tcW w:w="0" w:type="auto"/>
            <w:tcBorders>
              <w:top w:val="nil"/>
              <w:left w:val="nil"/>
              <w:bottom w:val="nil"/>
              <w:right w:val="nil"/>
            </w:tcBorders>
            <w:vAlign w:val="center"/>
            <w:hideMark/>
          </w:tcPr>
          <w:p w14:paraId="5B182F8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5CAE79D0" w14:textId="77777777" w:rsidTr="007E19D4">
        <w:tc>
          <w:tcPr>
            <w:tcW w:w="0" w:type="auto"/>
            <w:tcBorders>
              <w:top w:val="nil"/>
              <w:left w:val="nil"/>
              <w:bottom w:val="nil"/>
              <w:right w:val="nil"/>
            </w:tcBorders>
            <w:vAlign w:val="center"/>
            <w:hideMark/>
          </w:tcPr>
          <w:p w14:paraId="39C4E4AB"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5185481D"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12C7221"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21231D8E"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B31819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15455B4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0CAA33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0.516</w:t>
            </w:r>
          </w:p>
        </w:tc>
        <w:tc>
          <w:tcPr>
            <w:tcW w:w="0" w:type="auto"/>
            <w:tcBorders>
              <w:top w:val="nil"/>
              <w:left w:val="nil"/>
              <w:bottom w:val="nil"/>
              <w:right w:val="nil"/>
            </w:tcBorders>
            <w:vAlign w:val="center"/>
            <w:hideMark/>
          </w:tcPr>
          <w:p w14:paraId="18E4E76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08D18A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0.713</w:t>
            </w:r>
          </w:p>
        </w:tc>
        <w:tc>
          <w:tcPr>
            <w:tcW w:w="0" w:type="auto"/>
            <w:tcBorders>
              <w:top w:val="nil"/>
              <w:left w:val="nil"/>
              <w:bottom w:val="nil"/>
              <w:right w:val="nil"/>
            </w:tcBorders>
            <w:vAlign w:val="center"/>
            <w:hideMark/>
          </w:tcPr>
          <w:p w14:paraId="5FF7A32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A3AB28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0.291</w:t>
            </w:r>
          </w:p>
        </w:tc>
        <w:tc>
          <w:tcPr>
            <w:tcW w:w="0" w:type="auto"/>
            <w:tcBorders>
              <w:top w:val="nil"/>
              <w:left w:val="nil"/>
              <w:bottom w:val="nil"/>
              <w:right w:val="nil"/>
            </w:tcBorders>
            <w:vAlign w:val="center"/>
            <w:hideMark/>
          </w:tcPr>
          <w:p w14:paraId="78E0016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4A342E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1.381</w:t>
            </w:r>
          </w:p>
        </w:tc>
        <w:tc>
          <w:tcPr>
            <w:tcW w:w="0" w:type="auto"/>
            <w:tcBorders>
              <w:top w:val="nil"/>
              <w:left w:val="nil"/>
              <w:bottom w:val="nil"/>
              <w:right w:val="nil"/>
            </w:tcBorders>
            <w:vAlign w:val="center"/>
            <w:hideMark/>
          </w:tcPr>
          <w:p w14:paraId="464B956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4DDAF914" w14:textId="77777777" w:rsidTr="007E19D4">
        <w:tc>
          <w:tcPr>
            <w:tcW w:w="0" w:type="auto"/>
            <w:tcBorders>
              <w:top w:val="nil"/>
              <w:left w:val="nil"/>
              <w:bottom w:val="nil"/>
              <w:right w:val="nil"/>
            </w:tcBorders>
            <w:vAlign w:val="center"/>
            <w:hideMark/>
          </w:tcPr>
          <w:p w14:paraId="2C83F6A8"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5D9A598E"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56A8437"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625EED7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EC91D5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3477590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19FA49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0.496</w:t>
            </w:r>
          </w:p>
        </w:tc>
        <w:tc>
          <w:tcPr>
            <w:tcW w:w="0" w:type="auto"/>
            <w:tcBorders>
              <w:top w:val="nil"/>
              <w:left w:val="nil"/>
              <w:bottom w:val="nil"/>
              <w:right w:val="nil"/>
            </w:tcBorders>
            <w:vAlign w:val="center"/>
            <w:hideMark/>
          </w:tcPr>
          <w:p w14:paraId="4479BAB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CFC455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0.662</w:t>
            </w:r>
          </w:p>
        </w:tc>
        <w:tc>
          <w:tcPr>
            <w:tcW w:w="0" w:type="auto"/>
            <w:tcBorders>
              <w:top w:val="nil"/>
              <w:left w:val="nil"/>
              <w:bottom w:val="nil"/>
              <w:right w:val="nil"/>
            </w:tcBorders>
            <w:vAlign w:val="center"/>
            <w:hideMark/>
          </w:tcPr>
          <w:p w14:paraId="44FBD13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B9561C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0.270</w:t>
            </w:r>
          </w:p>
        </w:tc>
        <w:tc>
          <w:tcPr>
            <w:tcW w:w="0" w:type="auto"/>
            <w:tcBorders>
              <w:top w:val="nil"/>
              <w:left w:val="nil"/>
              <w:bottom w:val="nil"/>
              <w:right w:val="nil"/>
            </w:tcBorders>
            <w:vAlign w:val="center"/>
            <w:hideMark/>
          </w:tcPr>
          <w:p w14:paraId="7CD4D75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C574DAD"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1.335</w:t>
            </w:r>
          </w:p>
        </w:tc>
        <w:tc>
          <w:tcPr>
            <w:tcW w:w="0" w:type="auto"/>
            <w:tcBorders>
              <w:top w:val="nil"/>
              <w:left w:val="nil"/>
              <w:bottom w:val="nil"/>
              <w:right w:val="nil"/>
            </w:tcBorders>
            <w:vAlign w:val="center"/>
            <w:hideMark/>
          </w:tcPr>
          <w:p w14:paraId="0C4BAA8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0A242652" w14:textId="77777777" w:rsidTr="007E19D4">
        <w:tc>
          <w:tcPr>
            <w:tcW w:w="0" w:type="auto"/>
            <w:tcBorders>
              <w:top w:val="nil"/>
              <w:left w:val="nil"/>
              <w:bottom w:val="nil"/>
              <w:right w:val="nil"/>
            </w:tcBorders>
            <w:vAlign w:val="center"/>
            <w:hideMark/>
          </w:tcPr>
          <w:p w14:paraId="649258E4"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5D6920DB"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51E5F55"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193BF754"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8C14E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1509BA8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145AF2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0.121</w:t>
            </w:r>
          </w:p>
        </w:tc>
        <w:tc>
          <w:tcPr>
            <w:tcW w:w="0" w:type="auto"/>
            <w:tcBorders>
              <w:top w:val="nil"/>
              <w:left w:val="nil"/>
              <w:bottom w:val="nil"/>
              <w:right w:val="nil"/>
            </w:tcBorders>
            <w:vAlign w:val="center"/>
            <w:hideMark/>
          </w:tcPr>
          <w:p w14:paraId="595C2F8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098EE4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0.093</w:t>
            </w:r>
          </w:p>
        </w:tc>
        <w:tc>
          <w:tcPr>
            <w:tcW w:w="0" w:type="auto"/>
            <w:tcBorders>
              <w:top w:val="nil"/>
              <w:left w:val="nil"/>
              <w:bottom w:val="nil"/>
              <w:right w:val="nil"/>
            </w:tcBorders>
            <w:vAlign w:val="center"/>
            <w:hideMark/>
          </w:tcPr>
          <w:p w14:paraId="45FA845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6B305C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0.047</w:t>
            </w:r>
          </w:p>
        </w:tc>
        <w:tc>
          <w:tcPr>
            <w:tcW w:w="0" w:type="auto"/>
            <w:tcBorders>
              <w:top w:val="nil"/>
              <w:left w:val="nil"/>
              <w:bottom w:val="nil"/>
              <w:right w:val="nil"/>
            </w:tcBorders>
            <w:vAlign w:val="center"/>
            <w:hideMark/>
          </w:tcPr>
          <w:p w14:paraId="0CF22BF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18C854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0.770</w:t>
            </w:r>
          </w:p>
        </w:tc>
        <w:tc>
          <w:tcPr>
            <w:tcW w:w="0" w:type="auto"/>
            <w:tcBorders>
              <w:top w:val="nil"/>
              <w:left w:val="nil"/>
              <w:bottom w:val="nil"/>
              <w:right w:val="nil"/>
            </w:tcBorders>
            <w:vAlign w:val="center"/>
            <w:hideMark/>
          </w:tcPr>
          <w:p w14:paraId="46E2E97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6656F913" w14:textId="77777777" w:rsidTr="007E19D4">
        <w:tc>
          <w:tcPr>
            <w:tcW w:w="0" w:type="auto"/>
            <w:tcBorders>
              <w:top w:val="nil"/>
              <w:left w:val="nil"/>
              <w:bottom w:val="nil"/>
              <w:right w:val="nil"/>
            </w:tcBorders>
            <w:vAlign w:val="center"/>
            <w:hideMark/>
          </w:tcPr>
          <w:p w14:paraId="27DEDD53"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week 12</w:t>
            </w:r>
          </w:p>
        </w:tc>
        <w:tc>
          <w:tcPr>
            <w:tcW w:w="0" w:type="auto"/>
            <w:tcBorders>
              <w:top w:val="nil"/>
              <w:left w:val="nil"/>
              <w:bottom w:val="nil"/>
              <w:right w:val="nil"/>
            </w:tcBorders>
            <w:vAlign w:val="center"/>
            <w:hideMark/>
          </w:tcPr>
          <w:p w14:paraId="2BDD8236"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BD908E9"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0037D4CD"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8EB5D3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7863EF4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DF7F6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0.312</w:t>
            </w:r>
          </w:p>
        </w:tc>
        <w:tc>
          <w:tcPr>
            <w:tcW w:w="0" w:type="auto"/>
            <w:tcBorders>
              <w:top w:val="nil"/>
              <w:left w:val="nil"/>
              <w:bottom w:val="nil"/>
              <w:right w:val="nil"/>
            </w:tcBorders>
            <w:vAlign w:val="center"/>
            <w:hideMark/>
          </w:tcPr>
          <w:p w14:paraId="1526D7E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E3571B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0.676</w:t>
            </w:r>
          </w:p>
        </w:tc>
        <w:tc>
          <w:tcPr>
            <w:tcW w:w="0" w:type="auto"/>
            <w:tcBorders>
              <w:top w:val="nil"/>
              <w:left w:val="nil"/>
              <w:bottom w:val="nil"/>
              <w:right w:val="nil"/>
            </w:tcBorders>
            <w:vAlign w:val="center"/>
            <w:hideMark/>
          </w:tcPr>
          <w:p w14:paraId="3358472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CAF976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0.276</w:t>
            </w:r>
          </w:p>
        </w:tc>
        <w:tc>
          <w:tcPr>
            <w:tcW w:w="0" w:type="auto"/>
            <w:tcBorders>
              <w:top w:val="nil"/>
              <w:left w:val="nil"/>
              <w:bottom w:val="nil"/>
              <w:right w:val="nil"/>
            </w:tcBorders>
            <w:vAlign w:val="center"/>
            <w:hideMark/>
          </w:tcPr>
          <w:p w14:paraId="57507FF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64A2B5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2.164</w:t>
            </w:r>
          </w:p>
        </w:tc>
        <w:tc>
          <w:tcPr>
            <w:tcW w:w="0" w:type="auto"/>
            <w:tcBorders>
              <w:top w:val="nil"/>
              <w:left w:val="nil"/>
              <w:bottom w:val="nil"/>
              <w:right w:val="nil"/>
            </w:tcBorders>
            <w:vAlign w:val="center"/>
            <w:hideMark/>
          </w:tcPr>
          <w:p w14:paraId="266E08D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434C4134" w14:textId="77777777" w:rsidTr="007E19D4">
        <w:tc>
          <w:tcPr>
            <w:tcW w:w="0" w:type="auto"/>
            <w:tcBorders>
              <w:top w:val="nil"/>
              <w:left w:val="nil"/>
              <w:bottom w:val="nil"/>
              <w:right w:val="nil"/>
            </w:tcBorders>
            <w:vAlign w:val="center"/>
            <w:hideMark/>
          </w:tcPr>
          <w:p w14:paraId="319E323C"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1CF9E398"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99CEFBF"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54A64EB3"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B25FA7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4B06DEC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19E5F6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5.011</w:t>
            </w:r>
          </w:p>
        </w:tc>
        <w:tc>
          <w:tcPr>
            <w:tcW w:w="0" w:type="auto"/>
            <w:tcBorders>
              <w:top w:val="nil"/>
              <w:left w:val="nil"/>
              <w:bottom w:val="nil"/>
              <w:right w:val="nil"/>
            </w:tcBorders>
            <w:vAlign w:val="center"/>
            <w:hideMark/>
          </w:tcPr>
          <w:p w14:paraId="13BFA33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9E5BE9D"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6.379</w:t>
            </w:r>
          </w:p>
        </w:tc>
        <w:tc>
          <w:tcPr>
            <w:tcW w:w="0" w:type="auto"/>
            <w:tcBorders>
              <w:top w:val="nil"/>
              <w:left w:val="nil"/>
              <w:bottom w:val="nil"/>
              <w:right w:val="nil"/>
            </w:tcBorders>
            <w:vAlign w:val="center"/>
            <w:hideMark/>
          </w:tcPr>
          <w:p w14:paraId="3DCE5F0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11F9EA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2.604</w:t>
            </w:r>
          </w:p>
        </w:tc>
        <w:tc>
          <w:tcPr>
            <w:tcW w:w="0" w:type="auto"/>
            <w:tcBorders>
              <w:top w:val="nil"/>
              <w:left w:val="nil"/>
              <w:bottom w:val="nil"/>
              <w:right w:val="nil"/>
            </w:tcBorders>
            <w:vAlign w:val="center"/>
            <w:hideMark/>
          </w:tcPr>
          <w:p w14:paraId="2515443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BE758A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1.273</w:t>
            </w:r>
          </w:p>
        </w:tc>
        <w:tc>
          <w:tcPr>
            <w:tcW w:w="0" w:type="auto"/>
            <w:tcBorders>
              <w:top w:val="nil"/>
              <w:left w:val="nil"/>
              <w:bottom w:val="nil"/>
              <w:right w:val="nil"/>
            </w:tcBorders>
            <w:vAlign w:val="center"/>
            <w:hideMark/>
          </w:tcPr>
          <w:p w14:paraId="354215D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5DEDA6D7" w14:textId="77777777" w:rsidTr="007E19D4">
        <w:tc>
          <w:tcPr>
            <w:tcW w:w="0" w:type="auto"/>
            <w:tcBorders>
              <w:top w:val="nil"/>
              <w:left w:val="nil"/>
              <w:bottom w:val="nil"/>
              <w:right w:val="nil"/>
            </w:tcBorders>
            <w:vAlign w:val="center"/>
            <w:hideMark/>
          </w:tcPr>
          <w:p w14:paraId="5F6E43E7"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42FD0DB"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96C3687"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2774B222"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2E29B1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0A63B76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E8027FD"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0.093</w:t>
            </w:r>
          </w:p>
        </w:tc>
        <w:tc>
          <w:tcPr>
            <w:tcW w:w="0" w:type="auto"/>
            <w:tcBorders>
              <w:top w:val="nil"/>
              <w:left w:val="nil"/>
              <w:bottom w:val="nil"/>
              <w:right w:val="nil"/>
            </w:tcBorders>
            <w:vAlign w:val="center"/>
            <w:hideMark/>
          </w:tcPr>
          <w:p w14:paraId="058ADD8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B60EB2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0.228</w:t>
            </w:r>
          </w:p>
        </w:tc>
        <w:tc>
          <w:tcPr>
            <w:tcW w:w="0" w:type="auto"/>
            <w:tcBorders>
              <w:top w:val="nil"/>
              <w:left w:val="nil"/>
              <w:bottom w:val="nil"/>
              <w:right w:val="nil"/>
            </w:tcBorders>
            <w:vAlign w:val="center"/>
            <w:hideMark/>
          </w:tcPr>
          <w:p w14:paraId="102A9EC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E19D6B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0.093</w:t>
            </w:r>
          </w:p>
        </w:tc>
        <w:tc>
          <w:tcPr>
            <w:tcW w:w="0" w:type="auto"/>
            <w:tcBorders>
              <w:top w:val="nil"/>
              <w:left w:val="nil"/>
              <w:bottom w:val="nil"/>
              <w:right w:val="nil"/>
            </w:tcBorders>
            <w:vAlign w:val="center"/>
            <w:hideMark/>
          </w:tcPr>
          <w:p w14:paraId="504EFA9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0EFE04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2.449</w:t>
            </w:r>
          </w:p>
        </w:tc>
        <w:tc>
          <w:tcPr>
            <w:tcW w:w="0" w:type="auto"/>
            <w:tcBorders>
              <w:top w:val="nil"/>
              <w:left w:val="nil"/>
              <w:bottom w:val="nil"/>
              <w:right w:val="nil"/>
            </w:tcBorders>
            <w:vAlign w:val="center"/>
            <w:hideMark/>
          </w:tcPr>
          <w:p w14:paraId="0D7BB57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55CECB74" w14:textId="77777777" w:rsidTr="007E19D4">
        <w:tc>
          <w:tcPr>
            <w:tcW w:w="0" w:type="auto"/>
            <w:tcBorders>
              <w:top w:val="nil"/>
              <w:left w:val="nil"/>
              <w:bottom w:val="nil"/>
              <w:right w:val="nil"/>
            </w:tcBorders>
            <w:vAlign w:val="center"/>
            <w:hideMark/>
          </w:tcPr>
          <w:p w14:paraId="0126812E"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D366F45"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C576E53"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71305DA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78611C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1D65FDF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CCC459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0.027</w:t>
            </w:r>
          </w:p>
        </w:tc>
        <w:tc>
          <w:tcPr>
            <w:tcW w:w="0" w:type="auto"/>
            <w:tcBorders>
              <w:top w:val="nil"/>
              <w:left w:val="nil"/>
              <w:bottom w:val="nil"/>
              <w:right w:val="nil"/>
            </w:tcBorders>
            <w:vAlign w:val="center"/>
            <w:hideMark/>
          </w:tcPr>
          <w:p w14:paraId="73979F4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AC661C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0.021</w:t>
            </w:r>
          </w:p>
        </w:tc>
        <w:tc>
          <w:tcPr>
            <w:tcW w:w="0" w:type="auto"/>
            <w:tcBorders>
              <w:top w:val="nil"/>
              <w:left w:val="nil"/>
              <w:bottom w:val="nil"/>
              <w:right w:val="nil"/>
            </w:tcBorders>
            <w:vAlign w:val="center"/>
            <w:hideMark/>
          </w:tcPr>
          <w:p w14:paraId="47A0DF7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1A8999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0.010</w:t>
            </w:r>
          </w:p>
        </w:tc>
        <w:tc>
          <w:tcPr>
            <w:tcW w:w="0" w:type="auto"/>
            <w:tcBorders>
              <w:top w:val="nil"/>
              <w:left w:val="nil"/>
              <w:bottom w:val="nil"/>
              <w:right w:val="nil"/>
            </w:tcBorders>
            <w:vAlign w:val="center"/>
            <w:hideMark/>
          </w:tcPr>
          <w:p w14:paraId="3C19F24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A706A4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0.790</w:t>
            </w:r>
          </w:p>
        </w:tc>
        <w:tc>
          <w:tcPr>
            <w:tcW w:w="0" w:type="auto"/>
            <w:tcBorders>
              <w:top w:val="nil"/>
              <w:left w:val="nil"/>
              <w:bottom w:val="nil"/>
              <w:right w:val="nil"/>
            </w:tcBorders>
            <w:vAlign w:val="center"/>
            <w:hideMark/>
          </w:tcPr>
          <w:p w14:paraId="55A92A7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7827A6DA" w14:textId="77777777" w:rsidTr="007E19D4">
        <w:tc>
          <w:tcPr>
            <w:tcW w:w="0" w:type="auto"/>
            <w:tcBorders>
              <w:top w:val="nil"/>
              <w:left w:val="nil"/>
              <w:bottom w:val="nil"/>
              <w:right w:val="nil"/>
            </w:tcBorders>
            <w:vAlign w:val="center"/>
            <w:hideMark/>
          </w:tcPr>
          <w:p w14:paraId="79601221"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week 14</w:t>
            </w:r>
          </w:p>
        </w:tc>
        <w:tc>
          <w:tcPr>
            <w:tcW w:w="0" w:type="auto"/>
            <w:tcBorders>
              <w:top w:val="nil"/>
              <w:left w:val="nil"/>
              <w:bottom w:val="nil"/>
              <w:right w:val="nil"/>
            </w:tcBorders>
            <w:vAlign w:val="center"/>
            <w:hideMark/>
          </w:tcPr>
          <w:p w14:paraId="75A478E4"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1BEBB3D"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4D21E91A"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8F8716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5E231F8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47E920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1.265</w:t>
            </w:r>
          </w:p>
        </w:tc>
        <w:tc>
          <w:tcPr>
            <w:tcW w:w="0" w:type="auto"/>
            <w:tcBorders>
              <w:top w:val="nil"/>
              <w:left w:val="nil"/>
              <w:bottom w:val="nil"/>
              <w:right w:val="nil"/>
            </w:tcBorders>
            <w:vAlign w:val="center"/>
            <w:hideMark/>
          </w:tcPr>
          <w:p w14:paraId="06B60C8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10AC6D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1.433</w:t>
            </w:r>
          </w:p>
        </w:tc>
        <w:tc>
          <w:tcPr>
            <w:tcW w:w="0" w:type="auto"/>
            <w:tcBorders>
              <w:top w:val="nil"/>
              <w:left w:val="nil"/>
              <w:bottom w:val="nil"/>
              <w:right w:val="nil"/>
            </w:tcBorders>
            <w:vAlign w:val="center"/>
            <w:hideMark/>
          </w:tcPr>
          <w:p w14:paraId="657C253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6AC7E6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0.585</w:t>
            </w:r>
          </w:p>
        </w:tc>
        <w:tc>
          <w:tcPr>
            <w:tcW w:w="0" w:type="auto"/>
            <w:tcBorders>
              <w:top w:val="nil"/>
              <w:left w:val="nil"/>
              <w:bottom w:val="nil"/>
              <w:right w:val="nil"/>
            </w:tcBorders>
            <w:vAlign w:val="center"/>
            <w:hideMark/>
          </w:tcPr>
          <w:p w14:paraId="027A23F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2C184F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1.133</w:t>
            </w:r>
          </w:p>
        </w:tc>
        <w:tc>
          <w:tcPr>
            <w:tcW w:w="0" w:type="auto"/>
            <w:tcBorders>
              <w:top w:val="nil"/>
              <w:left w:val="nil"/>
              <w:bottom w:val="nil"/>
              <w:right w:val="nil"/>
            </w:tcBorders>
            <w:vAlign w:val="center"/>
            <w:hideMark/>
          </w:tcPr>
          <w:p w14:paraId="75166B8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267DAA15" w14:textId="77777777" w:rsidTr="007E19D4">
        <w:tc>
          <w:tcPr>
            <w:tcW w:w="0" w:type="auto"/>
            <w:tcBorders>
              <w:top w:val="nil"/>
              <w:left w:val="nil"/>
              <w:bottom w:val="nil"/>
              <w:right w:val="nil"/>
            </w:tcBorders>
            <w:vAlign w:val="center"/>
            <w:hideMark/>
          </w:tcPr>
          <w:p w14:paraId="2438FBCC"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9208BAA"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09AC855"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3D043AF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65730F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39FEF4C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5028B0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2.991</w:t>
            </w:r>
          </w:p>
        </w:tc>
        <w:tc>
          <w:tcPr>
            <w:tcW w:w="0" w:type="auto"/>
            <w:tcBorders>
              <w:top w:val="nil"/>
              <w:left w:val="nil"/>
              <w:bottom w:val="nil"/>
              <w:right w:val="nil"/>
            </w:tcBorders>
            <w:vAlign w:val="center"/>
            <w:hideMark/>
          </w:tcPr>
          <w:p w14:paraId="4D9D7A7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D70140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4.573</w:t>
            </w:r>
          </w:p>
        </w:tc>
        <w:tc>
          <w:tcPr>
            <w:tcW w:w="0" w:type="auto"/>
            <w:tcBorders>
              <w:top w:val="nil"/>
              <w:left w:val="nil"/>
              <w:bottom w:val="nil"/>
              <w:right w:val="nil"/>
            </w:tcBorders>
            <w:vAlign w:val="center"/>
            <w:hideMark/>
          </w:tcPr>
          <w:p w14:paraId="3FBD207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594545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1.867</w:t>
            </w:r>
          </w:p>
        </w:tc>
        <w:tc>
          <w:tcPr>
            <w:tcW w:w="0" w:type="auto"/>
            <w:tcBorders>
              <w:top w:val="nil"/>
              <w:left w:val="nil"/>
              <w:bottom w:val="nil"/>
              <w:right w:val="nil"/>
            </w:tcBorders>
            <w:vAlign w:val="center"/>
            <w:hideMark/>
          </w:tcPr>
          <w:p w14:paraId="3674944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16844C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1.529</w:t>
            </w:r>
          </w:p>
        </w:tc>
        <w:tc>
          <w:tcPr>
            <w:tcW w:w="0" w:type="auto"/>
            <w:tcBorders>
              <w:top w:val="nil"/>
              <w:left w:val="nil"/>
              <w:bottom w:val="nil"/>
              <w:right w:val="nil"/>
            </w:tcBorders>
            <w:vAlign w:val="center"/>
            <w:hideMark/>
          </w:tcPr>
          <w:p w14:paraId="08224A0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00FEFF32" w14:textId="77777777" w:rsidTr="007E19D4">
        <w:tc>
          <w:tcPr>
            <w:tcW w:w="0" w:type="auto"/>
            <w:tcBorders>
              <w:top w:val="nil"/>
              <w:left w:val="nil"/>
              <w:bottom w:val="nil"/>
              <w:right w:val="nil"/>
            </w:tcBorders>
            <w:vAlign w:val="center"/>
            <w:hideMark/>
          </w:tcPr>
          <w:p w14:paraId="3DF2B76E"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373BB9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9F09EBF"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0F06C7C7"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22ACE3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0F362BA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34D84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0.129</w:t>
            </w:r>
          </w:p>
        </w:tc>
        <w:tc>
          <w:tcPr>
            <w:tcW w:w="0" w:type="auto"/>
            <w:tcBorders>
              <w:top w:val="nil"/>
              <w:left w:val="nil"/>
              <w:bottom w:val="nil"/>
              <w:right w:val="nil"/>
            </w:tcBorders>
            <w:vAlign w:val="center"/>
            <w:hideMark/>
          </w:tcPr>
          <w:p w14:paraId="0259908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10B67F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0.118</w:t>
            </w:r>
          </w:p>
        </w:tc>
        <w:tc>
          <w:tcPr>
            <w:tcW w:w="0" w:type="auto"/>
            <w:tcBorders>
              <w:top w:val="nil"/>
              <w:left w:val="nil"/>
              <w:bottom w:val="nil"/>
              <w:right w:val="nil"/>
            </w:tcBorders>
            <w:vAlign w:val="center"/>
            <w:hideMark/>
          </w:tcPr>
          <w:p w14:paraId="6DA1049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5390D3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0.048</w:t>
            </w:r>
          </w:p>
        </w:tc>
        <w:tc>
          <w:tcPr>
            <w:tcW w:w="0" w:type="auto"/>
            <w:tcBorders>
              <w:top w:val="nil"/>
              <w:left w:val="nil"/>
              <w:bottom w:val="nil"/>
              <w:right w:val="nil"/>
            </w:tcBorders>
            <w:vAlign w:val="center"/>
            <w:hideMark/>
          </w:tcPr>
          <w:p w14:paraId="08BD99A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CBB7F5D"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0.922</w:t>
            </w:r>
          </w:p>
        </w:tc>
        <w:tc>
          <w:tcPr>
            <w:tcW w:w="0" w:type="auto"/>
            <w:tcBorders>
              <w:top w:val="nil"/>
              <w:left w:val="nil"/>
              <w:bottom w:val="nil"/>
              <w:right w:val="nil"/>
            </w:tcBorders>
            <w:vAlign w:val="center"/>
            <w:hideMark/>
          </w:tcPr>
          <w:p w14:paraId="701216B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56CF8F24" w14:textId="77777777" w:rsidTr="007E19D4">
        <w:tc>
          <w:tcPr>
            <w:tcW w:w="0" w:type="auto"/>
            <w:tcBorders>
              <w:top w:val="nil"/>
              <w:left w:val="nil"/>
              <w:bottom w:val="nil"/>
              <w:right w:val="nil"/>
            </w:tcBorders>
            <w:vAlign w:val="center"/>
            <w:hideMark/>
          </w:tcPr>
          <w:p w14:paraId="5190CCFF"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B153671"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7D67042"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389D5A56"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79F5E3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07EE876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4CD33F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1.286</w:t>
            </w:r>
          </w:p>
        </w:tc>
        <w:tc>
          <w:tcPr>
            <w:tcW w:w="0" w:type="auto"/>
            <w:tcBorders>
              <w:top w:val="nil"/>
              <w:left w:val="nil"/>
              <w:bottom w:val="nil"/>
              <w:right w:val="nil"/>
            </w:tcBorders>
            <w:vAlign w:val="center"/>
            <w:hideMark/>
          </w:tcPr>
          <w:p w14:paraId="2F4F516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F227D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1.994</w:t>
            </w:r>
          </w:p>
        </w:tc>
        <w:tc>
          <w:tcPr>
            <w:tcW w:w="0" w:type="auto"/>
            <w:tcBorders>
              <w:top w:val="nil"/>
              <w:left w:val="nil"/>
              <w:bottom w:val="nil"/>
              <w:right w:val="nil"/>
            </w:tcBorders>
            <w:vAlign w:val="center"/>
            <w:hideMark/>
          </w:tcPr>
          <w:p w14:paraId="34EE697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9520E8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0.997</w:t>
            </w:r>
          </w:p>
        </w:tc>
        <w:tc>
          <w:tcPr>
            <w:tcW w:w="0" w:type="auto"/>
            <w:tcBorders>
              <w:top w:val="nil"/>
              <w:left w:val="nil"/>
              <w:bottom w:val="nil"/>
              <w:right w:val="nil"/>
            </w:tcBorders>
            <w:vAlign w:val="center"/>
            <w:hideMark/>
          </w:tcPr>
          <w:p w14:paraId="1C04C96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EB0601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1.551</w:t>
            </w:r>
          </w:p>
        </w:tc>
        <w:tc>
          <w:tcPr>
            <w:tcW w:w="0" w:type="auto"/>
            <w:tcBorders>
              <w:top w:val="nil"/>
              <w:left w:val="nil"/>
              <w:bottom w:val="nil"/>
              <w:right w:val="nil"/>
            </w:tcBorders>
            <w:vAlign w:val="center"/>
            <w:hideMark/>
          </w:tcPr>
          <w:p w14:paraId="4F6452F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7EFE1E79" w14:textId="77777777" w:rsidTr="007E19D4">
        <w:tc>
          <w:tcPr>
            <w:tcW w:w="0" w:type="auto"/>
            <w:tcBorders>
              <w:top w:val="nil"/>
              <w:left w:val="nil"/>
              <w:bottom w:val="nil"/>
              <w:right w:val="nil"/>
            </w:tcBorders>
            <w:vAlign w:val="center"/>
            <w:hideMark/>
          </w:tcPr>
          <w:p w14:paraId="73B347DE"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week 16</w:t>
            </w:r>
          </w:p>
        </w:tc>
        <w:tc>
          <w:tcPr>
            <w:tcW w:w="0" w:type="auto"/>
            <w:tcBorders>
              <w:top w:val="nil"/>
              <w:left w:val="nil"/>
              <w:bottom w:val="nil"/>
              <w:right w:val="nil"/>
            </w:tcBorders>
            <w:vAlign w:val="center"/>
            <w:hideMark/>
          </w:tcPr>
          <w:p w14:paraId="3FD91027"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54D6F6E"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06B8787A"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DF2858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0BFAA35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9599CD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3.365</w:t>
            </w:r>
          </w:p>
        </w:tc>
        <w:tc>
          <w:tcPr>
            <w:tcW w:w="0" w:type="auto"/>
            <w:tcBorders>
              <w:top w:val="nil"/>
              <w:left w:val="nil"/>
              <w:bottom w:val="nil"/>
              <w:right w:val="nil"/>
            </w:tcBorders>
            <w:vAlign w:val="center"/>
            <w:hideMark/>
          </w:tcPr>
          <w:p w14:paraId="6DE1F80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F6342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3.078</w:t>
            </w:r>
          </w:p>
        </w:tc>
        <w:tc>
          <w:tcPr>
            <w:tcW w:w="0" w:type="auto"/>
            <w:tcBorders>
              <w:top w:val="nil"/>
              <w:left w:val="nil"/>
              <w:bottom w:val="nil"/>
              <w:right w:val="nil"/>
            </w:tcBorders>
            <w:vAlign w:val="center"/>
            <w:hideMark/>
          </w:tcPr>
          <w:p w14:paraId="503AF0B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03179B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1.257</w:t>
            </w:r>
          </w:p>
        </w:tc>
        <w:tc>
          <w:tcPr>
            <w:tcW w:w="0" w:type="auto"/>
            <w:tcBorders>
              <w:top w:val="nil"/>
              <w:left w:val="nil"/>
              <w:bottom w:val="nil"/>
              <w:right w:val="nil"/>
            </w:tcBorders>
            <w:vAlign w:val="center"/>
            <w:hideMark/>
          </w:tcPr>
          <w:p w14:paraId="051653A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4939A5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0.915</w:t>
            </w:r>
          </w:p>
        </w:tc>
        <w:tc>
          <w:tcPr>
            <w:tcW w:w="0" w:type="auto"/>
            <w:tcBorders>
              <w:top w:val="nil"/>
              <w:left w:val="nil"/>
              <w:bottom w:val="nil"/>
              <w:right w:val="nil"/>
            </w:tcBorders>
            <w:vAlign w:val="center"/>
            <w:hideMark/>
          </w:tcPr>
          <w:p w14:paraId="6D94C2B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57AB5B1D" w14:textId="77777777" w:rsidTr="007E19D4">
        <w:tc>
          <w:tcPr>
            <w:tcW w:w="0" w:type="auto"/>
            <w:tcBorders>
              <w:top w:val="nil"/>
              <w:left w:val="nil"/>
              <w:bottom w:val="nil"/>
              <w:right w:val="nil"/>
            </w:tcBorders>
            <w:vAlign w:val="center"/>
            <w:hideMark/>
          </w:tcPr>
          <w:p w14:paraId="75E3F2E0"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44E9835F"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D61A110"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356CBC94"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78B447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24CE8D1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30812A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1.346</w:t>
            </w:r>
          </w:p>
        </w:tc>
        <w:tc>
          <w:tcPr>
            <w:tcW w:w="0" w:type="auto"/>
            <w:tcBorders>
              <w:top w:val="nil"/>
              <w:left w:val="nil"/>
              <w:bottom w:val="nil"/>
              <w:right w:val="nil"/>
            </w:tcBorders>
            <w:vAlign w:val="center"/>
            <w:hideMark/>
          </w:tcPr>
          <w:p w14:paraId="07C0ACA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5ACFCB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1.911</w:t>
            </w:r>
          </w:p>
        </w:tc>
        <w:tc>
          <w:tcPr>
            <w:tcW w:w="0" w:type="auto"/>
            <w:tcBorders>
              <w:top w:val="nil"/>
              <w:left w:val="nil"/>
              <w:bottom w:val="nil"/>
              <w:right w:val="nil"/>
            </w:tcBorders>
            <w:vAlign w:val="center"/>
            <w:hideMark/>
          </w:tcPr>
          <w:p w14:paraId="5867646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183832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0.780</w:t>
            </w:r>
          </w:p>
        </w:tc>
        <w:tc>
          <w:tcPr>
            <w:tcW w:w="0" w:type="auto"/>
            <w:tcBorders>
              <w:top w:val="nil"/>
              <w:left w:val="nil"/>
              <w:bottom w:val="nil"/>
              <w:right w:val="nil"/>
            </w:tcBorders>
            <w:vAlign w:val="center"/>
            <w:hideMark/>
          </w:tcPr>
          <w:p w14:paraId="7D4C6BA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7CACDB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1.420</w:t>
            </w:r>
          </w:p>
        </w:tc>
        <w:tc>
          <w:tcPr>
            <w:tcW w:w="0" w:type="auto"/>
            <w:tcBorders>
              <w:top w:val="nil"/>
              <w:left w:val="nil"/>
              <w:bottom w:val="nil"/>
              <w:right w:val="nil"/>
            </w:tcBorders>
            <w:vAlign w:val="center"/>
            <w:hideMark/>
          </w:tcPr>
          <w:p w14:paraId="3A43D76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141D3440" w14:textId="77777777" w:rsidTr="007E19D4">
        <w:tc>
          <w:tcPr>
            <w:tcW w:w="0" w:type="auto"/>
            <w:tcBorders>
              <w:top w:val="nil"/>
              <w:left w:val="nil"/>
              <w:bottom w:val="nil"/>
              <w:right w:val="nil"/>
            </w:tcBorders>
            <w:vAlign w:val="center"/>
            <w:hideMark/>
          </w:tcPr>
          <w:p w14:paraId="63D3596D"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E1A880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AE18827"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59311390"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AC85B8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6</w:t>
            </w:r>
          </w:p>
        </w:tc>
        <w:tc>
          <w:tcPr>
            <w:tcW w:w="0" w:type="auto"/>
            <w:tcBorders>
              <w:top w:val="nil"/>
              <w:left w:val="nil"/>
              <w:bottom w:val="nil"/>
              <w:right w:val="nil"/>
            </w:tcBorders>
            <w:vAlign w:val="center"/>
            <w:hideMark/>
          </w:tcPr>
          <w:p w14:paraId="036BDFD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C775C3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0.124</w:t>
            </w:r>
          </w:p>
        </w:tc>
        <w:tc>
          <w:tcPr>
            <w:tcW w:w="0" w:type="auto"/>
            <w:tcBorders>
              <w:top w:val="nil"/>
              <w:left w:val="nil"/>
              <w:bottom w:val="nil"/>
              <w:right w:val="nil"/>
            </w:tcBorders>
            <w:vAlign w:val="center"/>
            <w:hideMark/>
          </w:tcPr>
          <w:p w14:paraId="6A18FE9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BEC06E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0.263</w:t>
            </w:r>
          </w:p>
        </w:tc>
        <w:tc>
          <w:tcPr>
            <w:tcW w:w="0" w:type="auto"/>
            <w:tcBorders>
              <w:top w:val="nil"/>
              <w:left w:val="nil"/>
              <w:bottom w:val="nil"/>
              <w:right w:val="nil"/>
            </w:tcBorders>
            <w:vAlign w:val="center"/>
            <w:hideMark/>
          </w:tcPr>
          <w:p w14:paraId="08D1A52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DB9D62E"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0.107</w:t>
            </w:r>
          </w:p>
        </w:tc>
        <w:tc>
          <w:tcPr>
            <w:tcW w:w="0" w:type="auto"/>
            <w:tcBorders>
              <w:top w:val="nil"/>
              <w:left w:val="nil"/>
              <w:bottom w:val="nil"/>
              <w:right w:val="nil"/>
            </w:tcBorders>
            <w:vAlign w:val="center"/>
            <w:hideMark/>
          </w:tcPr>
          <w:p w14:paraId="0D5A9D1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84886D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2.115</w:t>
            </w:r>
          </w:p>
        </w:tc>
        <w:tc>
          <w:tcPr>
            <w:tcW w:w="0" w:type="auto"/>
            <w:tcBorders>
              <w:top w:val="nil"/>
              <w:left w:val="nil"/>
              <w:bottom w:val="nil"/>
              <w:right w:val="nil"/>
            </w:tcBorders>
            <w:vAlign w:val="center"/>
            <w:hideMark/>
          </w:tcPr>
          <w:p w14:paraId="4169D50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4B4C7935" w14:textId="77777777" w:rsidTr="007E19D4">
        <w:tc>
          <w:tcPr>
            <w:tcW w:w="0" w:type="auto"/>
            <w:tcBorders>
              <w:top w:val="nil"/>
              <w:left w:val="nil"/>
              <w:bottom w:val="nil"/>
              <w:right w:val="nil"/>
            </w:tcBorders>
            <w:vAlign w:val="center"/>
            <w:hideMark/>
          </w:tcPr>
          <w:p w14:paraId="3F6A2729"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666D144D"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1B0C7F6"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75F3D0C0"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59C524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4</w:t>
            </w:r>
          </w:p>
        </w:tc>
        <w:tc>
          <w:tcPr>
            <w:tcW w:w="0" w:type="auto"/>
            <w:tcBorders>
              <w:top w:val="nil"/>
              <w:left w:val="nil"/>
              <w:bottom w:val="nil"/>
              <w:right w:val="nil"/>
            </w:tcBorders>
            <w:vAlign w:val="center"/>
            <w:hideMark/>
          </w:tcPr>
          <w:p w14:paraId="790D80B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61040F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0.000</w:t>
            </w:r>
          </w:p>
        </w:tc>
        <w:tc>
          <w:tcPr>
            <w:tcW w:w="0" w:type="auto"/>
            <w:tcBorders>
              <w:top w:val="nil"/>
              <w:left w:val="nil"/>
              <w:bottom w:val="nil"/>
              <w:right w:val="nil"/>
            </w:tcBorders>
            <w:vAlign w:val="center"/>
            <w:hideMark/>
          </w:tcPr>
          <w:p w14:paraId="089995C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712EC4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0.000</w:t>
            </w:r>
          </w:p>
        </w:tc>
        <w:tc>
          <w:tcPr>
            <w:tcW w:w="0" w:type="auto"/>
            <w:tcBorders>
              <w:top w:val="nil"/>
              <w:left w:val="nil"/>
              <w:bottom w:val="nil"/>
              <w:right w:val="nil"/>
            </w:tcBorders>
            <w:vAlign w:val="center"/>
            <w:hideMark/>
          </w:tcPr>
          <w:p w14:paraId="7BFF072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1C164B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0.000</w:t>
            </w:r>
          </w:p>
        </w:tc>
        <w:tc>
          <w:tcPr>
            <w:tcW w:w="0" w:type="auto"/>
            <w:tcBorders>
              <w:top w:val="nil"/>
              <w:left w:val="nil"/>
              <w:bottom w:val="nil"/>
              <w:right w:val="nil"/>
            </w:tcBorders>
            <w:vAlign w:val="center"/>
            <w:hideMark/>
          </w:tcPr>
          <w:p w14:paraId="73409CC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CAC31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NaN</w:t>
            </w:r>
            <w:proofErr w:type="spellEnd"/>
          </w:p>
        </w:tc>
        <w:tc>
          <w:tcPr>
            <w:tcW w:w="0" w:type="auto"/>
            <w:tcBorders>
              <w:top w:val="nil"/>
              <w:left w:val="nil"/>
              <w:bottom w:val="nil"/>
              <w:right w:val="nil"/>
            </w:tcBorders>
            <w:vAlign w:val="center"/>
            <w:hideMark/>
          </w:tcPr>
          <w:p w14:paraId="4DAB9A5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64341DF9" w14:textId="77777777" w:rsidTr="007E19D4">
        <w:tc>
          <w:tcPr>
            <w:tcW w:w="0" w:type="auto"/>
            <w:gridSpan w:val="14"/>
            <w:tcBorders>
              <w:top w:val="nil"/>
              <w:left w:val="nil"/>
              <w:bottom w:val="single" w:sz="12" w:space="0" w:color="000000"/>
              <w:right w:val="nil"/>
            </w:tcBorders>
            <w:vAlign w:val="center"/>
            <w:hideMark/>
          </w:tcPr>
          <w:p w14:paraId="4FD2C749" w14:textId="77777777" w:rsidR="009261C0" w:rsidRPr="00D1750F" w:rsidRDefault="009261C0" w:rsidP="007E19D4">
            <w:pPr>
              <w:spacing w:after="0" w:line="240" w:lineRule="auto"/>
              <w:rPr>
                <w:rFonts w:ascii="Times New Roman" w:eastAsia="Times New Roman" w:hAnsi="Times New Roman" w:cs="Times New Roman"/>
                <w:sz w:val="18"/>
                <w:szCs w:val="18"/>
                <w:lang w:eastAsia="es-ES"/>
              </w:rPr>
            </w:pPr>
          </w:p>
        </w:tc>
      </w:tr>
    </w:tbl>
    <w:p w14:paraId="3E6ECD39" w14:textId="77777777" w:rsidR="009261C0" w:rsidRPr="00D1750F" w:rsidRDefault="009261C0" w:rsidP="009261C0">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p w14:paraId="3BC3CF89" w14:textId="6A338DF5" w:rsidR="009261C0" w:rsidRDefault="009261C0" w:rsidP="009261C0">
      <w:pPr>
        <w:spacing w:after="0" w:line="240" w:lineRule="auto"/>
        <w:rPr>
          <w:rFonts w:ascii="Times New Roman" w:eastAsia="Times New Roman" w:hAnsi="Times New Roman" w:cs="Times New Roman"/>
          <w:lang w:eastAsia="es-ES"/>
        </w:rPr>
      </w:pPr>
      <w:r w:rsidRPr="00697648">
        <w:rPr>
          <w:rFonts w:ascii="Times New Roman" w:eastAsia="Times New Roman" w:hAnsi="Times New Roman" w:cs="Times New Roman"/>
          <w:lang w:eastAsia="es-ES"/>
        </w:rPr>
        <w:t xml:space="preserve">Bonferroni post hoc test on the group factor reveals that overall (time factor) there is no difference between treating </w:t>
      </w:r>
      <w:r>
        <w:rPr>
          <w:rFonts w:ascii="Times New Roman" w:eastAsia="Times New Roman" w:hAnsi="Times New Roman" w:cs="Times New Roman"/>
          <w:lang w:eastAsia="es-ES"/>
        </w:rPr>
        <w:t xml:space="preserve">or non-treating </w:t>
      </w:r>
      <w:r w:rsidRPr="00697648">
        <w:rPr>
          <w:rFonts w:ascii="Times New Roman" w:eastAsia="Times New Roman" w:hAnsi="Times New Roman" w:cs="Times New Roman"/>
          <w:lang w:eastAsia="es-ES"/>
        </w:rPr>
        <w:t xml:space="preserve">WT </w:t>
      </w:r>
      <w:r>
        <w:rPr>
          <w:rFonts w:ascii="Times New Roman" w:eastAsia="Times New Roman" w:hAnsi="Times New Roman" w:cs="Times New Roman"/>
          <w:lang w:eastAsia="es-ES"/>
        </w:rPr>
        <w:t>mice, non-treated G93A mice show significantly more EMG activity than non-treated or treated WT mice and although difference does not reach significance threshold, treated G93A mice show less activity than non-treated G93A mice.</w:t>
      </w:r>
    </w:p>
    <w:p w14:paraId="61FD8DB7" w14:textId="77777777" w:rsidR="009261C0" w:rsidRPr="00704FD7" w:rsidRDefault="009261C0" w:rsidP="009261C0">
      <w:pPr>
        <w:spacing w:after="0" w:line="240" w:lineRule="auto"/>
        <w:rPr>
          <w:rFonts w:ascii="Times New Roman" w:eastAsia="Times New Roman" w:hAnsi="Times New Roman" w:cs="Times New Roman"/>
          <w:b/>
          <w:bCs/>
          <w:sz w:val="24"/>
          <w:szCs w:val="24"/>
          <w:lang w:eastAsia="es-ES"/>
        </w:rPr>
      </w:pPr>
    </w:p>
    <w:tbl>
      <w:tblPr>
        <w:tblW w:w="0" w:type="auto"/>
        <w:tblCellMar>
          <w:top w:w="15" w:type="dxa"/>
          <w:left w:w="15" w:type="dxa"/>
          <w:bottom w:w="15" w:type="dxa"/>
          <w:right w:w="15" w:type="dxa"/>
        </w:tblCellMar>
        <w:tblLook w:val="04A0" w:firstRow="1" w:lastRow="0" w:firstColumn="1" w:lastColumn="0" w:noHBand="0" w:noVBand="1"/>
      </w:tblPr>
      <w:tblGrid>
        <w:gridCol w:w="1265"/>
        <w:gridCol w:w="36"/>
        <w:gridCol w:w="1265"/>
        <w:gridCol w:w="36"/>
        <w:gridCol w:w="1503"/>
        <w:gridCol w:w="97"/>
        <w:gridCol w:w="525"/>
        <w:gridCol w:w="36"/>
        <w:gridCol w:w="599"/>
        <w:gridCol w:w="36"/>
        <w:gridCol w:w="525"/>
        <w:gridCol w:w="140"/>
      </w:tblGrid>
      <w:tr w:rsidR="009261C0" w:rsidRPr="00D1750F" w14:paraId="47BB596B" w14:textId="77777777" w:rsidTr="007E19D4">
        <w:trPr>
          <w:tblHeader/>
        </w:trPr>
        <w:tc>
          <w:tcPr>
            <w:tcW w:w="0" w:type="auto"/>
            <w:gridSpan w:val="12"/>
            <w:tcBorders>
              <w:top w:val="nil"/>
              <w:left w:val="nil"/>
              <w:bottom w:val="single" w:sz="6" w:space="0" w:color="000000"/>
              <w:right w:val="nil"/>
            </w:tcBorders>
            <w:vAlign w:val="center"/>
            <w:hideMark/>
          </w:tcPr>
          <w:p w14:paraId="5732823E" w14:textId="77777777" w:rsidR="009261C0" w:rsidRPr="00D1750F" w:rsidRDefault="009261C0" w:rsidP="007E19D4">
            <w:pPr>
              <w:spacing w:after="0" w:line="240" w:lineRule="auto"/>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 xml:space="preserve">Post Hoc Comparisons - Group </w:t>
            </w:r>
          </w:p>
        </w:tc>
      </w:tr>
      <w:tr w:rsidR="009261C0" w:rsidRPr="00D1750F" w14:paraId="4E83E07A" w14:textId="77777777" w:rsidTr="007E19D4">
        <w:trPr>
          <w:tblHeader/>
        </w:trPr>
        <w:tc>
          <w:tcPr>
            <w:tcW w:w="0" w:type="auto"/>
            <w:gridSpan w:val="2"/>
            <w:tcBorders>
              <w:top w:val="nil"/>
              <w:left w:val="nil"/>
              <w:bottom w:val="single" w:sz="6" w:space="0" w:color="000000"/>
              <w:right w:val="nil"/>
            </w:tcBorders>
            <w:vAlign w:val="center"/>
            <w:hideMark/>
          </w:tcPr>
          <w:p w14:paraId="79622FFD" w14:textId="77777777" w:rsidR="009261C0" w:rsidRPr="00D1750F" w:rsidRDefault="009261C0" w:rsidP="007E19D4">
            <w:pPr>
              <w:spacing w:after="0" w:line="240" w:lineRule="auto"/>
              <w:rPr>
                <w:rFonts w:ascii="Times New Roman" w:eastAsia="Times New Roman" w:hAnsi="Times New Roman" w:cs="Times New Roman"/>
                <w:b/>
                <w:bCs/>
                <w:lang w:eastAsia="es-ES"/>
              </w:rPr>
            </w:pPr>
          </w:p>
        </w:tc>
        <w:tc>
          <w:tcPr>
            <w:tcW w:w="0" w:type="auto"/>
            <w:gridSpan w:val="2"/>
            <w:tcBorders>
              <w:top w:val="nil"/>
              <w:left w:val="nil"/>
              <w:bottom w:val="single" w:sz="6" w:space="0" w:color="000000"/>
              <w:right w:val="nil"/>
            </w:tcBorders>
            <w:vAlign w:val="center"/>
            <w:hideMark/>
          </w:tcPr>
          <w:p w14:paraId="46D8001C" w14:textId="77777777" w:rsidR="009261C0" w:rsidRPr="00D1750F" w:rsidRDefault="009261C0" w:rsidP="007E19D4">
            <w:pPr>
              <w:spacing w:after="0" w:line="240" w:lineRule="auto"/>
              <w:jc w:val="center"/>
              <w:rPr>
                <w:rFonts w:ascii="Times New Roman" w:eastAsia="Times New Roman" w:hAnsi="Times New Roman" w:cs="Times New Roman"/>
                <w:sz w:val="18"/>
                <w:szCs w:val="18"/>
                <w:lang w:eastAsia="es-ES"/>
              </w:rPr>
            </w:pPr>
          </w:p>
        </w:tc>
        <w:tc>
          <w:tcPr>
            <w:tcW w:w="0" w:type="auto"/>
            <w:gridSpan w:val="2"/>
            <w:tcBorders>
              <w:top w:val="nil"/>
              <w:left w:val="nil"/>
              <w:bottom w:val="single" w:sz="6" w:space="0" w:color="000000"/>
              <w:right w:val="nil"/>
            </w:tcBorders>
            <w:vAlign w:val="center"/>
            <w:hideMark/>
          </w:tcPr>
          <w:p w14:paraId="67890E1B"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Mean Difference</w:t>
            </w:r>
          </w:p>
        </w:tc>
        <w:tc>
          <w:tcPr>
            <w:tcW w:w="0" w:type="auto"/>
            <w:gridSpan w:val="2"/>
            <w:tcBorders>
              <w:top w:val="nil"/>
              <w:left w:val="nil"/>
              <w:bottom w:val="single" w:sz="6" w:space="0" w:color="000000"/>
              <w:right w:val="nil"/>
            </w:tcBorders>
            <w:vAlign w:val="center"/>
            <w:hideMark/>
          </w:tcPr>
          <w:p w14:paraId="0FEF1D25"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SE</w:t>
            </w:r>
          </w:p>
        </w:tc>
        <w:tc>
          <w:tcPr>
            <w:tcW w:w="0" w:type="auto"/>
            <w:gridSpan w:val="2"/>
            <w:tcBorders>
              <w:top w:val="nil"/>
              <w:left w:val="nil"/>
              <w:bottom w:val="single" w:sz="6" w:space="0" w:color="000000"/>
              <w:right w:val="nil"/>
            </w:tcBorders>
            <w:vAlign w:val="center"/>
            <w:hideMark/>
          </w:tcPr>
          <w:p w14:paraId="633DC72B"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r w:rsidRPr="00D1750F">
              <w:rPr>
                <w:rFonts w:ascii="Times New Roman" w:eastAsia="Times New Roman" w:hAnsi="Times New Roman" w:cs="Times New Roman"/>
                <w:b/>
                <w:bCs/>
                <w:lang w:eastAsia="es-ES"/>
              </w:rPr>
              <w:t>t</w:t>
            </w:r>
          </w:p>
        </w:tc>
        <w:tc>
          <w:tcPr>
            <w:tcW w:w="0" w:type="auto"/>
            <w:gridSpan w:val="2"/>
            <w:tcBorders>
              <w:top w:val="nil"/>
              <w:left w:val="nil"/>
              <w:bottom w:val="single" w:sz="6" w:space="0" w:color="000000"/>
              <w:right w:val="nil"/>
            </w:tcBorders>
            <w:vAlign w:val="center"/>
            <w:hideMark/>
          </w:tcPr>
          <w:p w14:paraId="540E9556" w14:textId="77777777" w:rsidR="009261C0" w:rsidRPr="00D1750F" w:rsidRDefault="009261C0" w:rsidP="007E19D4">
            <w:pPr>
              <w:spacing w:after="0" w:line="240" w:lineRule="auto"/>
              <w:jc w:val="center"/>
              <w:rPr>
                <w:rFonts w:ascii="Times New Roman" w:eastAsia="Times New Roman" w:hAnsi="Times New Roman" w:cs="Times New Roman"/>
                <w:b/>
                <w:bCs/>
                <w:lang w:eastAsia="es-ES"/>
              </w:rPr>
            </w:pPr>
            <w:proofErr w:type="spellStart"/>
            <w:r w:rsidRPr="00D1750F">
              <w:rPr>
                <w:rFonts w:ascii="Times New Roman" w:eastAsia="Times New Roman" w:hAnsi="Times New Roman" w:cs="Times New Roman"/>
                <w:b/>
                <w:bCs/>
                <w:lang w:eastAsia="es-ES"/>
              </w:rPr>
              <w:t>p</w:t>
            </w:r>
            <w:r w:rsidRPr="00D1750F">
              <w:rPr>
                <w:rFonts w:ascii="Times New Roman" w:eastAsia="Times New Roman" w:hAnsi="Times New Roman" w:cs="Times New Roman"/>
                <w:b/>
                <w:bCs/>
                <w:vertAlign w:val="subscript"/>
                <w:lang w:eastAsia="es-ES"/>
              </w:rPr>
              <w:t>bonf</w:t>
            </w:r>
            <w:proofErr w:type="spellEnd"/>
            <w:r w:rsidRPr="00D1750F">
              <w:rPr>
                <w:rFonts w:ascii="Times New Roman" w:eastAsia="Times New Roman" w:hAnsi="Times New Roman" w:cs="Times New Roman"/>
                <w:b/>
                <w:bCs/>
                <w:lang w:eastAsia="es-ES"/>
              </w:rPr>
              <w:t xml:space="preserve"> </w:t>
            </w:r>
          </w:p>
        </w:tc>
      </w:tr>
      <w:tr w:rsidR="009261C0" w:rsidRPr="00D1750F" w14:paraId="296C8BFF" w14:textId="77777777" w:rsidTr="007E19D4">
        <w:tc>
          <w:tcPr>
            <w:tcW w:w="0" w:type="auto"/>
            <w:tcBorders>
              <w:top w:val="nil"/>
              <w:left w:val="nil"/>
              <w:bottom w:val="nil"/>
              <w:right w:val="nil"/>
            </w:tcBorders>
            <w:vAlign w:val="center"/>
            <w:hideMark/>
          </w:tcPr>
          <w:p w14:paraId="3447992A"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TG_GCN2iB</w:t>
            </w:r>
          </w:p>
        </w:tc>
        <w:tc>
          <w:tcPr>
            <w:tcW w:w="0" w:type="auto"/>
            <w:tcBorders>
              <w:top w:val="nil"/>
              <w:left w:val="nil"/>
              <w:bottom w:val="nil"/>
              <w:right w:val="nil"/>
            </w:tcBorders>
            <w:vAlign w:val="center"/>
            <w:hideMark/>
          </w:tcPr>
          <w:p w14:paraId="39CBA8DD"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51A007F"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6191FCA6"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896577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-1.108</w:t>
            </w:r>
          </w:p>
        </w:tc>
        <w:tc>
          <w:tcPr>
            <w:tcW w:w="0" w:type="auto"/>
            <w:tcBorders>
              <w:top w:val="nil"/>
              <w:left w:val="nil"/>
              <w:bottom w:val="nil"/>
              <w:right w:val="nil"/>
            </w:tcBorders>
            <w:vAlign w:val="center"/>
            <w:hideMark/>
          </w:tcPr>
          <w:p w14:paraId="7AA5CD3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5BF7DA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0.544</w:t>
            </w:r>
          </w:p>
        </w:tc>
        <w:tc>
          <w:tcPr>
            <w:tcW w:w="0" w:type="auto"/>
            <w:tcBorders>
              <w:top w:val="nil"/>
              <w:left w:val="nil"/>
              <w:bottom w:val="nil"/>
              <w:right w:val="nil"/>
            </w:tcBorders>
            <w:vAlign w:val="center"/>
            <w:hideMark/>
          </w:tcPr>
          <w:p w14:paraId="5E44E12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37ECC2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-2.038</w:t>
            </w:r>
          </w:p>
        </w:tc>
        <w:tc>
          <w:tcPr>
            <w:tcW w:w="0" w:type="auto"/>
            <w:tcBorders>
              <w:top w:val="nil"/>
              <w:left w:val="nil"/>
              <w:bottom w:val="nil"/>
              <w:right w:val="nil"/>
            </w:tcBorders>
            <w:vAlign w:val="center"/>
            <w:hideMark/>
          </w:tcPr>
          <w:p w14:paraId="026A70A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870558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0.339</w:t>
            </w:r>
          </w:p>
        </w:tc>
        <w:tc>
          <w:tcPr>
            <w:tcW w:w="0" w:type="auto"/>
            <w:tcBorders>
              <w:top w:val="nil"/>
              <w:left w:val="nil"/>
              <w:bottom w:val="nil"/>
              <w:right w:val="nil"/>
            </w:tcBorders>
            <w:vAlign w:val="center"/>
            <w:hideMark/>
          </w:tcPr>
          <w:p w14:paraId="188E62A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1E7A27FD" w14:textId="77777777" w:rsidTr="007E19D4">
        <w:tc>
          <w:tcPr>
            <w:tcW w:w="0" w:type="auto"/>
            <w:tcBorders>
              <w:top w:val="nil"/>
              <w:left w:val="nil"/>
              <w:bottom w:val="nil"/>
              <w:right w:val="nil"/>
            </w:tcBorders>
            <w:vAlign w:val="center"/>
            <w:hideMark/>
          </w:tcPr>
          <w:p w14:paraId="444386DC"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6D997BDD"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431B43D"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71DC51D0"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C3B879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0.795</w:t>
            </w:r>
          </w:p>
        </w:tc>
        <w:tc>
          <w:tcPr>
            <w:tcW w:w="0" w:type="auto"/>
            <w:tcBorders>
              <w:top w:val="nil"/>
              <w:left w:val="nil"/>
              <w:bottom w:val="nil"/>
              <w:right w:val="nil"/>
            </w:tcBorders>
            <w:vAlign w:val="center"/>
            <w:hideMark/>
          </w:tcPr>
          <w:p w14:paraId="02CE26A5"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9AD398B"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0.544</w:t>
            </w:r>
          </w:p>
        </w:tc>
        <w:tc>
          <w:tcPr>
            <w:tcW w:w="0" w:type="auto"/>
            <w:tcBorders>
              <w:top w:val="nil"/>
              <w:left w:val="nil"/>
              <w:bottom w:val="nil"/>
              <w:right w:val="nil"/>
            </w:tcBorders>
            <w:vAlign w:val="center"/>
            <w:hideMark/>
          </w:tcPr>
          <w:p w14:paraId="45856CC7"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AAAF2A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1.462</w:t>
            </w:r>
          </w:p>
        </w:tc>
        <w:tc>
          <w:tcPr>
            <w:tcW w:w="0" w:type="auto"/>
            <w:tcBorders>
              <w:top w:val="nil"/>
              <w:left w:val="nil"/>
              <w:bottom w:val="nil"/>
              <w:right w:val="nil"/>
            </w:tcBorders>
            <w:vAlign w:val="center"/>
            <w:hideMark/>
          </w:tcPr>
          <w:p w14:paraId="7B2A9FE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D45D24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0.966</w:t>
            </w:r>
          </w:p>
        </w:tc>
        <w:tc>
          <w:tcPr>
            <w:tcW w:w="0" w:type="auto"/>
            <w:tcBorders>
              <w:top w:val="nil"/>
              <w:left w:val="nil"/>
              <w:bottom w:val="nil"/>
              <w:right w:val="nil"/>
            </w:tcBorders>
            <w:vAlign w:val="center"/>
            <w:hideMark/>
          </w:tcPr>
          <w:p w14:paraId="6AA030B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04DF700B" w14:textId="77777777" w:rsidTr="007E19D4">
        <w:tc>
          <w:tcPr>
            <w:tcW w:w="0" w:type="auto"/>
            <w:tcBorders>
              <w:top w:val="nil"/>
              <w:left w:val="nil"/>
              <w:bottom w:val="nil"/>
              <w:right w:val="nil"/>
            </w:tcBorders>
            <w:vAlign w:val="center"/>
            <w:hideMark/>
          </w:tcPr>
          <w:p w14:paraId="4F5CD546"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376EB965"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DCB1ECD"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64696068"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9A46FFD"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0.745</w:t>
            </w:r>
          </w:p>
        </w:tc>
        <w:tc>
          <w:tcPr>
            <w:tcW w:w="0" w:type="auto"/>
            <w:tcBorders>
              <w:top w:val="nil"/>
              <w:left w:val="nil"/>
              <w:bottom w:val="nil"/>
              <w:right w:val="nil"/>
            </w:tcBorders>
            <w:vAlign w:val="center"/>
            <w:hideMark/>
          </w:tcPr>
          <w:p w14:paraId="7469209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013247C"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0.608</w:t>
            </w:r>
          </w:p>
        </w:tc>
        <w:tc>
          <w:tcPr>
            <w:tcW w:w="0" w:type="auto"/>
            <w:tcBorders>
              <w:top w:val="nil"/>
              <w:left w:val="nil"/>
              <w:bottom w:val="nil"/>
              <w:right w:val="nil"/>
            </w:tcBorders>
            <w:vAlign w:val="center"/>
            <w:hideMark/>
          </w:tcPr>
          <w:p w14:paraId="796B595F"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65097C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1.224</w:t>
            </w:r>
          </w:p>
        </w:tc>
        <w:tc>
          <w:tcPr>
            <w:tcW w:w="0" w:type="auto"/>
            <w:tcBorders>
              <w:top w:val="nil"/>
              <w:left w:val="nil"/>
              <w:bottom w:val="nil"/>
              <w:right w:val="nil"/>
            </w:tcBorders>
            <w:vAlign w:val="center"/>
            <w:hideMark/>
          </w:tcPr>
          <w:p w14:paraId="7CDBCE7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78C79E8"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1.000</w:t>
            </w:r>
          </w:p>
        </w:tc>
        <w:tc>
          <w:tcPr>
            <w:tcW w:w="0" w:type="auto"/>
            <w:tcBorders>
              <w:top w:val="nil"/>
              <w:left w:val="nil"/>
              <w:bottom w:val="nil"/>
              <w:right w:val="nil"/>
            </w:tcBorders>
            <w:vAlign w:val="center"/>
            <w:hideMark/>
          </w:tcPr>
          <w:p w14:paraId="032D88A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0A37CC99" w14:textId="77777777" w:rsidTr="007E19D4">
        <w:tc>
          <w:tcPr>
            <w:tcW w:w="0" w:type="auto"/>
            <w:tcBorders>
              <w:top w:val="nil"/>
              <w:left w:val="nil"/>
              <w:bottom w:val="nil"/>
              <w:right w:val="nil"/>
            </w:tcBorders>
            <w:vAlign w:val="center"/>
            <w:hideMark/>
          </w:tcPr>
          <w:p w14:paraId="0ADA0A87"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TG_Veh</w:t>
            </w:r>
            <w:proofErr w:type="spellEnd"/>
          </w:p>
        </w:tc>
        <w:tc>
          <w:tcPr>
            <w:tcW w:w="0" w:type="auto"/>
            <w:tcBorders>
              <w:top w:val="nil"/>
              <w:left w:val="nil"/>
              <w:bottom w:val="nil"/>
              <w:right w:val="nil"/>
            </w:tcBorders>
            <w:vAlign w:val="center"/>
            <w:hideMark/>
          </w:tcPr>
          <w:p w14:paraId="69D28DCF"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4D9738A9"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3D658502"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AAC80D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1.903</w:t>
            </w:r>
          </w:p>
        </w:tc>
        <w:tc>
          <w:tcPr>
            <w:tcW w:w="0" w:type="auto"/>
            <w:tcBorders>
              <w:top w:val="nil"/>
              <w:left w:val="nil"/>
              <w:bottom w:val="nil"/>
              <w:right w:val="nil"/>
            </w:tcBorders>
            <w:vAlign w:val="center"/>
            <w:hideMark/>
          </w:tcPr>
          <w:p w14:paraId="46D8375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FCEC55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0.544</w:t>
            </w:r>
          </w:p>
        </w:tc>
        <w:tc>
          <w:tcPr>
            <w:tcW w:w="0" w:type="auto"/>
            <w:tcBorders>
              <w:top w:val="nil"/>
              <w:left w:val="nil"/>
              <w:bottom w:val="nil"/>
              <w:right w:val="nil"/>
            </w:tcBorders>
            <w:vAlign w:val="center"/>
            <w:hideMark/>
          </w:tcPr>
          <w:p w14:paraId="6A74725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105268C4"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3.500</w:t>
            </w:r>
          </w:p>
        </w:tc>
        <w:tc>
          <w:tcPr>
            <w:tcW w:w="0" w:type="auto"/>
            <w:tcBorders>
              <w:top w:val="nil"/>
              <w:left w:val="nil"/>
              <w:bottom w:val="nil"/>
              <w:right w:val="nil"/>
            </w:tcBorders>
            <w:vAlign w:val="center"/>
            <w:hideMark/>
          </w:tcPr>
          <w:p w14:paraId="4489EAC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A011B1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0.015</w:t>
            </w:r>
          </w:p>
        </w:tc>
        <w:tc>
          <w:tcPr>
            <w:tcW w:w="0" w:type="auto"/>
            <w:tcBorders>
              <w:top w:val="nil"/>
              <w:left w:val="nil"/>
              <w:bottom w:val="nil"/>
              <w:right w:val="nil"/>
            </w:tcBorders>
            <w:vAlign w:val="center"/>
            <w:hideMark/>
          </w:tcPr>
          <w:p w14:paraId="1778A3FD"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
            </w:r>
          </w:p>
        </w:tc>
      </w:tr>
      <w:tr w:rsidR="009261C0" w:rsidRPr="00D1750F" w14:paraId="5378ED27" w14:textId="77777777" w:rsidTr="007E19D4">
        <w:tc>
          <w:tcPr>
            <w:tcW w:w="0" w:type="auto"/>
            <w:tcBorders>
              <w:top w:val="nil"/>
              <w:left w:val="nil"/>
              <w:bottom w:val="nil"/>
              <w:right w:val="nil"/>
            </w:tcBorders>
            <w:vAlign w:val="center"/>
            <w:hideMark/>
          </w:tcPr>
          <w:p w14:paraId="19B0B917"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w:t>
            </w:r>
          </w:p>
        </w:tc>
        <w:tc>
          <w:tcPr>
            <w:tcW w:w="0" w:type="auto"/>
            <w:tcBorders>
              <w:top w:val="nil"/>
              <w:left w:val="nil"/>
              <w:bottom w:val="nil"/>
              <w:right w:val="nil"/>
            </w:tcBorders>
            <w:vAlign w:val="center"/>
            <w:hideMark/>
          </w:tcPr>
          <w:p w14:paraId="2BB960FA"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1CA2473"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42E50A26"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7C31A6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1.853</w:t>
            </w:r>
          </w:p>
        </w:tc>
        <w:tc>
          <w:tcPr>
            <w:tcW w:w="0" w:type="auto"/>
            <w:tcBorders>
              <w:top w:val="nil"/>
              <w:left w:val="nil"/>
              <w:bottom w:val="nil"/>
              <w:right w:val="nil"/>
            </w:tcBorders>
            <w:vAlign w:val="center"/>
            <w:hideMark/>
          </w:tcPr>
          <w:p w14:paraId="42D83CD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7CA35ED1"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0.608</w:t>
            </w:r>
          </w:p>
        </w:tc>
        <w:tc>
          <w:tcPr>
            <w:tcW w:w="0" w:type="auto"/>
            <w:tcBorders>
              <w:top w:val="nil"/>
              <w:left w:val="nil"/>
              <w:bottom w:val="nil"/>
              <w:right w:val="nil"/>
            </w:tcBorders>
            <w:vAlign w:val="center"/>
            <w:hideMark/>
          </w:tcPr>
          <w:p w14:paraId="22798026"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A35EDF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3.047</w:t>
            </w:r>
          </w:p>
        </w:tc>
        <w:tc>
          <w:tcPr>
            <w:tcW w:w="0" w:type="auto"/>
            <w:tcBorders>
              <w:top w:val="nil"/>
              <w:left w:val="nil"/>
              <w:bottom w:val="nil"/>
              <w:right w:val="nil"/>
            </w:tcBorders>
            <w:vAlign w:val="center"/>
            <w:hideMark/>
          </w:tcPr>
          <w:p w14:paraId="71F73DD3"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350BB5B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0.042</w:t>
            </w:r>
          </w:p>
        </w:tc>
        <w:tc>
          <w:tcPr>
            <w:tcW w:w="0" w:type="auto"/>
            <w:tcBorders>
              <w:top w:val="nil"/>
              <w:left w:val="nil"/>
              <w:bottom w:val="nil"/>
              <w:right w:val="nil"/>
            </w:tcBorders>
            <w:vAlign w:val="center"/>
            <w:hideMark/>
          </w:tcPr>
          <w:p w14:paraId="1D474D9B"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
            </w:r>
          </w:p>
        </w:tc>
      </w:tr>
      <w:tr w:rsidR="009261C0" w:rsidRPr="00D1750F" w14:paraId="64025F2E" w14:textId="77777777" w:rsidTr="007E19D4">
        <w:tc>
          <w:tcPr>
            <w:tcW w:w="0" w:type="auto"/>
            <w:tcBorders>
              <w:top w:val="nil"/>
              <w:left w:val="nil"/>
              <w:bottom w:val="nil"/>
              <w:right w:val="nil"/>
            </w:tcBorders>
            <w:vAlign w:val="center"/>
            <w:hideMark/>
          </w:tcPr>
          <w:p w14:paraId="612ED3B2"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WT_GCN2iB</w:t>
            </w:r>
          </w:p>
        </w:tc>
        <w:tc>
          <w:tcPr>
            <w:tcW w:w="0" w:type="auto"/>
            <w:tcBorders>
              <w:top w:val="nil"/>
              <w:left w:val="nil"/>
              <w:bottom w:val="nil"/>
              <w:right w:val="nil"/>
            </w:tcBorders>
            <w:vAlign w:val="center"/>
            <w:hideMark/>
          </w:tcPr>
          <w:p w14:paraId="5C7C4E65"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27D866C3" w14:textId="77777777" w:rsidR="009261C0" w:rsidRPr="00D1750F" w:rsidRDefault="009261C0" w:rsidP="007E19D4">
            <w:pPr>
              <w:spacing w:after="0" w:line="240" w:lineRule="auto"/>
              <w:rPr>
                <w:rFonts w:ascii="Times New Roman" w:eastAsia="Times New Roman" w:hAnsi="Times New Roman" w:cs="Times New Roman"/>
                <w:lang w:eastAsia="es-ES"/>
              </w:rPr>
            </w:pPr>
            <w:proofErr w:type="spellStart"/>
            <w:r w:rsidRPr="00D1750F">
              <w:rPr>
                <w:rFonts w:ascii="Times New Roman" w:eastAsia="Times New Roman" w:hAnsi="Times New Roman" w:cs="Times New Roman"/>
                <w:lang w:eastAsia="es-ES"/>
              </w:rPr>
              <w:t>WT_Veh</w:t>
            </w:r>
            <w:proofErr w:type="spellEnd"/>
          </w:p>
        </w:tc>
        <w:tc>
          <w:tcPr>
            <w:tcW w:w="0" w:type="auto"/>
            <w:tcBorders>
              <w:top w:val="nil"/>
              <w:left w:val="nil"/>
              <w:bottom w:val="nil"/>
              <w:right w:val="nil"/>
            </w:tcBorders>
            <w:vAlign w:val="center"/>
            <w:hideMark/>
          </w:tcPr>
          <w:p w14:paraId="33EB1A29" w14:textId="77777777" w:rsidR="009261C0" w:rsidRPr="00D1750F" w:rsidRDefault="009261C0" w:rsidP="007E19D4">
            <w:pPr>
              <w:spacing w:after="0" w:line="240" w:lineRule="auto"/>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5D57702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-0.051</w:t>
            </w:r>
          </w:p>
        </w:tc>
        <w:tc>
          <w:tcPr>
            <w:tcW w:w="0" w:type="auto"/>
            <w:tcBorders>
              <w:top w:val="nil"/>
              <w:left w:val="nil"/>
              <w:bottom w:val="nil"/>
              <w:right w:val="nil"/>
            </w:tcBorders>
            <w:vAlign w:val="center"/>
            <w:hideMark/>
          </w:tcPr>
          <w:p w14:paraId="7E75AF0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03C78D5D"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0.608</w:t>
            </w:r>
          </w:p>
        </w:tc>
        <w:tc>
          <w:tcPr>
            <w:tcW w:w="0" w:type="auto"/>
            <w:tcBorders>
              <w:top w:val="nil"/>
              <w:left w:val="nil"/>
              <w:bottom w:val="nil"/>
              <w:right w:val="nil"/>
            </w:tcBorders>
            <w:vAlign w:val="center"/>
            <w:hideMark/>
          </w:tcPr>
          <w:p w14:paraId="1986CDBA"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38F2119"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-0.083</w:t>
            </w:r>
          </w:p>
        </w:tc>
        <w:tc>
          <w:tcPr>
            <w:tcW w:w="0" w:type="auto"/>
            <w:tcBorders>
              <w:top w:val="nil"/>
              <w:left w:val="nil"/>
              <w:bottom w:val="nil"/>
              <w:right w:val="nil"/>
            </w:tcBorders>
            <w:vAlign w:val="center"/>
            <w:hideMark/>
          </w:tcPr>
          <w:p w14:paraId="04F5B5B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c>
          <w:tcPr>
            <w:tcW w:w="0" w:type="auto"/>
            <w:tcBorders>
              <w:top w:val="nil"/>
              <w:left w:val="nil"/>
              <w:bottom w:val="nil"/>
              <w:right w:val="nil"/>
            </w:tcBorders>
            <w:vAlign w:val="center"/>
            <w:hideMark/>
          </w:tcPr>
          <w:p w14:paraId="61481992" w14:textId="77777777" w:rsidR="009261C0" w:rsidRPr="00D1750F" w:rsidRDefault="009261C0" w:rsidP="007E19D4">
            <w:pPr>
              <w:spacing w:after="0" w:line="240" w:lineRule="auto"/>
              <w:jc w:val="right"/>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1.000</w:t>
            </w:r>
          </w:p>
        </w:tc>
        <w:tc>
          <w:tcPr>
            <w:tcW w:w="0" w:type="auto"/>
            <w:tcBorders>
              <w:top w:val="nil"/>
              <w:left w:val="nil"/>
              <w:bottom w:val="nil"/>
              <w:right w:val="nil"/>
            </w:tcBorders>
            <w:vAlign w:val="center"/>
            <w:hideMark/>
          </w:tcPr>
          <w:p w14:paraId="2609E0D0" w14:textId="77777777" w:rsidR="009261C0" w:rsidRPr="00D1750F" w:rsidRDefault="009261C0" w:rsidP="007E19D4">
            <w:pPr>
              <w:spacing w:after="0" w:line="240" w:lineRule="auto"/>
              <w:jc w:val="right"/>
              <w:rPr>
                <w:rFonts w:ascii="Times New Roman" w:eastAsia="Times New Roman" w:hAnsi="Times New Roman" w:cs="Times New Roman"/>
                <w:lang w:eastAsia="es-ES"/>
              </w:rPr>
            </w:pPr>
          </w:p>
        </w:tc>
      </w:tr>
      <w:tr w:rsidR="009261C0" w:rsidRPr="00D1750F" w14:paraId="0A97E0D3" w14:textId="77777777" w:rsidTr="007E19D4">
        <w:tc>
          <w:tcPr>
            <w:tcW w:w="0" w:type="auto"/>
            <w:gridSpan w:val="12"/>
            <w:tcBorders>
              <w:top w:val="nil"/>
              <w:left w:val="nil"/>
              <w:bottom w:val="single" w:sz="12" w:space="0" w:color="000000"/>
              <w:right w:val="nil"/>
            </w:tcBorders>
            <w:vAlign w:val="center"/>
            <w:hideMark/>
          </w:tcPr>
          <w:p w14:paraId="4A0A5CD3" w14:textId="77777777" w:rsidR="009261C0" w:rsidRPr="00D1750F" w:rsidRDefault="009261C0" w:rsidP="007E19D4">
            <w:pPr>
              <w:spacing w:after="0" w:line="240" w:lineRule="auto"/>
              <w:rPr>
                <w:rFonts w:ascii="Times New Roman" w:eastAsia="Times New Roman" w:hAnsi="Times New Roman" w:cs="Times New Roman"/>
                <w:sz w:val="18"/>
                <w:szCs w:val="18"/>
                <w:lang w:eastAsia="es-ES"/>
              </w:rPr>
            </w:pPr>
          </w:p>
        </w:tc>
      </w:tr>
      <w:tr w:rsidR="009261C0" w:rsidRPr="00D1750F" w14:paraId="1F4FB52A" w14:textId="77777777" w:rsidTr="007E19D4">
        <w:tc>
          <w:tcPr>
            <w:tcW w:w="0" w:type="auto"/>
            <w:gridSpan w:val="12"/>
            <w:tcBorders>
              <w:top w:val="nil"/>
              <w:left w:val="nil"/>
              <w:bottom w:val="nil"/>
              <w:right w:val="nil"/>
            </w:tcBorders>
            <w:vAlign w:val="center"/>
            <w:hideMark/>
          </w:tcPr>
          <w:p w14:paraId="7F98ADC7"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lang w:eastAsia="es-ES"/>
              </w:rPr>
              <w:t> * p &lt; .05</w:t>
            </w:r>
          </w:p>
        </w:tc>
      </w:tr>
      <w:tr w:rsidR="009261C0" w:rsidRPr="00376408" w14:paraId="3D3B527C" w14:textId="77777777" w:rsidTr="007E19D4">
        <w:tc>
          <w:tcPr>
            <w:tcW w:w="0" w:type="auto"/>
            <w:gridSpan w:val="12"/>
            <w:tcBorders>
              <w:top w:val="nil"/>
              <w:left w:val="nil"/>
              <w:bottom w:val="nil"/>
              <w:right w:val="nil"/>
            </w:tcBorders>
            <w:vAlign w:val="center"/>
            <w:hideMark/>
          </w:tcPr>
          <w:p w14:paraId="4FE5C820"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i/>
                <w:iCs/>
                <w:lang w:eastAsia="es-ES"/>
              </w:rPr>
              <w:t>Note.</w:t>
            </w:r>
            <w:r w:rsidRPr="00D1750F">
              <w:rPr>
                <w:rFonts w:ascii="Times New Roman" w:eastAsia="Times New Roman" w:hAnsi="Times New Roman" w:cs="Times New Roman"/>
                <w:lang w:eastAsia="es-ES"/>
              </w:rPr>
              <w:t xml:space="preserve">  P-value adjusted for comparing a family of 6</w:t>
            </w:r>
          </w:p>
        </w:tc>
      </w:tr>
      <w:tr w:rsidR="009261C0" w:rsidRPr="00376408" w14:paraId="2CCBF0FC" w14:textId="77777777" w:rsidTr="007E19D4">
        <w:tc>
          <w:tcPr>
            <w:tcW w:w="0" w:type="auto"/>
            <w:gridSpan w:val="12"/>
            <w:tcBorders>
              <w:top w:val="nil"/>
              <w:left w:val="nil"/>
              <w:bottom w:val="nil"/>
              <w:right w:val="nil"/>
            </w:tcBorders>
            <w:vAlign w:val="center"/>
            <w:hideMark/>
          </w:tcPr>
          <w:p w14:paraId="27D8373D" w14:textId="77777777" w:rsidR="009261C0" w:rsidRPr="00D1750F" w:rsidRDefault="009261C0" w:rsidP="007E19D4">
            <w:pPr>
              <w:spacing w:after="0" w:line="240" w:lineRule="auto"/>
              <w:rPr>
                <w:rFonts w:ascii="Times New Roman" w:eastAsia="Times New Roman" w:hAnsi="Times New Roman" w:cs="Times New Roman"/>
                <w:lang w:eastAsia="es-ES"/>
              </w:rPr>
            </w:pPr>
            <w:r w:rsidRPr="00D1750F">
              <w:rPr>
                <w:rFonts w:ascii="Times New Roman" w:eastAsia="Times New Roman" w:hAnsi="Times New Roman" w:cs="Times New Roman"/>
                <w:i/>
                <w:iCs/>
                <w:lang w:eastAsia="es-ES"/>
              </w:rPr>
              <w:t>Note.</w:t>
            </w:r>
            <w:r w:rsidRPr="00D1750F">
              <w:rPr>
                <w:rFonts w:ascii="Times New Roman" w:eastAsia="Times New Roman" w:hAnsi="Times New Roman" w:cs="Times New Roman"/>
                <w:lang w:eastAsia="es-ES"/>
              </w:rPr>
              <w:t xml:space="preserve">  Results are averaged over the levels of: Weeks</w:t>
            </w:r>
          </w:p>
        </w:tc>
      </w:tr>
    </w:tbl>
    <w:p w14:paraId="26E8B483" w14:textId="77777777" w:rsidR="009261C0" w:rsidRPr="00D1750F" w:rsidRDefault="009261C0" w:rsidP="009261C0">
      <w:pPr>
        <w:spacing w:after="0" w:line="240" w:lineRule="auto"/>
        <w:rPr>
          <w:rFonts w:ascii="Times New Roman" w:eastAsia="Times New Roman" w:hAnsi="Times New Roman" w:cs="Times New Roman"/>
          <w:lang w:eastAsia="es-ES"/>
        </w:rPr>
      </w:pPr>
    </w:p>
    <w:p w14:paraId="4861CB93" w14:textId="7341FEF0" w:rsidR="009261C0" w:rsidRDefault="009261C0" w:rsidP="009261C0"/>
    <w:p w14:paraId="45DE2F27" w14:textId="77C3CFA5" w:rsidR="00F07375" w:rsidRDefault="00F07375" w:rsidP="009261C0"/>
    <w:p w14:paraId="2E01DD09" w14:textId="77777777" w:rsidR="00F07375" w:rsidRDefault="00F07375" w:rsidP="009261C0"/>
    <w:p w14:paraId="1BA666CE" w14:textId="513BDDD2" w:rsidR="00F07375" w:rsidRDefault="00F07375" w:rsidP="00F07375">
      <w:pPr>
        <w:pStyle w:val="Heading2"/>
        <w:rPr>
          <w:sz w:val="36"/>
          <w:szCs w:val="36"/>
        </w:rPr>
      </w:pPr>
      <w:r w:rsidRPr="002829B0">
        <w:rPr>
          <w:sz w:val="36"/>
          <w:szCs w:val="36"/>
        </w:rPr>
        <w:t>Supplementary Statistical Analysis Figure 1</w:t>
      </w:r>
      <w:r>
        <w:rPr>
          <w:sz w:val="36"/>
          <w:szCs w:val="36"/>
        </w:rPr>
        <w:t>k-m</w:t>
      </w:r>
    </w:p>
    <w:p w14:paraId="191D7F39" w14:textId="77777777" w:rsidR="00F07375" w:rsidRPr="00922C13" w:rsidRDefault="00F07375" w:rsidP="009261C0"/>
    <w:p w14:paraId="5C4100A5" w14:textId="77777777" w:rsidR="00F07375" w:rsidRPr="00F07375" w:rsidRDefault="00F07375" w:rsidP="00F07375">
      <w:pPr>
        <w:ind w:right="-1"/>
        <w:jc w:val="both"/>
        <w:rPr>
          <w:rFonts w:ascii="Times New Roman" w:hAnsi="Times New Roman" w:cs="Times New Roman"/>
        </w:rPr>
      </w:pPr>
      <w:r w:rsidRPr="00F07375">
        <w:rPr>
          <w:rFonts w:ascii="Times New Roman" w:hAnsi="Times New Roman" w:cs="Times New Roman"/>
          <w:b/>
          <w:bCs/>
        </w:rPr>
        <w:t>k.</w:t>
      </w:r>
      <w:r w:rsidRPr="00F07375">
        <w:rPr>
          <w:rFonts w:ascii="Times New Roman" w:hAnsi="Times New Roman" w:cs="Times New Roman"/>
        </w:rPr>
        <w:t xml:space="preserve"> Time (F</w:t>
      </w:r>
      <w:r w:rsidRPr="00F07375">
        <w:rPr>
          <w:rFonts w:ascii="Times New Roman" w:hAnsi="Times New Roman" w:cs="Times New Roman"/>
          <w:vertAlign w:val="subscript"/>
        </w:rPr>
        <w:t>10, 180</w:t>
      </w:r>
      <w:r w:rsidRPr="00F07375">
        <w:rPr>
          <w:rFonts w:ascii="Times New Roman" w:hAnsi="Times New Roman" w:cs="Times New Roman"/>
        </w:rPr>
        <w:t xml:space="preserve"> = 35.92, p&lt;0.001), Condition (F</w:t>
      </w:r>
      <w:r w:rsidRPr="00F07375">
        <w:rPr>
          <w:rFonts w:ascii="Times New Roman" w:hAnsi="Times New Roman" w:cs="Times New Roman"/>
          <w:vertAlign w:val="subscript"/>
        </w:rPr>
        <w:t xml:space="preserve">3, 18 </w:t>
      </w:r>
      <w:r w:rsidRPr="00F07375">
        <w:rPr>
          <w:rFonts w:ascii="Times New Roman" w:hAnsi="Times New Roman" w:cs="Times New Roman"/>
        </w:rPr>
        <w:t>= 34.51, p&lt;0.001), Time x Condition Interaction F</w:t>
      </w:r>
      <w:r w:rsidRPr="00F07375">
        <w:rPr>
          <w:rFonts w:ascii="Times New Roman" w:hAnsi="Times New Roman" w:cs="Times New Roman"/>
          <w:vertAlign w:val="subscript"/>
        </w:rPr>
        <w:t>30, 180</w:t>
      </w:r>
      <w:r w:rsidRPr="00F07375">
        <w:rPr>
          <w:rFonts w:ascii="Times New Roman" w:hAnsi="Times New Roman" w:cs="Times New Roman"/>
        </w:rPr>
        <w:t xml:space="preserve">= 14.46, p&lt;0.001). </w:t>
      </w:r>
      <w:r w:rsidRPr="00F07375">
        <w:rPr>
          <w:rFonts w:ascii="Times New Roman" w:hAnsi="Times New Roman" w:cs="Times New Roman"/>
          <w:b/>
          <w:bCs/>
        </w:rPr>
        <w:t>l.</w:t>
      </w:r>
      <w:r w:rsidRPr="00F07375">
        <w:rPr>
          <w:rFonts w:ascii="Times New Roman" w:hAnsi="Times New Roman" w:cs="Times New Roman"/>
        </w:rPr>
        <w:t xml:space="preserve"> Time (F</w:t>
      </w:r>
      <w:r w:rsidRPr="00F07375">
        <w:rPr>
          <w:rFonts w:ascii="Times New Roman" w:hAnsi="Times New Roman" w:cs="Times New Roman"/>
          <w:vertAlign w:val="subscript"/>
        </w:rPr>
        <w:t>4, 52</w:t>
      </w:r>
      <w:r w:rsidRPr="00F07375">
        <w:rPr>
          <w:rFonts w:ascii="Times New Roman" w:hAnsi="Times New Roman" w:cs="Times New Roman"/>
        </w:rPr>
        <w:t xml:space="preserve"> = 7.377, p&lt;0.001), Time x Condition interaction (F</w:t>
      </w:r>
      <w:r w:rsidRPr="00F07375">
        <w:rPr>
          <w:rFonts w:ascii="Times New Roman" w:hAnsi="Times New Roman" w:cs="Times New Roman"/>
          <w:vertAlign w:val="subscript"/>
        </w:rPr>
        <w:t>8, 52</w:t>
      </w:r>
      <w:r w:rsidRPr="00F07375">
        <w:rPr>
          <w:rFonts w:ascii="Times New Roman" w:hAnsi="Times New Roman" w:cs="Times New Roman"/>
        </w:rPr>
        <w:t xml:space="preserve"> = 2.521, p&lt; 0.05). Differences apply to 16 weeks in comparison to </w:t>
      </w:r>
      <w:proofErr w:type="spellStart"/>
      <w:r w:rsidRPr="00F07375">
        <w:rPr>
          <w:rFonts w:ascii="Times New Roman" w:hAnsi="Times New Roman" w:cs="Times New Roman"/>
        </w:rPr>
        <w:t>WT+veh</w:t>
      </w:r>
      <w:proofErr w:type="spellEnd"/>
      <w:r w:rsidRPr="00F07375">
        <w:rPr>
          <w:rFonts w:ascii="Times New Roman" w:hAnsi="Times New Roman" w:cs="Times New Roman"/>
        </w:rPr>
        <w:t xml:space="preserve">. </w:t>
      </w:r>
      <w:r w:rsidRPr="00F07375">
        <w:rPr>
          <w:rFonts w:ascii="Times New Roman" w:hAnsi="Times New Roman" w:cs="Times New Roman"/>
          <w:b/>
          <w:bCs/>
        </w:rPr>
        <w:t>m.</w:t>
      </w:r>
      <w:r w:rsidRPr="00F07375">
        <w:rPr>
          <w:rFonts w:ascii="Times New Roman" w:hAnsi="Times New Roman" w:cs="Times New Roman"/>
        </w:rPr>
        <w:t xml:space="preserve"> Time (F</w:t>
      </w:r>
      <w:r w:rsidRPr="00F07375">
        <w:rPr>
          <w:rFonts w:ascii="Times New Roman" w:hAnsi="Times New Roman" w:cs="Times New Roman"/>
          <w:vertAlign w:val="subscript"/>
        </w:rPr>
        <w:t>10, 180</w:t>
      </w:r>
      <w:r w:rsidRPr="00F07375">
        <w:rPr>
          <w:rFonts w:ascii="Times New Roman" w:hAnsi="Times New Roman" w:cs="Times New Roman"/>
        </w:rPr>
        <w:t xml:space="preserve"> = 79.71, p&lt;0.001), Time x Condition interaction (F</w:t>
      </w:r>
      <w:r w:rsidRPr="00F07375">
        <w:rPr>
          <w:rFonts w:ascii="Times New Roman" w:hAnsi="Times New Roman" w:cs="Times New Roman"/>
          <w:vertAlign w:val="subscript"/>
        </w:rPr>
        <w:t>30, 180</w:t>
      </w:r>
      <w:r w:rsidRPr="00F07375">
        <w:rPr>
          <w:rFonts w:ascii="Times New Roman" w:hAnsi="Times New Roman" w:cs="Times New Roman"/>
        </w:rPr>
        <w:t xml:space="preserve"> = 4.264, p&lt;0.001). </w:t>
      </w:r>
    </w:p>
    <w:p w14:paraId="44C29188" w14:textId="77777777" w:rsidR="00F07375" w:rsidRPr="00F07375" w:rsidRDefault="00F07375" w:rsidP="00F07375">
      <w:pPr>
        <w:rPr>
          <w:rFonts w:ascii="Times New Roman" w:hAnsi="Times New Roman" w:cs="Times New Roman"/>
        </w:rPr>
      </w:pPr>
    </w:p>
    <w:p w14:paraId="6279CF32" w14:textId="29E369BB" w:rsidR="00F07375" w:rsidRDefault="00F07375"/>
    <w:p w14:paraId="145BECA6" w14:textId="5B6819D2" w:rsidR="00F07375" w:rsidRDefault="00F07375"/>
    <w:p w14:paraId="43B37C1C" w14:textId="0D1364B9" w:rsidR="00F07375" w:rsidRDefault="00F07375"/>
    <w:p w14:paraId="3C0BC2DB" w14:textId="485ECE5B" w:rsidR="00F07375" w:rsidRDefault="00F07375"/>
    <w:p w14:paraId="781F64F4" w14:textId="76880116" w:rsidR="00F07375" w:rsidRDefault="00F07375"/>
    <w:p w14:paraId="5A9EAA9E" w14:textId="609DD7D3" w:rsidR="00F07375" w:rsidRDefault="00F07375"/>
    <w:p w14:paraId="226DB0DE" w14:textId="063FD981" w:rsidR="00F07375" w:rsidRDefault="00F07375"/>
    <w:p w14:paraId="5A87E488" w14:textId="49006DA9" w:rsidR="00F07375" w:rsidRDefault="00F07375"/>
    <w:p w14:paraId="307BB53A" w14:textId="54D8181F" w:rsidR="00F07375" w:rsidRDefault="00F07375"/>
    <w:p w14:paraId="01225108" w14:textId="28018398" w:rsidR="00F07375" w:rsidRDefault="00F07375"/>
    <w:p w14:paraId="5D221CA2" w14:textId="5CB5423D" w:rsidR="00F07375" w:rsidRDefault="00F07375"/>
    <w:p w14:paraId="30BAF6A7" w14:textId="77777777" w:rsidR="00F07375" w:rsidRDefault="00F07375"/>
    <w:p w14:paraId="29F5C865" w14:textId="63500F81" w:rsidR="007E19D4" w:rsidRPr="002829B0" w:rsidRDefault="007E19D4" w:rsidP="002829B0">
      <w:pPr>
        <w:pStyle w:val="Heading2"/>
        <w:rPr>
          <w:sz w:val="36"/>
          <w:szCs w:val="36"/>
        </w:rPr>
      </w:pPr>
      <w:bookmarkStart w:id="1" w:name="_Hlk161824596"/>
      <w:r w:rsidRPr="002829B0">
        <w:rPr>
          <w:sz w:val="36"/>
          <w:szCs w:val="36"/>
        </w:rPr>
        <w:lastRenderedPageBreak/>
        <w:t>Materials and Methods</w:t>
      </w:r>
    </w:p>
    <w:p w14:paraId="55159AF0" w14:textId="77777777" w:rsidR="007E19D4" w:rsidRPr="008948E8" w:rsidRDefault="007E19D4" w:rsidP="007E19D4">
      <w:pPr>
        <w:pStyle w:val="Heading3"/>
      </w:pPr>
      <w:r w:rsidRPr="008948E8">
        <w:t>Animals</w:t>
      </w:r>
    </w:p>
    <w:p w14:paraId="38E5D7A2" w14:textId="012536BE" w:rsidR="007E19D4" w:rsidRDefault="007E19D4" w:rsidP="007E19D4">
      <w:pPr>
        <w:spacing w:line="360" w:lineRule="auto"/>
        <w:jc w:val="both"/>
      </w:pPr>
      <w:r>
        <w:t>Wild-type (WT) (C57BL/6J, strain #000664) and transgenic (G93A) (B6.Cg-Tg (SOD1*G93A) 1Gur/J, strain #004435) mice (carrying the human mutant SOD1G93A transgene</w:t>
      </w:r>
      <w:r w:rsidR="009A5F6C">
        <w:t xml:space="preserve"> </w:t>
      </w:r>
      <w:sdt>
        <w:sdtPr>
          <w:rPr>
            <w:color w:val="000000"/>
          </w:rPr>
          <w:tag w:val="MENDELEY_CITATION_v3_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"/>
          <w:id w:val="705214146"/>
          <w:placeholder>
            <w:docPart w:val="DefaultPlaceholder_-1854013440"/>
          </w:placeholder>
        </w:sdtPr>
        <w:sdtEndPr/>
        <w:sdtContent>
          <w:r w:rsidR="009A5F6C" w:rsidRPr="009A5F6C">
            <w:rPr>
              <w:color w:val="000000"/>
            </w:rPr>
            <w:t>[1]</w:t>
          </w:r>
        </w:sdtContent>
      </w:sdt>
      <w:r w:rsidR="009A5F6C">
        <w:t>)</w:t>
      </w:r>
      <w:r>
        <w:t xml:space="preserve">were acquired from Jackson Laboratory (ME, USA). G93A mice were crossed with WT females at pathogen-free CIMA facilities as previously described </w:t>
      </w:r>
      <w:sdt>
        <w:sdtPr>
          <w:rPr>
            <w:color w:val="000000"/>
          </w:rPr>
          <w:tag w:val="MENDELEY_CITATION_v3_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"/>
          <w:id w:val="-1348482150"/>
          <w:placeholder>
            <w:docPart w:val="768109C7266D48CE904B2C12C0318B48"/>
          </w:placeholder>
        </w:sdtPr>
        <w:sdtEndPr/>
        <w:sdtContent>
          <w:r w:rsidR="009A5F6C" w:rsidRPr="009A5F6C">
            <w:rPr>
              <w:color w:val="000000"/>
            </w:rPr>
            <w:t>[2]</w:t>
          </w:r>
        </w:sdtContent>
      </w:sdt>
      <w:r>
        <w:t>. Cages were at 21  °C in a humidity-controlled environment on a 12-hour light/dark cycle with wood shavings and sterile paper tissue. Transgenic mice were identified by PCR analysis using primers and following cycling protocols recommended by Jackson Laboratory (</w:t>
      </w:r>
      <w:r w:rsidRPr="009F4D24">
        <w:t>https://www.jax.org/strain/004435</w:t>
      </w:r>
      <w:r>
        <w:t>). GCN2ib was administrated intraperitoneally at a dose of 10 mg.kg</w:t>
      </w:r>
      <w:r>
        <w:rPr>
          <w:vertAlign w:val="superscript"/>
        </w:rPr>
        <w:t>-1</w:t>
      </w:r>
      <w:r>
        <w:t xml:space="preserve"> twice daily from week 6. </w:t>
      </w:r>
    </w:p>
    <w:p w14:paraId="648E31A6" w14:textId="77777777" w:rsidR="007E19D4" w:rsidRPr="00134174" w:rsidRDefault="007E19D4" w:rsidP="007E19D4">
      <w:pPr>
        <w:pStyle w:val="Heading3"/>
      </w:pPr>
      <w:r w:rsidRPr="00134174">
        <w:t>Mouse behavioral tests</w:t>
      </w:r>
    </w:p>
    <w:p w14:paraId="3E13984D" w14:textId="48EDE7DA" w:rsidR="007E19D4" w:rsidRPr="00262CCB" w:rsidRDefault="007E19D4" w:rsidP="007E19D4">
      <w:pPr>
        <w:spacing w:line="360" w:lineRule="auto"/>
        <w:jc w:val="both"/>
      </w:pPr>
      <w:r>
        <w:t xml:space="preserve">Mouse motor phenotype was evaluated with the hanging wire test as described elsewhere </w:t>
      </w:r>
      <w:sdt>
        <w:sdtPr>
          <w:rPr>
            <w:color w:val="000000"/>
          </w:rPr>
          <w:tag w:val="MENDELEY_CITATION_v3_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"/>
          <w:id w:val="-770475326"/>
          <w:placeholder>
            <w:docPart w:val="768109C7266D48CE904B2C12C0318B48"/>
          </w:placeholder>
        </w:sdtPr>
        <w:sdtEndPr/>
        <w:sdtContent>
          <w:r w:rsidR="009A5F6C" w:rsidRPr="009A5F6C">
            <w:rPr>
              <w:color w:val="000000"/>
            </w:rPr>
            <w:t>[2]</w:t>
          </w:r>
        </w:sdtContent>
      </w:sdt>
      <w:r>
        <w:t>. Additionally, an 8-point scale clinical score; from 8 (n</w:t>
      </w:r>
      <w:r w:rsidRPr="0088031C">
        <w:t>ormal functions, no sign of disease onset</w:t>
      </w:r>
      <w:r>
        <w:t xml:space="preserve">) to 0 (unable </w:t>
      </w:r>
      <w:r w:rsidRPr="0088031C">
        <w:t>to right itself within 30 s</w:t>
      </w:r>
      <w:r>
        <w:t>econds)</w:t>
      </w:r>
      <w:r w:rsidRPr="0088031C">
        <w:t xml:space="preserve"> </w:t>
      </w:r>
      <w:sdt>
        <w:sdtPr>
          <w:rPr>
            <w:rFonts w:cstheme="minorHAnsi"/>
            <w:color w:val="000000"/>
          </w:rPr>
          <w:tag w:val="MENDELEY_CITATION_v3_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"/>
          <w:id w:val="-1751881948"/>
          <w:placeholder>
            <w:docPart w:val="91C5DD49E736477C9C7A7074A6C847AE"/>
          </w:placeholder>
        </w:sdtPr>
        <w:sdtEndPr/>
        <w:sdtContent>
          <w:r w:rsidR="009A5F6C" w:rsidRPr="009A5F6C">
            <w:rPr>
              <w:rFonts w:cstheme="minorHAnsi"/>
              <w:color w:val="000000"/>
            </w:rPr>
            <w:t>[3]</w:t>
          </w:r>
        </w:sdtContent>
      </w:sdt>
      <w:r>
        <w:t xml:space="preserve"> was used to monitor disease </w:t>
      </w:r>
      <w:r w:rsidRPr="00262CCB">
        <w:t>progression</w:t>
      </w:r>
      <w:r>
        <w:rPr>
          <w:rFonts w:cstheme="minorHAnsi"/>
        </w:rPr>
        <w:t>.</w:t>
      </w:r>
    </w:p>
    <w:p w14:paraId="10C6AA80" w14:textId="77777777" w:rsidR="007E19D4" w:rsidRPr="002A6F4F" w:rsidRDefault="007E19D4" w:rsidP="007E19D4">
      <w:pPr>
        <w:pStyle w:val="Heading3"/>
        <w:rPr>
          <w:color w:val="FF0000"/>
        </w:rPr>
      </w:pPr>
      <w:r w:rsidRPr="00246B46">
        <w:t xml:space="preserve">Electromyography recording and analysis (EMGs) </w:t>
      </w:r>
    </w:p>
    <w:p w14:paraId="3087B2E3" w14:textId="77777777" w:rsidR="007E19D4" w:rsidRPr="00246B46" w:rsidRDefault="007E19D4" w:rsidP="007E19D4">
      <w:pPr>
        <w:spacing w:line="360" w:lineRule="auto"/>
        <w:jc w:val="both"/>
      </w:pPr>
      <w:r w:rsidRPr="00246B46">
        <w:t>Longitudinal spontaneous electromyographic (EMG) activity was assessed by recording muscle activity in f</w:t>
      </w:r>
      <w:r>
        <w:t>ive</w:t>
      </w:r>
      <w:r w:rsidRPr="00246B46">
        <w:t xml:space="preserve"> different sessions at 8, 10, 12, 14</w:t>
      </w:r>
      <w:r>
        <w:t>,</w:t>
      </w:r>
      <w:r w:rsidRPr="00246B46">
        <w:t xml:space="preserve"> and 16 weeks. The EMG signal was amplified 10000 times and passed through a </w:t>
      </w:r>
      <w:r>
        <w:t>bandpass</w:t>
      </w:r>
      <w:r w:rsidRPr="00246B46">
        <w:t xml:space="preserve"> filter with low and high cut-off frequency settings of 10 and 1000 Hz, respectively (DAM70 differential amplifier, WPI). Amplified signal was digitized with a Power 1401, 625 </w:t>
      </w:r>
      <w:r>
        <w:t>k</w:t>
      </w:r>
      <w:r w:rsidRPr="00246B46">
        <w:t xml:space="preserve">Hz, 16-bit ADC (Cambridge Electronic Design) converter under the control of Spike2 software that also served to store and review the data. After that, 15 s length segments of recording per side and muscle were selected and analyzed using custom-made scripts developed under </w:t>
      </w:r>
      <w:proofErr w:type="spellStart"/>
      <w:r w:rsidRPr="00246B46">
        <w:t>Matlab</w:t>
      </w:r>
      <w:proofErr w:type="spellEnd"/>
      <w:r w:rsidRPr="00246B46">
        <w:t xml:space="preserve">.  EMG activations from recordings were detected by thresholding the signal at 4.5 times the 95 </w:t>
      </w:r>
      <w:proofErr w:type="gramStart"/>
      <w:r w:rsidRPr="00246B46">
        <w:t>quantile</w:t>
      </w:r>
      <w:proofErr w:type="gramEnd"/>
      <w:r w:rsidRPr="00246B46">
        <w:t xml:space="preserve"> of the EMG activity recorded from WT animals (to assess the robustness of this approach, several thresholds were investigated showing no effect; data not shown). The number of activations per second was used to assess the amount of spontaneous EMG activity in the animals as a marker of the neurodegenerative process.</w:t>
      </w:r>
    </w:p>
    <w:p w14:paraId="60E685C1" w14:textId="77777777" w:rsidR="007E19D4" w:rsidRPr="00134174" w:rsidRDefault="007E19D4" w:rsidP="007E19D4">
      <w:pPr>
        <w:pStyle w:val="Heading3"/>
      </w:pPr>
      <w:r w:rsidRPr="00134174">
        <w:t>Tissue processing</w:t>
      </w:r>
      <w:r>
        <w:t xml:space="preserve"> and </w:t>
      </w:r>
      <w:r w:rsidRPr="00134174">
        <w:t>Immunohistochemistry</w:t>
      </w:r>
    </w:p>
    <w:p w14:paraId="06A62E69" w14:textId="5DE3026C" w:rsidR="007E19D4" w:rsidRPr="00097E81" w:rsidRDefault="007E19D4" w:rsidP="007E19D4">
      <w:pPr>
        <w:spacing w:line="360" w:lineRule="auto"/>
        <w:jc w:val="both"/>
      </w:pPr>
      <w:r>
        <w:t xml:space="preserve">Mice were transcardially perfused and the spinal cord was extracted and processed following Marlin et al. protocols </w:t>
      </w:r>
      <w:sdt>
        <w:sdtPr>
          <w:rPr>
            <w:color w:val="000000"/>
          </w:rPr>
          <w:tag w:val="MENDELEY_CITATION_v3_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"/>
          <w:id w:val="1169376128"/>
          <w:placeholder>
            <w:docPart w:val="768109C7266D48CE904B2C12C0318B48"/>
          </w:placeholder>
        </w:sdtPr>
        <w:sdtEndPr/>
        <w:sdtContent>
          <w:r w:rsidR="009A5F6C" w:rsidRPr="009A5F6C">
            <w:rPr>
              <w:color w:val="000000"/>
            </w:rPr>
            <w:t>[2]</w:t>
          </w:r>
        </w:sdtContent>
      </w:sdt>
      <w:r>
        <w:t xml:space="preserve">. For immunohistochemistry experiments spinal cord sections were first tempered for 1-2 hours at room temperature (RT). </w:t>
      </w:r>
      <w:r w:rsidRPr="006A07FB">
        <w:t>After three washes with PBS at pH 7.4 (5 min</w:t>
      </w:r>
      <w:r>
        <w:t>utes</w:t>
      </w:r>
      <w:r w:rsidRPr="006A07FB">
        <w:t xml:space="preserve"> each), </w:t>
      </w:r>
      <w:r>
        <w:t>antigen retrieval</w:t>
      </w:r>
      <w:r w:rsidRPr="006A07FB">
        <w:t xml:space="preserve"> was performed.  First</w:t>
      </w:r>
      <w:r>
        <w:t xml:space="preserve">, </w:t>
      </w:r>
      <w:r w:rsidRPr="006A07FB">
        <w:t xml:space="preserve">sections were covered with 0.1 M citrate buffer pH 6.0 (citric acid (Ref: 25.127-5, Sigma-Aldrich) and sodium citrate tribasic </w:t>
      </w:r>
      <w:r w:rsidRPr="006A07FB">
        <w:lastRenderedPageBreak/>
        <w:t>dihydrate (C6H5Na3O7.2H2O) (Ref: S-4641, Sigma) for 10 min</w:t>
      </w:r>
      <w:r>
        <w:t>utes</w:t>
      </w:r>
      <w:r w:rsidRPr="006A07FB">
        <w:t xml:space="preserve"> at RT. Then</w:t>
      </w:r>
      <w:r>
        <w:t>, sections were placed into previously heated (at 90 °C)</w:t>
      </w:r>
      <w:r w:rsidRPr="00227086">
        <w:t xml:space="preserve"> </w:t>
      </w:r>
      <w:proofErr w:type="spellStart"/>
      <w:r>
        <w:t>Coplin</w:t>
      </w:r>
      <w:proofErr w:type="spellEnd"/>
      <w:r>
        <w:t xml:space="preserve"> jars with </w:t>
      </w:r>
      <w:r w:rsidRPr="00227086">
        <w:t>0.1M</w:t>
      </w:r>
      <w:r>
        <w:t xml:space="preserve"> citrate buffer </w:t>
      </w:r>
      <w:r w:rsidRPr="00227086">
        <w:t>pH 6.0</w:t>
      </w:r>
      <w:r>
        <w:t xml:space="preserve">, that were introduced into a 97 °C bath for 30 minutes. After this step, the </w:t>
      </w:r>
      <w:proofErr w:type="spellStart"/>
      <w:r>
        <w:t>Coplin</w:t>
      </w:r>
      <w:proofErr w:type="spellEnd"/>
      <w:r>
        <w:t xml:space="preserve"> jar was tempered (30 minutes) at RT. After three washes with PBS, endogenous peroxidases were inactivated by incubating sections with methanol (</w:t>
      </w:r>
      <w:proofErr w:type="spellStart"/>
      <w:r>
        <w:t>PanReac</w:t>
      </w:r>
      <w:proofErr w:type="spellEnd"/>
      <w:r>
        <w:t>, AppliChem, Barcelona, Spain) and hydrogen peroxide (H</w:t>
      </w:r>
      <w:r w:rsidRPr="0088031C">
        <w:rPr>
          <w:vertAlign w:val="subscript"/>
        </w:rPr>
        <w:t>2</w:t>
      </w:r>
      <w:r>
        <w:t>O</w:t>
      </w:r>
      <w:r w:rsidRPr="0088031C">
        <w:rPr>
          <w:vertAlign w:val="subscript"/>
        </w:rPr>
        <w:t>2</w:t>
      </w:r>
      <w:r>
        <w:t>) (Sigma-Aldrich) solution (91.18% methanol and 2.74% H</w:t>
      </w:r>
      <w:r w:rsidRPr="0088031C">
        <w:rPr>
          <w:vertAlign w:val="subscript"/>
        </w:rPr>
        <w:t>2</w:t>
      </w:r>
      <w:r>
        <w:t>O</w:t>
      </w:r>
      <w:r w:rsidRPr="0088031C">
        <w:rPr>
          <w:vertAlign w:val="subscript"/>
        </w:rPr>
        <w:t>2</w:t>
      </w:r>
      <w:r>
        <w:t xml:space="preserve"> in sterile water, stored at 4 °C) for 30 minutes. Three additional PBS washes were performed next. A box enclosing all spinal cord sections in the slides was done with a wax pencil (Liquid Blocker Super Pap Pen) (Electron Microscopy Sciences, USA). Sections in the box were first incubated with blocking solution (4% Normal Goat Serum (NGS) (Jackson </w:t>
      </w:r>
      <w:proofErr w:type="spellStart"/>
      <w:r>
        <w:t>ImmunoResearch</w:t>
      </w:r>
      <w:proofErr w:type="spellEnd"/>
      <w:r>
        <w:t xml:space="preserve">), 0.05% Triton X-100, and 4% Bovine Serum Albumin (BSA) (Sigma-Aldrich) in PBS) for 40 minutes and next, with </w:t>
      </w:r>
      <w:r w:rsidRPr="00593A79">
        <w:t xml:space="preserve">primary antibodies (Table 3) diluted </w:t>
      </w:r>
      <w:r>
        <w:t xml:space="preserve">in blocking solution (in a humid chamber during 72 hours at 4 °C). After this incubation, samples were tempered for 1h at RT and washed thrice with PBS. Then, samples were incubated with secondary biotinylated </w:t>
      </w:r>
      <w:r w:rsidRPr="00593A79">
        <w:t xml:space="preserve">antibodies (Table 3) in blocking </w:t>
      </w:r>
      <w:r>
        <w:t>solution for 90 minutes at RT. After three washes with PBS, samples were incubated with Streptavidin (HRP, Ab7403, Abcam) (1:5000 in PBS) for 90 minutes. Samples were then washed thrice with PBS and incubated with 0.05% diaminobenzidine (Sigma-Aldrich), 0.03% H</w:t>
      </w:r>
      <w:r w:rsidRPr="0088031C">
        <w:rPr>
          <w:vertAlign w:val="subscript"/>
        </w:rPr>
        <w:t>2</w:t>
      </w:r>
      <w:r>
        <w:t>O</w:t>
      </w:r>
      <w:r w:rsidRPr="0088031C">
        <w:rPr>
          <w:vertAlign w:val="subscript"/>
        </w:rPr>
        <w:t>2</w:t>
      </w:r>
      <w:r>
        <w:t xml:space="preserve"> and Tris buffer 0.05 M in PBS pH 7.6. After three final PBS washes, sections were dried overnight and dehydrated in toluene (</w:t>
      </w:r>
      <w:proofErr w:type="spellStart"/>
      <w:r>
        <w:t>Scharlab</w:t>
      </w:r>
      <w:proofErr w:type="spellEnd"/>
      <w:r>
        <w:t xml:space="preserve">, Spain) for 12 minutes. Finally, sections were covered with </w:t>
      </w:r>
      <w:r w:rsidRPr="006A07FB">
        <w:t>DPX mounting medium fast</w:t>
      </w:r>
      <w:r>
        <w:t xml:space="preserve"> (</w:t>
      </w:r>
      <w:proofErr w:type="spellStart"/>
      <w:r>
        <w:t>PanReac</w:t>
      </w:r>
      <w:proofErr w:type="spellEnd"/>
      <w:r>
        <w:t>, AppliChem).</w:t>
      </w:r>
    </w:p>
    <w:p w14:paraId="304F17D6" w14:textId="77777777" w:rsidR="007E19D4" w:rsidRPr="00D26897" w:rsidRDefault="007E19D4" w:rsidP="007E19D4">
      <w:pPr>
        <w:pStyle w:val="Heading3"/>
      </w:pPr>
      <w:r>
        <w:t>Plasmids</w:t>
      </w:r>
    </w:p>
    <w:p w14:paraId="65522E3A" w14:textId="2671126C" w:rsidR="007E19D4" w:rsidRDefault="007E19D4" w:rsidP="007E19D4">
      <w:pPr>
        <w:spacing w:line="360" w:lineRule="auto"/>
        <w:jc w:val="both"/>
        <w:rPr>
          <w:color w:val="000000"/>
        </w:rPr>
      </w:pPr>
      <w:r w:rsidRPr="00D26897">
        <w:t>pCAGGS-SOD1</w:t>
      </w:r>
      <w:r>
        <w:t xml:space="preserve"> (WT and mutants </w:t>
      </w:r>
      <w:r w:rsidRPr="00D26897">
        <w:t>G85R</w:t>
      </w:r>
      <w:r>
        <w:t xml:space="preserve">, </w:t>
      </w:r>
      <w:r w:rsidRPr="00D26897">
        <w:t>G93A</w:t>
      </w:r>
      <w:r>
        <w:t>)</w:t>
      </w:r>
      <w:r w:rsidRPr="00D26897">
        <w:t xml:space="preserve"> </w:t>
      </w:r>
      <w:proofErr w:type="spellStart"/>
      <w:r>
        <w:t>mCherry</w:t>
      </w:r>
      <w:proofErr w:type="spellEnd"/>
      <w:r>
        <w:t xml:space="preserve"> (Ch)-tagged and untagged versions were already described </w:t>
      </w:r>
      <w:sdt>
        <w:sdtPr>
          <w:rPr>
            <w:color w:val="000000"/>
          </w:rPr>
          <w:tag w:val="MENDELEY_CITATION_v3_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"/>
          <w:id w:val="924842757"/>
          <w:placeholder>
            <w:docPart w:val="768109C7266D48CE904B2C12C0318B48"/>
          </w:placeholder>
        </w:sdtPr>
        <w:sdtEndPr/>
        <w:sdtContent>
          <w:r w:rsidR="009A5F6C" w:rsidRPr="009A5F6C">
            <w:rPr>
              <w:color w:val="000000"/>
            </w:rPr>
            <w:t>[4]</w:t>
          </w:r>
        </w:sdtContent>
      </w:sdt>
      <w:r>
        <w:rPr>
          <w:color w:val="000000"/>
        </w:rPr>
        <w:t xml:space="preserve">. </w:t>
      </w:r>
    </w:p>
    <w:p w14:paraId="1CC45DD6" w14:textId="77777777" w:rsidR="007E19D4" w:rsidRDefault="007E19D4" w:rsidP="007E19D4">
      <w:pPr>
        <w:spacing w:line="360" w:lineRule="auto"/>
        <w:jc w:val="both"/>
        <w:rPr>
          <w:color w:val="000000"/>
        </w:rPr>
      </w:pPr>
      <w:r>
        <w:rPr>
          <w:color w:val="000000"/>
        </w:rPr>
        <w:t xml:space="preserve">Generation of </w:t>
      </w:r>
      <w:r w:rsidRPr="00CE59ED">
        <w:rPr>
          <w:color w:val="000000"/>
        </w:rPr>
        <w:t xml:space="preserve">CRISPR-SpCas9 </w:t>
      </w:r>
      <w:r>
        <w:rPr>
          <w:color w:val="000000"/>
        </w:rPr>
        <w:t>p</w:t>
      </w:r>
      <w:r w:rsidRPr="00CE59ED">
        <w:rPr>
          <w:color w:val="000000"/>
        </w:rPr>
        <w:t xml:space="preserve">lasmids </w:t>
      </w:r>
      <w:r>
        <w:rPr>
          <w:color w:val="000000"/>
        </w:rPr>
        <w:t xml:space="preserve">carrying guides to target human and rat </w:t>
      </w:r>
      <w:r w:rsidRPr="00CE59ED">
        <w:rPr>
          <w:color w:val="000000"/>
        </w:rPr>
        <w:t>ISR kinases</w:t>
      </w:r>
      <w:r>
        <w:rPr>
          <w:color w:val="000000"/>
        </w:rPr>
        <w:t xml:space="preserve"> (PKR, PERK, HRI, and GCN2) (Tables 1 and 2, Figure S3): T</w:t>
      </w:r>
      <w:r w:rsidRPr="00CE59ED">
        <w:rPr>
          <w:color w:val="000000"/>
        </w:rPr>
        <w:t xml:space="preserve">wo different </w:t>
      </w:r>
      <w:r>
        <w:rPr>
          <w:color w:val="000000"/>
        </w:rPr>
        <w:t>single guide RNAs (</w:t>
      </w:r>
      <w:r w:rsidRPr="00CE59ED">
        <w:rPr>
          <w:color w:val="000000"/>
        </w:rPr>
        <w:t>sgRNAs</w:t>
      </w:r>
      <w:r>
        <w:rPr>
          <w:color w:val="000000"/>
        </w:rPr>
        <w:t>)</w:t>
      </w:r>
      <w:r w:rsidRPr="00CE59ED">
        <w:rPr>
          <w:color w:val="000000"/>
        </w:rPr>
        <w:t xml:space="preserve"> </w:t>
      </w:r>
      <w:r>
        <w:rPr>
          <w:color w:val="000000"/>
        </w:rPr>
        <w:t xml:space="preserve">primers </w:t>
      </w:r>
      <w:r w:rsidRPr="00CE59ED">
        <w:rPr>
          <w:color w:val="000000"/>
        </w:rPr>
        <w:t xml:space="preserve">targeting each one of </w:t>
      </w:r>
      <w:r>
        <w:rPr>
          <w:color w:val="000000"/>
        </w:rPr>
        <w:t xml:space="preserve">the </w:t>
      </w:r>
      <w:r w:rsidRPr="00CE59ED">
        <w:rPr>
          <w:color w:val="000000"/>
        </w:rPr>
        <w:t xml:space="preserve">ISR kinase genes </w:t>
      </w:r>
      <w:r>
        <w:rPr>
          <w:color w:val="000000"/>
        </w:rPr>
        <w:t xml:space="preserve">(human and rat) were designed using </w:t>
      </w:r>
      <w:proofErr w:type="spellStart"/>
      <w:r w:rsidRPr="00CE59ED">
        <w:rPr>
          <w:color w:val="000000"/>
        </w:rPr>
        <w:t>Benchling</w:t>
      </w:r>
      <w:proofErr w:type="spellEnd"/>
      <w:r>
        <w:rPr>
          <w:color w:val="000000"/>
        </w:rPr>
        <w:t>. T</w:t>
      </w:r>
      <w:r w:rsidRPr="00CE59ED">
        <w:rPr>
          <w:color w:val="000000"/>
        </w:rPr>
        <w:t xml:space="preserve">he corresponding gene sequence </w:t>
      </w:r>
      <w:r>
        <w:rPr>
          <w:color w:val="000000"/>
        </w:rPr>
        <w:t>was</w:t>
      </w:r>
      <w:r w:rsidRPr="00CE59ED">
        <w:rPr>
          <w:color w:val="000000"/>
        </w:rPr>
        <w:t xml:space="preserve"> download</w:t>
      </w:r>
      <w:r>
        <w:rPr>
          <w:color w:val="000000"/>
        </w:rPr>
        <w:t xml:space="preserve">ed from </w:t>
      </w:r>
      <w:proofErr w:type="spellStart"/>
      <w:r w:rsidRPr="00CE59ED">
        <w:rPr>
          <w:color w:val="000000"/>
        </w:rPr>
        <w:t>GeneBank</w:t>
      </w:r>
      <w:proofErr w:type="spellEnd"/>
      <w:r w:rsidRPr="00CE59ED">
        <w:rPr>
          <w:color w:val="000000"/>
        </w:rPr>
        <w:t>, and the Cas9 Protospacer Adjacent Motif (PAM) sequence NGG (any nucleotide, guanine, guanine) require</w:t>
      </w:r>
      <w:r>
        <w:rPr>
          <w:color w:val="000000"/>
        </w:rPr>
        <w:t>d</w:t>
      </w:r>
      <w:r w:rsidRPr="00CE59ED">
        <w:rPr>
          <w:color w:val="000000"/>
        </w:rPr>
        <w:t xml:space="preserve"> for </w:t>
      </w:r>
      <w:r w:rsidRPr="001762D6">
        <w:rPr>
          <w:i/>
          <w:color w:val="000000"/>
        </w:rPr>
        <w:t>S. pyogenes</w:t>
      </w:r>
      <w:r w:rsidRPr="00CE59ED">
        <w:rPr>
          <w:color w:val="000000"/>
        </w:rPr>
        <w:t xml:space="preserve"> </w:t>
      </w:r>
      <w:r>
        <w:rPr>
          <w:color w:val="000000"/>
        </w:rPr>
        <w:t xml:space="preserve">was </w:t>
      </w:r>
      <w:r w:rsidRPr="00CE59ED">
        <w:rPr>
          <w:color w:val="000000"/>
        </w:rPr>
        <w:t>consider</w:t>
      </w:r>
      <w:r>
        <w:rPr>
          <w:color w:val="000000"/>
        </w:rPr>
        <w:t>ed</w:t>
      </w:r>
      <w:r w:rsidRPr="00CE59ED">
        <w:rPr>
          <w:color w:val="000000"/>
        </w:rPr>
        <w:t xml:space="preserve"> </w:t>
      </w:r>
      <w:r>
        <w:rPr>
          <w:color w:val="000000"/>
        </w:rPr>
        <w:t>(Table 1)</w:t>
      </w:r>
      <w:r w:rsidRPr="00CE59ED">
        <w:rPr>
          <w:color w:val="000000"/>
        </w:rPr>
        <w:t>. sgRNAs</w:t>
      </w:r>
      <w:r>
        <w:rPr>
          <w:color w:val="000000"/>
        </w:rPr>
        <w:t xml:space="preserve"> </w:t>
      </w:r>
      <w:r w:rsidRPr="00CE59ED">
        <w:rPr>
          <w:color w:val="000000"/>
        </w:rPr>
        <w:t xml:space="preserve">primers were inserted into </w:t>
      </w:r>
      <w:r>
        <w:rPr>
          <w:color w:val="000000"/>
        </w:rPr>
        <w:t xml:space="preserve">the </w:t>
      </w:r>
      <w:r w:rsidRPr="00CE59ED">
        <w:rPr>
          <w:color w:val="000000"/>
        </w:rPr>
        <w:t>plasmid pX459 (</w:t>
      </w:r>
      <w:proofErr w:type="spellStart"/>
      <w:r w:rsidRPr="00CE59ED">
        <w:rPr>
          <w:color w:val="000000"/>
        </w:rPr>
        <w:t>Addgene</w:t>
      </w:r>
      <w:proofErr w:type="spellEnd"/>
      <w:r w:rsidRPr="00CE59ED">
        <w:rPr>
          <w:color w:val="000000"/>
        </w:rPr>
        <w:t>, Watertown, MA)</w:t>
      </w:r>
      <w:r>
        <w:rPr>
          <w:color w:val="000000"/>
        </w:rPr>
        <w:t>.</w:t>
      </w:r>
    </w:p>
    <w:p w14:paraId="34508A66" w14:textId="77777777" w:rsidR="007E19D4" w:rsidRDefault="007E19D4" w:rsidP="007E19D4">
      <w:pPr>
        <w:spacing w:line="360" w:lineRule="auto"/>
        <w:jc w:val="both"/>
        <w:rPr>
          <w:rFonts w:cstheme="minorHAnsi"/>
          <w:color w:val="000000"/>
        </w:rPr>
      </w:pPr>
      <w:r w:rsidRPr="00751DB6">
        <w:rPr>
          <w:rFonts w:cstheme="minorHAnsi"/>
          <w:color w:val="000000"/>
        </w:rPr>
        <w:t xml:space="preserve">All </w:t>
      </w:r>
      <w:r>
        <w:rPr>
          <w:rFonts w:cstheme="minorHAnsi"/>
          <w:color w:val="000000"/>
        </w:rPr>
        <w:t xml:space="preserve">plasmids were confirmed by Sanger </w:t>
      </w:r>
      <w:r w:rsidRPr="00751DB6">
        <w:rPr>
          <w:rFonts w:cstheme="minorHAnsi"/>
          <w:color w:val="000000"/>
        </w:rPr>
        <w:t>sequencing.</w:t>
      </w:r>
    </w:p>
    <w:p w14:paraId="10DA329D" w14:textId="77777777" w:rsidR="007E19D4" w:rsidRPr="00134174" w:rsidRDefault="007E19D4" w:rsidP="007E19D4">
      <w:pPr>
        <w:pStyle w:val="Heading3"/>
      </w:pPr>
      <w:r>
        <w:t>Cell lines</w:t>
      </w:r>
      <w:r w:rsidRPr="00134174">
        <w:t xml:space="preserve"> and primary neuronal cultures</w:t>
      </w:r>
    </w:p>
    <w:p w14:paraId="1DD4766C" w14:textId="1C907B40" w:rsidR="007E19D4" w:rsidRDefault="007E19D4" w:rsidP="007E19D4">
      <w:pPr>
        <w:spacing w:line="360" w:lineRule="auto"/>
        <w:jc w:val="both"/>
      </w:pPr>
      <w:r>
        <w:t>Human embryonic kidney (</w:t>
      </w:r>
      <w:r w:rsidRPr="004355C6">
        <w:t>HEK293</w:t>
      </w:r>
      <w:r>
        <w:t>)</w:t>
      </w:r>
      <w:r w:rsidRPr="004355C6">
        <w:t xml:space="preserve"> </w:t>
      </w:r>
      <w:r w:rsidRPr="00EC1EFA">
        <w:t>and McA-RH7777 (RH7777) cells (</w:t>
      </w:r>
      <w:r>
        <w:t xml:space="preserve">from </w:t>
      </w:r>
      <w:r w:rsidRPr="004355C6">
        <w:t>ATCC)</w:t>
      </w:r>
      <w:r>
        <w:t xml:space="preserve">, </w:t>
      </w:r>
      <w:r w:rsidRPr="004355C6">
        <w:t xml:space="preserve">were </w:t>
      </w:r>
      <w:r>
        <w:t xml:space="preserve">grown and </w:t>
      </w:r>
      <w:r w:rsidRPr="004355C6">
        <w:t>maintained in Dulbecco’s Modified Eagle’s Medium (DMEM) (Sigma</w:t>
      </w:r>
      <w:r>
        <w:t>-</w:t>
      </w:r>
      <w:r w:rsidRPr="004355C6">
        <w:t>Aldrich)</w:t>
      </w:r>
      <w:r>
        <w:t xml:space="preserve"> </w:t>
      </w:r>
      <w:r w:rsidRPr="004355C6">
        <w:t xml:space="preserve">supplemented </w:t>
      </w:r>
      <w:r w:rsidRPr="004355C6">
        <w:lastRenderedPageBreak/>
        <w:t>with 10% Fetal Bovine Serum (FBS)</w:t>
      </w:r>
      <w:r>
        <w:t xml:space="preserve">, </w:t>
      </w:r>
      <w:r w:rsidRPr="004355C6">
        <w:t>1% Penicillin</w:t>
      </w:r>
      <w:r>
        <w:t>-</w:t>
      </w:r>
      <w:r w:rsidRPr="004355C6">
        <w:t>Streptomycin</w:t>
      </w:r>
      <w:r>
        <w:t>-</w:t>
      </w:r>
      <w:r w:rsidRPr="00516C0B">
        <w:rPr>
          <w:color w:val="000000" w:themeColor="text1"/>
        </w:rPr>
        <w:t xml:space="preserve">Glutamine </w:t>
      </w:r>
      <w:r w:rsidRPr="004355C6">
        <w:t xml:space="preserve">(Gibco), </w:t>
      </w:r>
      <w:r>
        <w:t xml:space="preserve">in </w:t>
      </w:r>
      <w:r w:rsidRPr="004355C6">
        <w:t>5%</w:t>
      </w:r>
      <w:r>
        <w:t xml:space="preserve"> </w:t>
      </w:r>
      <w:r w:rsidRPr="004355C6">
        <w:t>CO</w:t>
      </w:r>
      <w:r w:rsidRPr="00287955">
        <w:rPr>
          <w:vertAlign w:val="subscript"/>
        </w:rPr>
        <w:t>2</w:t>
      </w:r>
      <w:r>
        <w:t xml:space="preserve"> and</w:t>
      </w:r>
      <w:r w:rsidRPr="004355C6">
        <w:t xml:space="preserve"> 37</w:t>
      </w:r>
      <w:r>
        <w:t xml:space="preserve"> °C inside a humidified incubator </w:t>
      </w:r>
      <w:sdt>
        <w:sdtPr>
          <w:rPr>
            <w:color w:val="000000"/>
          </w:rPr>
          <w:tag w:val="MENDELEY_CITATION_v3_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"/>
          <w:id w:val="-1813864547"/>
          <w:placeholder>
            <w:docPart w:val="5E5F07E493374238862B0856D94D89E1"/>
          </w:placeholder>
        </w:sdtPr>
        <w:sdtEndPr/>
        <w:sdtContent>
          <w:r w:rsidR="009A5F6C" w:rsidRPr="009A5F6C">
            <w:rPr>
              <w:color w:val="000000"/>
            </w:rPr>
            <w:t>[2]</w:t>
          </w:r>
        </w:sdtContent>
      </w:sdt>
      <w:r>
        <w:t>. Rat cortical p</w:t>
      </w:r>
      <w:r w:rsidRPr="004355C6">
        <w:t>rimary</w:t>
      </w:r>
      <w:r>
        <w:t xml:space="preserve"> neurons</w:t>
      </w:r>
      <w:r w:rsidRPr="004355C6">
        <w:t xml:space="preserve"> were </w:t>
      </w:r>
      <w:r>
        <w:t>established from</w:t>
      </w:r>
      <w:r w:rsidRPr="004355C6">
        <w:t xml:space="preserve"> Sprague Dawley </w:t>
      </w:r>
      <w:r>
        <w:t xml:space="preserve">rat </w:t>
      </w:r>
      <w:r w:rsidRPr="004355C6">
        <w:t xml:space="preserve">embryos </w:t>
      </w:r>
      <w:r>
        <w:t xml:space="preserve">(embryonic day 20) according to protocols already described </w:t>
      </w:r>
      <w:sdt>
        <w:sdtPr>
          <w:rPr>
            <w:color w:val="000000"/>
          </w:rPr>
          <w:tag w:val="MENDELEY_CITATION_v3_eyJjaXRhdGlvbklEIjoiTUVOREVMRVlfQ0lUQVRJT05fZGExNDNjOGUtOTI2OC00MDZiLTk2MjgtZjY1NzY3NjYzYTdk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
          <w:id w:val="-305702288"/>
          <w:placeholder>
            <w:docPart w:val="5E5F07E493374238862B0856D94D89E1"/>
          </w:placeholder>
        </w:sdtPr>
        <w:sdtEndPr/>
        <w:sdtContent>
          <w:r w:rsidR="009A5F6C" w:rsidRPr="009A5F6C">
            <w:rPr>
              <w:color w:val="000000"/>
            </w:rPr>
            <w:t>[5]</w:t>
          </w:r>
        </w:sdtContent>
      </w:sdt>
      <w:r>
        <w:t xml:space="preserve">. </w:t>
      </w:r>
    </w:p>
    <w:p w14:paraId="7ACFC859" w14:textId="77777777" w:rsidR="007E19D4" w:rsidRPr="00134174" w:rsidRDefault="007E19D4" w:rsidP="007E19D4">
      <w:pPr>
        <w:pStyle w:val="Heading3"/>
      </w:pPr>
      <w:r w:rsidRPr="00134174">
        <w:t xml:space="preserve">Calcium phosphate transfection of </w:t>
      </w:r>
      <w:r>
        <w:t>cell line</w:t>
      </w:r>
      <w:r w:rsidRPr="00134174">
        <w:t xml:space="preserve"> and primary neurons</w:t>
      </w:r>
    </w:p>
    <w:p w14:paraId="10460A9A" w14:textId="483208B2" w:rsidR="007E19D4" w:rsidRDefault="007E19D4" w:rsidP="007E19D4">
      <w:pPr>
        <w:spacing w:line="360" w:lineRule="auto"/>
        <w:jc w:val="both"/>
      </w:pPr>
      <w:r w:rsidRPr="00CB6600">
        <w:rPr>
          <w:rFonts w:eastAsia="Times New Roman"/>
          <w:lang w:val="en-GB"/>
        </w:rPr>
        <w:t xml:space="preserve">HEK293 cells were transfected with DNA-calcium phosphate mix as described </w:t>
      </w:r>
      <w:sdt>
        <w:sdtPr>
          <w:rPr>
            <w:rFonts w:eastAsia="Times New Roman"/>
            <w:color w:val="000000"/>
            <w:lang w:val="en-GB"/>
          </w:rPr>
          <w:tag w:val="MENDELEY_CITATION_v3_eyJjaXRhdGlvbklEIjoiTUVOREVMRVlfQ0lUQVRJT05fZDM1MDI1ODUtMWYzYS00Y2EwLWI2ODktYjE0NmYxZjI5MTQx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
          <w:id w:val="195436405"/>
          <w:placeholder>
            <w:docPart w:val="DBD6502FC1644047AAE65E1996BED833"/>
          </w:placeholder>
        </w:sdtPr>
        <w:sdtEndPr/>
        <w:sdtContent>
          <w:r w:rsidR="009A5F6C" w:rsidRPr="009A5F6C">
            <w:rPr>
              <w:rFonts w:eastAsia="Times New Roman"/>
              <w:color w:val="000000"/>
              <w:lang w:val="en-GB"/>
            </w:rPr>
            <w:t>[5]</w:t>
          </w:r>
        </w:sdtContent>
      </w:sdt>
      <w:r w:rsidRPr="00CB6600">
        <w:rPr>
          <w:rFonts w:eastAsia="Times New Roman"/>
          <w:lang w:val="en-GB"/>
        </w:rPr>
        <w:t xml:space="preserve">. Briefly, cells were plated in 24-well plates (with coverslips for </w:t>
      </w:r>
      <w:r>
        <w:rPr>
          <w:rFonts w:eastAsia="Times New Roman"/>
          <w:lang w:val="en-GB"/>
        </w:rPr>
        <w:t>immunofluorescence</w:t>
      </w:r>
      <w:r w:rsidRPr="00CB6600">
        <w:rPr>
          <w:rFonts w:eastAsia="Times New Roman"/>
          <w:lang w:val="en-GB"/>
        </w:rPr>
        <w:t>) or 6-well plates (for western blot</w:t>
      </w:r>
      <w:r>
        <w:rPr>
          <w:rFonts w:eastAsia="Times New Roman"/>
          <w:lang w:val="en-GB"/>
        </w:rPr>
        <w:t>, WB</w:t>
      </w:r>
      <w:r w:rsidRPr="00CB6600">
        <w:rPr>
          <w:rFonts w:eastAsia="Times New Roman"/>
          <w:lang w:val="en-GB"/>
        </w:rPr>
        <w:t xml:space="preserve">) to reach 50% confluence. </w:t>
      </w:r>
      <w:r>
        <w:rPr>
          <w:rFonts w:eastAsia="Times New Roman"/>
          <w:lang w:val="en-GB"/>
        </w:rPr>
        <w:t>One hour</w:t>
      </w:r>
      <w:r w:rsidRPr="00CB6600">
        <w:t xml:space="preserve"> before transfection, growth medium was replaced by DMEM (Lonza). Meanwhile, the DNA-calcium phosphate transfection buffer was prepared by mixing the </w:t>
      </w:r>
      <w:r>
        <w:t>DNA-containing</w:t>
      </w:r>
      <w:r w:rsidRPr="00CB6600">
        <w:t xml:space="preserve"> solution (2 µg of plasmid DNA/well of 24-well plates or 8 µg of plasmid DNA/well of 6-well plates, 125 mM CaCl2 (Sigma) and the HEPES buffer solution, pH 7.02 (137 mM NaCl (Sigma-Aldrich), 5 mM </w:t>
      </w:r>
      <w:proofErr w:type="spellStart"/>
      <w:r w:rsidRPr="00CB6600">
        <w:t>KCl</w:t>
      </w:r>
      <w:proofErr w:type="spellEnd"/>
      <w:r w:rsidRPr="00CB6600">
        <w:t xml:space="preserve">, 0.7 mM Na2HPO4*7H2O, 7.5 mM D-(+)-Glucose (dextrose) (Sigma) and 21 mM HEPES (Sigma)). The mix was incubated at room temperature (RT) for 20 minutes and added to each well </w:t>
      </w:r>
      <w:sdt>
        <w:sdtPr>
          <w:rPr>
            <w:color w:val="000000"/>
          </w:rPr>
          <w:tag w:val="MENDELEY_CITATION_v3_eyJjaXRhdGlvbklEIjoiTUVOREVMRVlfQ0lUQVRJT05fMjRjMTZlMDctMDAxNy00MGFjLWE0YWEtMGEyNDNkZDZmZTc5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
          <w:id w:val="-859041639"/>
          <w:placeholder>
            <w:docPart w:val="DBD6502FC1644047AAE65E1996BED833"/>
          </w:placeholder>
        </w:sdtPr>
        <w:sdtEndPr/>
        <w:sdtContent>
          <w:r w:rsidR="009A5F6C" w:rsidRPr="009A5F6C">
            <w:rPr>
              <w:color w:val="000000"/>
            </w:rPr>
            <w:t>[5]</w:t>
          </w:r>
        </w:sdtContent>
      </w:sdt>
      <w:r w:rsidRPr="00CB6600">
        <w:t xml:space="preserve">. Cells were incubated </w:t>
      </w:r>
      <w:r>
        <w:t xml:space="preserve">for </w:t>
      </w:r>
      <w:r w:rsidRPr="00CB6600">
        <w:t>4 hours until a thin DNA-calcium phosphate precipitate was visible under the microscope. Finally, the transfection mix was replaced with growth medium and cells were placed back into the incubator.</w:t>
      </w:r>
      <w:r w:rsidRPr="001C6D77">
        <w:t xml:space="preserve"> </w:t>
      </w:r>
    </w:p>
    <w:p w14:paraId="6A116A9E" w14:textId="77777777" w:rsidR="007E19D4" w:rsidRPr="007952CE" w:rsidRDefault="007E19D4" w:rsidP="007E19D4">
      <w:pPr>
        <w:spacing w:line="360" w:lineRule="auto"/>
        <w:jc w:val="both"/>
      </w:pPr>
      <w:r w:rsidRPr="00CB6600">
        <w:t xml:space="preserve">Transfection of </w:t>
      </w:r>
      <w:r w:rsidRPr="00CB6600">
        <w:rPr>
          <w:rFonts w:eastAsia="Times New Roman" w:cstheme="minorHAnsi"/>
          <w:bCs/>
        </w:rPr>
        <w:t xml:space="preserve">RH7777 </w:t>
      </w:r>
      <w:r w:rsidRPr="00CB6600">
        <w:t>cells was performed with Lipofectamine 2000 (Invitrogen) following recommended protocols.</w:t>
      </w:r>
      <w:r w:rsidRPr="00E94651">
        <w:t xml:space="preserve"> </w:t>
      </w:r>
    </w:p>
    <w:p w14:paraId="393423D6" w14:textId="6C46D321" w:rsidR="007E19D4" w:rsidRDefault="007E19D4" w:rsidP="007E19D4">
      <w:pPr>
        <w:spacing w:line="360" w:lineRule="auto"/>
        <w:jc w:val="both"/>
      </w:pPr>
      <w:r w:rsidRPr="00CB6600">
        <w:t xml:space="preserve">Primary cortical neurons </w:t>
      </w:r>
      <w:r w:rsidRPr="00CB6600">
        <w:rPr>
          <w:rFonts w:eastAsia="Times New Roman"/>
          <w:lang w:val="en-GB"/>
        </w:rPr>
        <w:t>in 24-well plates with/without coverslips</w:t>
      </w:r>
      <w:r w:rsidRPr="00CB6600">
        <w:t xml:space="preserve"> (for immunofl</w:t>
      </w:r>
      <w:r>
        <w:t>u</w:t>
      </w:r>
      <w:r w:rsidRPr="00CB6600">
        <w:t>oresce</w:t>
      </w:r>
      <w:r>
        <w:t xml:space="preserve">nce </w:t>
      </w:r>
      <w:r w:rsidRPr="00CB6600">
        <w:t xml:space="preserve">experiments or longitudinal survival analysis, respectively) were transfected at 5 days </w:t>
      </w:r>
      <w:r w:rsidRPr="00CB6600">
        <w:rPr>
          <w:i/>
          <w:iCs/>
        </w:rPr>
        <w:t>in vitro</w:t>
      </w:r>
      <w:r w:rsidRPr="00CB6600">
        <w:t xml:space="preserve"> with a calcium phosphate protocol </w:t>
      </w:r>
      <w:sdt>
        <w:sdtPr>
          <w:rPr>
            <w:color w:val="000000"/>
          </w:rPr>
          <w:tag w:val="MENDELEY_CITATION_v3_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"/>
          <w:id w:val="-1263534800"/>
          <w:placeholder>
            <w:docPart w:val="C634F6A31CF3435CBEFACD3CDA31AF3C"/>
          </w:placeholder>
        </w:sdtPr>
        <w:sdtEndPr/>
        <w:sdtContent>
          <w:r w:rsidR="009A5F6C" w:rsidRPr="009A5F6C">
            <w:rPr>
              <w:color w:val="000000"/>
            </w:rPr>
            <w:t>[6]</w:t>
          </w:r>
        </w:sdtContent>
      </w:sdt>
      <w:r w:rsidRPr="00CB6600">
        <w:t>; 1 h prior transfection neuronal growth medium was replaced by DMEM (Lonza) with 0.001% gentamicin/1</w:t>
      </w:r>
      <w:r>
        <w:t xml:space="preserve"> </w:t>
      </w:r>
      <w:r w:rsidRPr="00CB6600">
        <w:t>mM Kynurenic acid</w:t>
      </w:r>
      <w:r>
        <w:t xml:space="preserve"> (KY)</w:t>
      </w:r>
      <w:r w:rsidRPr="00CB6600">
        <w:t>, pH 7.4. The DNA</w:t>
      </w:r>
      <w:r w:rsidRPr="00CB6600">
        <w:rPr>
          <w:rFonts w:ascii="Cambria Math" w:hAnsi="Cambria Math" w:cs="Cambria Math"/>
        </w:rPr>
        <w:t>‑</w:t>
      </w:r>
      <w:r w:rsidRPr="00CB6600">
        <w:t>calcium phosphate mix (per well: 2</w:t>
      </w:r>
      <w:r w:rsidRPr="00CB6600">
        <w:rPr>
          <w:rFonts w:ascii="Calibri" w:hAnsi="Calibri" w:cs="Calibri"/>
        </w:rPr>
        <w:t>μ</w:t>
      </w:r>
      <w:r w:rsidRPr="00CB6600">
        <w:t>g of plasmid DNA, 125 mM CaCl2 (Sigma) and HEPES buffer solution at pH range (6.8</w:t>
      </w:r>
      <w:r w:rsidRPr="00CB6600">
        <w:rPr>
          <w:rFonts w:ascii="Calibri" w:hAnsi="Calibri" w:cs="Calibri"/>
        </w:rPr>
        <w:t>–</w:t>
      </w:r>
      <w:r w:rsidRPr="00CB6600">
        <w:t xml:space="preserve">7.2) (137 mM NaCl (Sigma-Aldrich), 5 mM </w:t>
      </w:r>
      <w:proofErr w:type="spellStart"/>
      <w:r w:rsidRPr="00CB6600">
        <w:t>KCl</w:t>
      </w:r>
      <w:proofErr w:type="spellEnd"/>
      <w:r w:rsidRPr="00CB6600">
        <w:t>, 0.7 mM Na2HPO4*7H2O, 7.5 mM D-(+)-Glucose (dextrose) (Sigma) and 21 mM HEPES (Sigma)) was prepared, incubated for 20 min</w:t>
      </w:r>
      <w:r>
        <w:t>utes</w:t>
      </w:r>
      <w:r w:rsidRPr="00CB6600">
        <w:t xml:space="preserve"> at RT and added to each well. Neurons were incubated until a thin DNA</w:t>
      </w:r>
      <w:r w:rsidRPr="00CB6600">
        <w:rPr>
          <w:rFonts w:ascii="Cambria Math" w:hAnsi="Cambria Math" w:cs="Cambria Math"/>
        </w:rPr>
        <w:t>‑</w:t>
      </w:r>
      <w:r w:rsidRPr="00CB6600">
        <w:t>calcium phosphate precipitate was observed (45-60 min</w:t>
      </w:r>
      <w:r>
        <w:t>utes</w:t>
      </w:r>
      <w:r w:rsidRPr="00CB6600">
        <w:t>). Then, the medium was replaced with shock solution (50% (V/V) HEPES buffer solution pH 7.4, 10% (V/V) DMEM/KY pH 7.4</w:t>
      </w:r>
      <w:r>
        <w:t>,</w:t>
      </w:r>
      <w:r w:rsidRPr="00CB6600">
        <w:t xml:space="preserve"> and 2% (V/V) DMSO (Sigma)) and rapidly washed twice with DMEM/KY and once with DMEM supplemented with 0.001% gentamicin. Neurons were finally left with neuronal growth media (Neurobasal medium supplemented with 0.5% FBS, 1% </w:t>
      </w:r>
      <w:proofErr w:type="spellStart"/>
      <w:r w:rsidRPr="00CB6600">
        <w:t>GlutaMAX</w:t>
      </w:r>
      <w:proofErr w:type="spellEnd"/>
      <w:r w:rsidRPr="00CB6600">
        <w:t xml:space="preserve"> (Gibco), 2% B27 (Gibco), 0.1 mg/ml gentamycin (Life Technologies, Carlsbad, CA) and 2.5 mg/ml fungizone (Gibco)) into the incubator.</w:t>
      </w:r>
    </w:p>
    <w:p w14:paraId="204FACEC" w14:textId="77777777" w:rsidR="007E19D4" w:rsidRDefault="007E19D4" w:rsidP="007E19D4">
      <w:pPr>
        <w:spacing w:line="360" w:lineRule="auto"/>
        <w:jc w:val="both"/>
      </w:pPr>
      <w:r>
        <w:lastRenderedPageBreak/>
        <w:t>For S</w:t>
      </w:r>
      <w:r w:rsidRPr="00415DD4">
        <w:t>OD1 (WT, G93A</w:t>
      </w:r>
      <w:r>
        <w:t>,</w:t>
      </w:r>
      <w:r w:rsidRPr="00415DD4">
        <w:t xml:space="preserve"> and G85R)</w:t>
      </w:r>
      <w:r>
        <w:t xml:space="preserve"> intracellular distribution and foci formation studies, HEK293 cells were transiently transfected with pCAGGs-SOD1 (WT, G93A, or G85R) plasmids. </w:t>
      </w:r>
      <w:r w:rsidRPr="00F12445">
        <w:t>To address the effect of ISR modulation</w:t>
      </w:r>
      <w:r>
        <w:t xml:space="preserve"> HEK293 </w:t>
      </w:r>
      <w:r w:rsidRPr="00F12445">
        <w:t xml:space="preserve">cells </w:t>
      </w:r>
      <w:r>
        <w:t xml:space="preserve">were either </w:t>
      </w:r>
      <w:r w:rsidRPr="00F12445">
        <w:t xml:space="preserve">co-transfected with CRISPR-Cas9 plasmids to target </w:t>
      </w:r>
      <w:r>
        <w:t xml:space="preserve">the human </w:t>
      </w:r>
      <w:r w:rsidRPr="00F12445">
        <w:t xml:space="preserve">ISR kinases or treated with ISR modulators (see below) </w:t>
      </w:r>
      <w:r w:rsidRPr="00EA1C5E">
        <w:t>added 10 min</w:t>
      </w:r>
      <w:r>
        <w:t>utes</w:t>
      </w:r>
      <w:r w:rsidRPr="00EA1C5E">
        <w:t xml:space="preserve"> after transfection</w:t>
      </w:r>
      <w:r>
        <w:t xml:space="preserve">. Ninety-six hours post-transfection treated and untreated cells were fixed with </w:t>
      </w:r>
      <w:r w:rsidRPr="001904E1">
        <w:rPr>
          <w:rFonts w:cstheme="minorHAnsi"/>
          <w:bCs/>
          <w:color w:val="212121"/>
        </w:rPr>
        <w:t>4% paraformaldehyde</w:t>
      </w:r>
      <w:r>
        <w:rPr>
          <w:rFonts w:cstheme="minorHAnsi"/>
          <w:bCs/>
          <w:color w:val="212121"/>
        </w:rPr>
        <w:t xml:space="preserve"> </w:t>
      </w:r>
      <w:r w:rsidRPr="001904E1">
        <w:rPr>
          <w:rFonts w:cstheme="minorHAnsi"/>
          <w:bCs/>
          <w:color w:val="212121"/>
        </w:rPr>
        <w:t>(</w:t>
      </w:r>
      <w:proofErr w:type="spellStart"/>
      <w:r w:rsidRPr="001904E1">
        <w:rPr>
          <w:rFonts w:cstheme="minorHAnsi"/>
          <w:bCs/>
          <w:color w:val="212121"/>
        </w:rPr>
        <w:t>Fluka</w:t>
      </w:r>
      <w:proofErr w:type="spellEnd"/>
      <w:r w:rsidRPr="001904E1">
        <w:rPr>
          <w:rFonts w:cstheme="minorHAnsi"/>
          <w:bCs/>
          <w:color w:val="212121"/>
        </w:rPr>
        <w:t>, Thermo Fisher Scientific, Waltham, MA)</w:t>
      </w:r>
      <w:r>
        <w:rPr>
          <w:rFonts w:cstheme="minorHAnsi"/>
          <w:bCs/>
          <w:color w:val="212121"/>
        </w:rPr>
        <w:t xml:space="preserve"> and </w:t>
      </w:r>
      <w:r w:rsidRPr="001904E1">
        <w:rPr>
          <w:rFonts w:cstheme="minorHAnsi"/>
          <w:bCs/>
          <w:color w:val="212121"/>
        </w:rPr>
        <w:t>4% sucrose</w:t>
      </w:r>
      <w:r>
        <w:t xml:space="preserve"> in PBS (PFA) for immunofluorescence (IF) staining and microscopy analysis.</w:t>
      </w:r>
    </w:p>
    <w:p w14:paraId="2BA9ADF5" w14:textId="77777777" w:rsidR="007E19D4" w:rsidRPr="00894278" w:rsidRDefault="007E19D4" w:rsidP="007E19D4">
      <w:pPr>
        <w:spacing w:line="360" w:lineRule="auto"/>
        <w:jc w:val="both"/>
      </w:pPr>
      <w:r w:rsidRPr="00894278">
        <w:t xml:space="preserve">Detergent tests were conducted in SOD1 (WT, mutant G93A) transiently transfected HEK293 cells after PFA fixation. Cells were then subjected to treatments </w:t>
      </w:r>
      <w:r>
        <w:t xml:space="preserve">either </w:t>
      </w:r>
      <w:r w:rsidRPr="00894278">
        <w:t>wit</w:t>
      </w:r>
      <w:r>
        <w:t>h</w:t>
      </w:r>
      <w:r w:rsidRPr="00894278">
        <w:t xml:space="preserve"> TritonX-100 0.1%, NP-40 1%</w:t>
      </w:r>
      <w:r>
        <w:t>,</w:t>
      </w:r>
      <w:r w:rsidRPr="00894278">
        <w:t xml:space="preserve"> or SDS 1% for 20 min</w:t>
      </w:r>
      <w:r>
        <w:t>utes</w:t>
      </w:r>
      <w:r w:rsidRPr="00894278">
        <w:t xml:space="preserve"> and subjected to IF protocols (see below). </w:t>
      </w:r>
    </w:p>
    <w:p w14:paraId="278349C7" w14:textId="77777777" w:rsidR="007E19D4" w:rsidRPr="00465D65" w:rsidRDefault="007E19D4" w:rsidP="007E19D4">
      <w:pPr>
        <w:spacing w:line="360" w:lineRule="auto"/>
        <w:jc w:val="both"/>
      </w:pPr>
      <w:r w:rsidRPr="004210BB">
        <w:t xml:space="preserve">For analyzing the effect of ISR modulation in </w:t>
      </w:r>
      <w:r>
        <w:t xml:space="preserve">the </w:t>
      </w:r>
      <w:r w:rsidRPr="004210BB">
        <w:t>intraneuronal distribution of SOD1, neurons were transfected with untagged pCAGGs-SOD1 (WT, G93A) plasmids and treated with ISR modulators.</w:t>
      </w:r>
      <w:r>
        <w:t xml:space="preserve"> </w:t>
      </w:r>
      <w:r w:rsidRPr="004210BB">
        <w:t xml:space="preserve">For addressing the role of ISR modulation in neuronal survival by longitudinal survival analysis, neurons were transfected with pCAGGS-SOD1-G93A </w:t>
      </w:r>
      <w:proofErr w:type="spellStart"/>
      <w:r w:rsidRPr="004210BB">
        <w:t>mCherry</w:t>
      </w:r>
      <w:proofErr w:type="spellEnd"/>
      <w:r w:rsidRPr="004210BB">
        <w:t xml:space="preserve">-tagged (G93ACh) or </w:t>
      </w:r>
      <w:proofErr w:type="spellStart"/>
      <w:r w:rsidRPr="004210BB">
        <w:t>pCAGGs-mCherry</w:t>
      </w:r>
      <w:proofErr w:type="spellEnd"/>
      <w:r w:rsidRPr="004210BB">
        <w:t xml:space="preserve"> (Ch) in the case of treatments with ISR modulators or co-transfected with CRISPR-Cas9 plasmids to target </w:t>
      </w:r>
      <w:r>
        <w:t xml:space="preserve">rat </w:t>
      </w:r>
      <w:r w:rsidRPr="004210BB">
        <w:t xml:space="preserve">GCN2 kinase. </w:t>
      </w:r>
    </w:p>
    <w:p w14:paraId="72B20C7D" w14:textId="77777777" w:rsidR="007E19D4" w:rsidRPr="00134174" w:rsidRDefault="007E19D4" w:rsidP="007E19D4">
      <w:pPr>
        <w:pStyle w:val="Heading3"/>
      </w:pPr>
      <w:r w:rsidRPr="00134174">
        <w:t xml:space="preserve">Pharmacological </w:t>
      </w:r>
      <w:r>
        <w:t>i</w:t>
      </w:r>
      <w:r w:rsidRPr="00134174">
        <w:t xml:space="preserve">nduction and </w:t>
      </w:r>
      <w:r>
        <w:t>m</w:t>
      </w:r>
      <w:r w:rsidRPr="00134174">
        <w:t xml:space="preserve">odulation of the ISR </w:t>
      </w:r>
    </w:p>
    <w:p w14:paraId="33961644" w14:textId="2D9FF35E" w:rsidR="007E19D4" w:rsidRPr="00053984" w:rsidRDefault="007E19D4" w:rsidP="007E19D4">
      <w:pPr>
        <w:spacing w:line="360" w:lineRule="auto"/>
        <w:jc w:val="both"/>
      </w:pPr>
      <w:r w:rsidRPr="00053984">
        <w:t xml:space="preserve">PERK pharmacological inducer </w:t>
      </w:r>
      <w:proofErr w:type="spellStart"/>
      <w:r w:rsidRPr="00053984">
        <w:t>Thapsigargin</w:t>
      </w:r>
      <w:proofErr w:type="spellEnd"/>
      <w:r w:rsidRPr="00053984">
        <w:t xml:space="preserve"> (</w:t>
      </w:r>
      <w:proofErr w:type="spellStart"/>
      <w:r w:rsidRPr="00053984">
        <w:t>Thap</w:t>
      </w:r>
      <w:proofErr w:type="spellEnd"/>
      <w:r w:rsidRPr="00053984">
        <w:t>)(</w:t>
      </w:r>
      <w:proofErr w:type="spellStart"/>
      <w:r w:rsidRPr="00053984">
        <w:t>Applichem</w:t>
      </w:r>
      <w:proofErr w:type="spellEnd"/>
      <w:r w:rsidRPr="00053984">
        <w:t>) and</w:t>
      </w:r>
      <w:r>
        <w:t xml:space="preserve"> the</w:t>
      </w:r>
      <w:r w:rsidRPr="00053984">
        <w:t xml:space="preserve"> ISR modulators ISRIB (Sigma), GSK2606414 (</w:t>
      </w:r>
      <w:proofErr w:type="spellStart"/>
      <w:r w:rsidRPr="00053984">
        <w:t>PERKib</w:t>
      </w:r>
      <w:proofErr w:type="spellEnd"/>
      <w:r w:rsidRPr="00053984">
        <w:t>)</w:t>
      </w:r>
      <w:sdt>
        <w:sdtPr>
          <w:rPr>
            <w:color w:val="000000"/>
          </w:rPr>
          <w:tag w:val="MENDELEY_CITATION_v3_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"/>
          <w:id w:val="1657110722"/>
          <w:placeholder>
            <w:docPart w:val="DefaultPlaceholder_-1854013440"/>
          </w:placeholder>
        </w:sdtPr>
        <w:sdtEndPr/>
        <w:sdtContent>
          <w:r w:rsidR="009A5F6C" w:rsidRPr="009A5F6C">
            <w:rPr>
              <w:color w:val="000000"/>
            </w:rPr>
            <w:t>[7]</w:t>
          </w:r>
        </w:sdtContent>
      </w:sdt>
      <w:r w:rsidRPr="00053984">
        <w:t xml:space="preserve"> (Toronto Research Chemicals, North York, Canada)</w:t>
      </w:r>
      <w:r>
        <w:t xml:space="preserve">, A92 </w:t>
      </w:r>
      <w:sdt>
        <w:sdtPr>
          <w:rPr>
            <w:color w:val="000000"/>
          </w:rPr>
          <w:tag w:val="MENDELEY_CITATION_v3_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"/>
          <w:id w:val="1993605639"/>
          <w:placeholder>
            <w:docPart w:val="DefaultPlaceholder_-1854013440"/>
          </w:placeholder>
        </w:sdtPr>
        <w:sdtEndPr/>
        <w:sdtContent>
          <w:r w:rsidR="009A5F6C" w:rsidRPr="009A5F6C">
            <w:rPr>
              <w:color w:val="000000"/>
            </w:rPr>
            <w:t>[8]</w:t>
          </w:r>
        </w:sdtContent>
      </w:sdt>
      <w:r>
        <w:t xml:space="preserve">(Axon </w:t>
      </w:r>
      <w:proofErr w:type="spellStart"/>
      <w:r w:rsidRPr="00A02334">
        <w:t>MedChem</w:t>
      </w:r>
      <w:proofErr w:type="spellEnd"/>
      <w:r>
        <w:t>)</w:t>
      </w:r>
      <w:r w:rsidRPr="00053984">
        <w:t xml:space="preserve"> and </w:t>
      </w:r>
      <w:r>
        <w:t xml:space="preserve">GCN2ib </w:t>
      </w:r>
      <w:sdt>
        <w:sdtPr>
          <w:rPr>
            <w:color w:val="000000"/>
          </w:rPr>
          <w:tag w:val="MENDELEY_CITATION_v3_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"/>
          <w:id w:val="1806957707"/>
          <w:placeholder>
            <w:docPart w:val="DefaultPlaceholder_-1854013440"/>
          </w:placeholder>
        </w:sdtPr>
        <w:sdtEndPr/>
        <w:sdtContent>
          <w:r w:rsidR="009A5F6C" w:rsidRPr="009A5F6C">
            <w:rPr>
              <w:color w:val="000000"/>
            </w:rPr>
            <w:t>[9]</w:t>
          </w:r>
        </w:sdtContent>
      </w:sdt>
      <w:r w:rsidRPr="00053984">
        <w:t>(</w:t>
      </w:r>
      <w:proofErr w:type="spellStart"/>
      <w:r w:rsidRPr="00053984">
        <w:t>WUXi</w:t>
      </w:r>
      <w:proofErr w:type="spellEnd"/>
      <w:r w:rsidRPr="00053984">
        <w:t xml:space="preserve"> App Tec, Hong Kong), were dissolved in dimethyl sulfoxide (DMSO) (Sigma) and stored at −80 </w:t>
      </w:r>
      <w:r>
        <w:t xml:space="preserve"> °C</w:t>
      </w:r>
      <w:r w:rsidRPr="00053984">
        <w:t>. GCN2 activator (</w:t>
      </w:r>
      <w:proofErr w:type="spellStart"/>
      <w:r w:rsidRPr="00053984">
        <w:t>Histidinol</w:t>
      </w:r>
      <w:proofErr w:type="spellEnd"/>
      <w:r w:rsidRPr="00053984">
        <w:t>-Dihydrochloride (</w:t>
      </w:r>
      <w:proofErr w:type="spellStart"/>
      <w:r w:rsidRPr="00053984">
        <w:t>HisOH</w:t>
      </w:r>
      <w:proofErr w:type="spellEnd"/>
      <w:r w:rsidRPr="00053984">
        <w:t xml:space="preserve">) (Sigma-Aldrich)), HRI activator (Sodium </w:t>
      </w:r>
      <w:proofErr w:type="spellStart"/>
      <w:r w:rsidRPr="00053984">
        <w:t>Arsenite</w:t>
      </w:r>
      <w:r>
        <w:t>_ARS</w:t>
      </w:r>
      <w:proofErr w:type="spellEnd"/>
      <w:r>
        <w:t>)</w:t>
      </w:r>
      <w:r w:rsidRPr="00053984">
        <w:t xml:space="preserve"> (Sigma-Aldrich), Oligomycin, and PKR activator poly (I:C) (Sigma</w:t>
      </w:r>
      <w:r>
        <w:t>-</w:t>
      </w:r>
      <w:r w:rsidRPr="00053984">
        <w:t>Aldrich) were dissolved in sterile water and stored at -20</w:t>
      </w:r>
      <w:r>
        <w:t xml:space="preserve"> °C</w:t>
      </w:r>
      <w:r w:rsidRPr="00053984">
        <w:t xml:space="preserve"> until used. </w:t>
      </w:r>
    </w:p>
    <w:p w14:paraId="1FE0F61D" w14:textId="77777777" w:rsidR="007E19D4" w:rsidRPr="00044D5C" w:rsidRDefault="007E19D4" w:rsidP="007E19D4">
      <w:pPr>
        <w:spacing w:line="360" w:lineRule="auto"/>
        <w:jc w:val="both"/>
      </w:pPr>
      <w:r>
        <w:t xml:space="preserve">Naïve </w:t>
      </w:r>
      <w:r w:rsidRPr="00A02334">
        <w:t xml:space="preserve">HEK293 cells were treated with </w:t>
      </w:r>
      <w:proofErr w:type="spellStart"/>
      <w:r w:rsidRPr="00A02334">
        <w:t>Thapsigargin</w:t>
      </w:r>
      <w:proofErr w:type="spellEnd"/>
      <w:r w:rsidRPr="00A02334">
        <w:t xml:space="preserve"> 200 </w:t>
      </w:r>
      <w:proofErr w:type="spellStart"/>
      <w:r w:rsidRPr="00A02334">
        <w:t>nM</w:t>
      </w:r>
      <w:proofErr w:type="spellEnd"/>
      <w:r w:rsidRPr="00A02334">
        <w:t xml:space="preserve"> (2 hours), </w:t>
      </w:r>
      <w:proofErr w:type="spellStart"/>
      <w:r w:rsidRPr="00A02334">
        <w:t>HisOH</w:t>
      </w:r>
      <w:proofErr w:type="spellEnd"/>
      <w:r w:rsidRPr="00A02334">
        <w:t xml:space="preserve"> 2 mM (4 hours), ARS 200 µM (1 hours) or 10 µg/well poly(I:C) (24 hours), either in presence or absence of ISR modulators ISRIB (500 </w:t>
      </w:r>
      <w:proofErr w:type="spellStart"/>
      <w:r w:rsidRPr="00A02334">
        <w:t>nM</w:t>
      </w:r>
      <w:proofErr w:type="spellEnd"/>
      <w:r w:rsidRPr="00A02334">
        <w:t>), GSK (500 </w:t>
      </w:r>
      <w:proofErr w:type="spellStart"/>
      <w:r w:rsidRPr="00A02334">
        <w:t>nM</w:t>
      </w:r>
      <w:proofErr w:type="spellEnd"/>
      <w:r w:rsidRPr="00A02334">
        <w:t>), GCN2ib (1 µM) or DMSO as control. Both inducers and modulator treatments were added at the same time</w:t>
      </w:r>
      <w:r w:rsidRPr="00044D5C">
        <w:t xml:space="preserve">. Protein samples were collected in 200 µL </w:t>
      </w:r>
      <w:proofErr w:type="spellStart"/>
      <w:r w:rsidRPr="00044D5C">
        <w:t>Laemmli</w:t>
      </w:r>
      <w:proofErr w:type="spellEnd"/>
      <w:r w:rsidRPr="00044D5C">
        <w:t xml:space="preserve"> buffer, boiled at 95</w:t>
      </w:r>
      <w:r>
        <w:t xml:space="preserve"> °C</w:t>
      </w:r>
      <w:r w:rsidRPr="00044D5C">
        <w:t xml:space="preserve"> for 10 min</w:t>
      </w:r>
      <w:r>
        <w:t>utes</w:t>
      </w:r>
      <w:r w:rsidRPr="00044D5C">
        <w:t>, and stored at -20</w:t>
      </w:r>
      <w:r>
        <w:t xml:space="preserve"> °C</w:t>
      </w:r>
      <w:r w:rsidRPr="00044D5C">
        <w:t xml:space="preserve"> until WB</w:t>
      </w:r>
      <w:r>
        <w:t xml:space="preserve"> </w:t>
      </w:r>
      <w:r w:rsidRPr="00044D5C">
        <w:t>analysis.</w:t>
      </w:r>
    </w:p>
    <w:p w14:paraId="144E6DFC" w14:textId="77777777" w:rsidR="007E19D4" w:rsidRPr="00101146" w:rsidRDefault="007E19D4" w:rsidP="007E19D4">
      <w:pPr>
        <w:spacing w:line="360" w:lineRule="auto"/>
        <w:jc w:val="both"/>
      </w:pPr>
      <w:r>
        <w:t xml:space="preserve">To test the effect of </w:t>
      </w:r>
      <w:r w:rsidRPr="00101146">
        <w:t xml:space="preserve">ISR modulators </w:t>
      </w:r>
      <w:r>
        <w:t xml:space="preserve">in SOD1 aggregation, they were </w:t>
      </w:r>
      <w:r w:rsidRPr="00101146">
        <w:t xml:space="preserve">added 10 minutes after transfection both in the case of transfected HEK293 cells and primary neurons. Cells/neurons were fixed with PFA (96 </w:t>
      </w:r>
      <w:r>
        <w:t>hours</w:t>
      </w:r>
      <w:r w:rsidRPr="00101146">
        <w:t xml:space="preserve"> post-transfection) for </w:t>
      </w:r>
      <w:r>
        <w:t xml:space="preserve">IF </w:t>
      </w:r>
      <w:r w:rsidRPr="00101146">
        <w:t>staining and microscopy analysis.</w:t>
      </w:r>
      <w:r>
        <w:t xml:space="preserve"> </w:t>
      </w:r>
    </w:p>
    <w:p w14:paraId="1FDE1FE9" w14:textId="77777777" w:rsidR="007E19D4" w:rsidRDefault="007E19D4" w:rsidP="007E19D4">
      <w:pPr>
        <w:spacing w:line="360" w:lineRule="auto"/>
        <w:jc w:val="both"/>
      </w:pPr>
      <w:r>
        <w:lastRenderedPageBreak/>
        <w:t xml:space="preserve">To address the effect of GCN2 inhibition in neuronal survival, transfected neurons were treated with A92 (0.5 </w:t>
      </w:r>
      <w:r w:rsidRPr="00101146">
        <w:rPr>
          <w:rFonts w:ascii="Symbol" w:hAnsi="Symbol"/>
        </w:rPr>
        <w:t></w:t>
      </w:r>
      <w:r>
        <w:t xml:space="preserve">m, 1 </w:t>
      </w:r>
      <w:r>
        <w:rPr>
          <w:rFonts w:ascii="Symbol" w:hAnsi="Symbol"/>
        </w:rPr>
        <w:t></w:t>
      </w:r>
      <w:r>
        <w:t xml:space="preserve">m) or vehicle 16 hours post-transfection, added before </w:t>
      </w:r>
      <w:r w:rsidRPr="00C42994">
        <w:t>the</w:t>
      </w:r>
      <w:r>
        <w:t xml:space="preserve"> </w:t>
      </w:r>
      <w:r w:rsidRPr="00C42994">
        <w:t xml:space="preserve">first image acquisition </w:t>
      </w:r>
      <w:r>
        <w:t>(T1) in the l</w:t>
      </w:r>
      <w:r w:rsidRPr="00C42994">
        <w:t xml:space="preserve">ongitudinal </w:t>
      </w:r>
      <w:r>
        <w:t>s</w:t>
      </w:r>
      <w:r w:rsidRPr="00C42994">
        <w:t xml:space="preserve">urvival </w:t>
      </w:r>
      <w:r>
        <w:t xml:space="preserve">analysis. </w:t>
      </w:r>
    </w:p>
    <w:p w14:paraId="277AEC70" w14:textId="77777777" w:rsidR="007E19D4" w:rsidRPr="00134174" w:rsidRDefault="007E19D4" w:rsidP="007E19D4">
      <w:pPr>
        <w:pStyle w:val="Heading3"/>
        <w:rPr>
          <w:rFonts w:eastAsiaTheme="minorHAnsi" w:cstheme="minorBidi"/>
          <w:color w:val="000000"/>
        </w:rPr>
      </w:pPr>
      <w:r w:rsidRPr="00134174">
        <w:rPr>
          <w:rFonts w:eastAsia="Times New Roman"/>
          <w:lang w:eastAsia="es-ES"/>
        </w:rPr>
        <w:t>Western blot</w:t>
      </w:r>
      <w:r>
        <w:rPr>
          <w:rFonts w:eastAsia="Times New Roman"/>
          <w:lang w:eastAsia="es-ES"/>
        </w:rPr>
        <w:t xml:space="preserve"> (WB)</w:t>
      </w:r>
      <w:r w:rsidRPr="00134174">
        <w:rPr>
          <w:rFonts w:eastAsia="Times New Roman"/>
          <w:lang w:eastAsia="es-ES"/>
        </w:rPr>
        <w:t xml:space="preserve"> (SDS-PAGE)</w:t>
      </w:r>
    </w:p>
    <w:p w14:paraId="31CD4068" w14:textId="77777777" w:rsidR="007E19D4" w:rsidRDefault="007E19D4" w:rsidP="007E19D4">
      <w:pPr>
        <w:spacing w:line="360" w:lineRule="auto"/>
        <w:jc w:val="both"/>
      </w:pPr>
      <w:r w:rsidRPr="007112AF">
        <w:t xml:space="preserve">Protein samples for </w:t>
      </w:r>
      <w:r>
        <w:t>WB</w:t>
      </w:r>
      <w:r w:rsidRPr="007112AF">
        <w:t xml:space="preserve"> analysis were prepared from monolayer cell cultures. </w:t>
      </w:r>
      <w:r>
        <w:t xml:space="preserve">Cells were </w:t>
      </w:r>
      <w:r w:rsidRPr="007112AF">
        <w:t>washed twice with ice-cold phosphate-buffered saline (PBS)</w:t>
      </w:r>
      <w:r>
        <w:t xml:space="preserve"> and collected in </w:t>
      </w:r>
      <w:r w:rsidRPr="007112AF">
        <w:t xml:space="preserve">200 </w:t>
      </w:r>
      <w:proofErr w:type="spellStart"/>
      <w:r w:rsidRPr="007112AF">
        <w:t>μl</w:t>
      </w:r>
      <w:proofErr w:type="spellEnd"/>
      <w:r w:rsidRPr="007112AF">
        <w:t xml:space="preserve"> of </w:t>
      </w:r>
      <w:proofErr w:type="spellStart"/>
      <w:r w:rsidRPr="007112AF">
        <w:t>Laemli</w:t>
      </w:r>
      <w:proofErr w:type="spellEnd"/>
      <w:r w:rsidRPr="007112AF">
        <w:t xml:space="preserve"> buffer [50</w:t>
      </w:r>
      <w:r>
        <w:t xml:space="preserve"> </w:t>
      </w:r>
      <w:r w:rsidRPr="007112AF">
        <w:t xml:space="preserve">mM Tris pH 6.8 (Bio-Rad, Hercules, CA), 100 mM dithiothreitol (Sigma), 2% sodium dodecyl sulfate (SDS) (Bio-Rad), 10% glycerol (Sigma), 0.01% bromophenol blue (Merck, Darmstadt, Germany), </w:t>
      </w:r>
      <w:proofErr w:type="spellStart"/>
      <w:r w:rsidRPr="007112AF">
        <w:t>Phos</w:t>
      </w:r>
      <w:proofErr w:type="spellEnd"/>
      <w:r w:rsidRPr="007112AF">
        <w:t xml:space="preserve">-STOP phosphatase inhibitor cocktail (Roche, Basel, Switzerland), 17.5 mM β-glycerol phosphate (Sigma), and Complete protease inhibitor cocktail (Roche)]. </w:t>
      </w:r>
      <w:r>
        <w:t>T</w:t>
      </w:r>
      <w:r w:rsidRPr="007112AF">
        <w:t>otal protein extracts were transferred to clean 1.5 ml polypropylene tubes and boiled at 95</w:t>
      </w:r>
      <w:r>
        <w:t xml:space="preserve"> °C</w:t>
      </w:r>
      <w:r w:rsidRPr="007112AF">
        <w:t xml:space="preserve"> for 10 min</w:t>
      </w:r>
      <w:r>
        <w:t>utes</w:t>
      </w:r>
      <w:r w:rsidRPr="007112AF">
        <w:t>.</w:t>
      </w:r>
      <w:r>
        <w:t xml:space="preserve"> </w:t>
      </w:r>
    </w:p>
    <w:p w14:paraId="2A2CA6B5" w14:textId="77777777" w:rsidR="007E19D4" w:rsidRDefault="007E19D4" w:rsidP="007E19D4">
      <w:pPr>
        <w:pStyle w:val="Heading3"/>
      </w:pPr>
      <w:r>
        <w:t>Immunofluorescence (IF)</w:t>
      </w:r>
    </w:p>
    <w:p w14:paraId="0E0427D4" w14:textId="6C283B21" w:rsidR="007E19D4" w:rsidRDefault="007E19D4" w:rsidP="007E19D4">
      <w:pPr>
        <w:spacing w:line="360" w:lineRule="auto"/>
        <w:jc w:val="both"/>
      </w:pPr>
      <w:r w:rsidRPr="00FC7D39">
        <w:rPr>
          <w:rFonts w:cstheme="minorHAnsi"/>
          <w:bCs/>
          <w:color w:val="000000" w:themeColor="text1"/>
        </w:rPr>
        <w:t>Cell</w:t>
      </w:r>
      <w:r>
        <w:rPr>
          <w:rFonts w:cstheme="minorHAnsi"/>
          <w:bCs/>
          <w:color w:val="000000" w:themeColor="text1"/>
        </w:rPr>
        <w:t xml:space="preserve">s </w:t>
      </w:r>
      <w:r w:rsidRPr="00FC7D39">
        <w:rPr>
          <w:rFonts w:cstheme="minorHAnsi"/>
          <w:bCs/>
          <w:color w:val="000000" w:themeColor="text1"/>
        </w:rPr>
        <w:t xml:space="preserve">and neurons growing </w:t>
      </w:r>
      <w:r>
        <w:rPr>
          <w:rFonts w:cstheme="minorHAnsi"/>
          <w:bCs/>
          <w:color w:val="212121"/>
        </w:rPr>
        <w:t>o</w:t>
      </w:r>
      <w:r w:rsidRPr="001904E1">
        <w:rPr>
          <w:rFonts w:cstheme="minorHAnsi"/>
          <w:bCs/>
          <w:color w:val="212121"/>
        </w:rPr>
        <w:t xml:space="preserve">n coverslips </w:t>
      </w:r>
      <w:r w:rsidRPr="00FC7D39">
        <w:rPr>
          <w:rFonts w:cstheme="minorHAnsi"/>
          <w:bCs/>
          <w:color w:val="000000" w:themeColor="text1"/>
        </w:rPr>
        <w:t>were fixed 96 h</w:t>
      </w:r>
      <w:r>
        <w:rPr>
          <w:rFonts w:cstheme="minorHAnsi"/>
          <w:bCs/>
          <w:color w:val="000000" w:themeColor="text1"/>
        </w:rPr>
        <w:t>ours</w:t>
      </w:r>
      <w:r w:rsidRPr="00FC7D39">
        <w:rPr>
          <w:rFonts w:cstheme="minorHAnsi"/>
          <w:bCs/>
          <w:color w:val="000000" w:themeColor="text1"/>
        </w:rPr>
        <w:t xml:space="preserve"> after transfection </w:t>
      </w:r>
      <w:r w:rsidRPr="001904E1">
        <w:rPr>
          <w:rFonts w:cstheme="minorHAnsi"/>
          <w:bCs/>
          <w:color w:val="212121"/>
        </w:rPr>
        <w:t xml:space="preserve">with </w:t>
      </w:r>
      <w:r>
        <w:rPr>
          <w:rFonts w:cstheme="minorHAnsi"/>
          <w:bCs/>
          <w:color w:val="212121"/>
        </w:rPr>
        <w:t xml:space="preserve">PFA </w:t>
      </w:r>
      <w:r w:rsidRPr="001904E1">
        <w:rPr>
          <w:rFonts w:cstheme="minorHAnsi"/>
          <w:bCs/>
          <w:color w:val="212121"/>
        </w:rPr>
        <w:t>for 9 minutes. Coverslips were then washed twice with PBS and kept at 4</w:t>
      </w:r>
      <w:r>
        <w:rPr>
          <w:rFonts w:cstheme="minorHAnsi"/>
          <w:bCs/>
          <w:color w:val="212121"/>
        </w:rPr>
        <w:t xml:space="preserve"> °C</w:t>
      </w:r>
      <w:r w:rsidRPr="001904E1">
        <w:rPr>
          <w:rFonts w:cstheme="minorHAnsi"/>
          <w:bCs/>
          <w:color w:val="212121"/>
        </w:rPr>
        <w:t xml:space="preserve">. For </w:t>
      </w:r>
      <w:r>
        <w:rPr>
          <w:rFonts w:cstheme="minorHAnsi"/>
          <w:bCs/>
          <w:color w:val="212121"/>
        </w:rPr>
        <w:t xml:space="preserve">IF </w:t>
      </w:r>
      <w:r w:rsidRPr="001904E1">
        <w:rPr>
          <w:rFonts w:cstheme="minorHAnsi"/>
          <w:bCs/>
          <w:color w:val="212121"/>
        </w:rPr>
        <w:t>experiments, cells were first permeabilized with 0.1%Triton x-100 in PBS (PBT) for 20 min</w:t>
      </w:r>
      <w:r>
        <w:rPr>
          <w:rFonts w:cstheme="minorHAnsi"/>
          <w:bCs/>
          <w:color w:val="212121"/>
        </w:rPr>
        <w:t>utes</w:t>
      </w:r>
      <w:r w:rsidRPr="001904E1">
        <w:rPr>
          <w:rFonts w:cstheme="minorHAnsi"/>
          <w:bCs/>
          <w:color w:val="212121"/>
        </w:rPr>
        <w:t xml:space="preserve">, followed by </w:t>
      </w:r>
      <w:r>
        <w:rPr>
          <w:rFonts w:cstheme="minorHAnsi"/>
          <w:bCs/>
          <w:color w:val="212121"/>
        </w:rPr>
        <w:t>a 20-minute</w:t>
      </w:r>
      <w:r w:rsidRPr="001904E1">
        <w:rPr>
          <w:rFonts w:cstheme="minorHAnsi"/>
          <w:bCs/>
          <w:color w:val="212121"/>
        </w:rPr>
        <w:t xml:space="preserve"> incubation with 1</w:t>
      </w:r>
      <w:r>
        <w:rPr>
          <w:rFonts w:cstheme="minorHAnsi"/>
          <w:bCs/>
          <w:color w:val="212121"/>
        </w:rPr>
        <w:t xml:space="preserve"> </w:t>
      </w:r>
      <w:r w:rsidRPr="001904E1">
        <w:rPr>
          <w:rFonts w:cstheme="minorHAnsi"/>
          <w:bCs/>
          <w:color w:val="212121"/>
        </w:rPr>
        <w:t>M glycine (</w:t>
      </w:r>
      <w:proofErr w:type="spellStart"/>
      <w:r w:rsidRPr="001904E1">
        <w:rPr>
          <w:rFonts w:cstheme="minorHAnsi"/>
          <w:bCs/>
          <w:color w:val="212121"/>
        </w:rPr>
        <w:t>BioRad</w:t>
      </w:r>
      <w:proofErr w:type="spellEnd"/>
      <w:r w:rsidRPr="001904E1">
        <w:rPr>
          <w:rFonts w:cstheme="minorHAnsi"/>
          <w:bCs/>
          <w:color w:val="212121"/>
        </w:rPr>
        <w:t xml:space="preserve">) to quench autofluorescence and </w:t>
      </w:r>
      <w:r>
        <w:rPr>
          <w:rFonts w:cstheme="minorHAnsi"/>
          <w:bCs/>
          <w:color w:val="212121"/>
        </w:rPr>
        <w:t>1-hour</w:t>
      </w:r>
      <w:r w:rsidRPr="001904E1">
        <w:rPr>
          <w:rFonts w:cstheme="minorHAnsi"/>
          <w:bCs/>
          <w:color w:val="212121"/>
        </w:rPr>
        <w:t xml:space="preserve"> incubation with blocking solution (3% BSA (Merck-Millipore) in PBT). Next, cells were incubated with primary and secondary antibodies in blocking solution </w:t>
      </w:r>
      <w:r>
        <w:rPr>
          <w:rFonts w:cstheme="minorHAnsi"/>
          <w:bCs/>
          <w:color w:val="212121"/>
        </w:rPr>
        <w:t xml:space="preserve">for </w:t>
      </w:r>
      <w:r w:rsidRPr="001904E1">
        <w:rPr>
          <w:rFonts w:cstheme="minorHAnsi"/>
          <w:bCs/>
          <w:color w:val="212121"/>
        </w:rPr>
        <w:t>2 h</w:t>
      </w:r>
      <w:r>
        <w:rPr>
          <w:rFonts w:cstheme="minorHAnsi"/>
          <w:bCs/>
          <w:color w:val="212121"/>
        </w:rPr>
        <w:t>ours</w:t>
      </w:r>
      <w:r w:rsidRPr="001904E1">
        <w:rPr>
          <w:rFonts w:cstheme="minorHAnsi"/>
          <w:bCs/>
          <w:color w:val="212121"/>
        </w:rPr>
        <w:t xml:space="preserve"> each, at RT. After staining with DAPI (Sigma), coverslips were mounted over glass slides in mounting medium (25</w:t>
      </w:r>
      <w:r>
        <w:rPr>
          <w:rFonts w:cstheme="minorHAnsi"/>
          <w:bCs/>
          <w:color w:val="212121"/>
        </w:rPr>
        <w:t xml:space="preserve"> </w:t>
      </w:r>
      <w:r w:rsidRPr="001904E1">
        <w:rPr>
          <w:rFonts w:cstheme="minorHAnsi"/>
          <w:bCs/>
          <w:color w:val="212121"/>
        </w:rPr>
        <w:t xml:space="preserve">mg DABCO Sigma per milliliter (ml) of </w:t>
      </w:r>
      <w:proofErr w:type="spellStart"/>
      <w:r w:rsidRPr="001904E1">
        <w:rPr>
          <w:rFonts w:cstheme="minorHAnsi"/>
          <w:bCs/>
          <w:color w:val="212121"/>
        </w:rPr>
        <w:t>Permafluor</w:t>
      </w:r>
      <w:proofErr w:type="spellEnd"/>
      <w:r w:rsidRPr="001904E1">
        <w:rPr>
          <w:rFonts w:cstheme="minorHAnsi"/>
          <w:bCs/>
          <w:color w:val="212121"/>
        </w:rPr>
        <w:t xml:space="preserve"> (Thermo Scientific), dried for 30 min</w:t>
      </w:r>
      <w:r>
        <w:rPr>
          <w:rFonts w:cstheme="minorHAnsi"/>
          <w:bCs/>
          <w:color w:val="212121"/>
        </w:rPr>
        <w:t>utes</w:t>
      </w:r>
      <w:r w:rsidRPr="001904E1">
        <w:rPr>
          <w:rFonts w:cstheme="minorHAnsi"/>
          <w:bCs/>
          <w:color w:val="212121"/>
        </w:rPr>
        <w:t xml:space="preserve"> at 37</w:t>
      </w:r>
      <w:r>
        <w:rPr>
          <w:rFonts w:cstheme="minorHAnsi"/>
          <w:bCs/>
          <w:color w:val="212121"/>
        </w:rPr>
        <w:t xml:space="preserve"> °C</w:t>
      </w:r>
      <w:r w:rsidRPr="001904E1">
        <w:rPr>
          <w:rFonts w:cstheme="minorHAnsi"/>
          <w:bCs/>
          <w:color w:val="212121"/>
        </w:rPr>
        <w:t xml:space="preserve"> and kept at 4</w:t>
      </w:r>
      <w:r>
        <w:rPr>
          <w:rFonts w:cstheme="minorHAnsi"/>
          <w:bCs/>
          <w:color w:val="212121"/>
        </w:rPr>
        <w:t xml:space="preserve"> °C</w:t>
      </w:r>
      <w:r w:rsidRPr="001904E1">
        <w:rPr>
          <w:rFonts w:cstheme="minorHAnsi"/>
          <w:bCs/>
          <w:color w:val="212121"/>
        </w:rPr>
        <w:t xml:space="preserve"> until microscope visualization (see further details of this protocol in </w:t>
      </w:r>
      <w:sdt>
        <w:sdtPr>
          <w:rPr>
            <w:rFonts w:cstheme="minorHAnsi"/>
            <w:bCs/>
            <w:color w:val="000000"/>
          </w:rPr>
          <w:tag w:val="MENDELEY_CITATION_v3_eyJjaXRhdGlvbklEIjoiTUVOREVMRVlfQ0lUQVRJT05fZDhlMzdiMTktZTNhMi00YTg1LThhMzQtYzVjNWVjMWExZDg2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
          <w:id w:val="474036410"/>
          <w:placeholder>
            <w:docPart w:val="768109C7266D48CE904B2C12C0318B48"/>
          </w:placeholder>
        </w:sdtPr>
        <w:sdtEndPr/>
        <w:sdtContent>
          <w:r w:rsidR="009A5F6C" w:rsidRPr="009A5F6C">
            <w:rPr>
              <w:rFonts w:cstheme="minorHAnsi"/>
              <w:bCs/>
              <w:color w:val="000000"/>
            </w:rPr>
            <w:t>[5]</w:t>
          </w:r>
        </w:sdtContent>
      </w:sdt>
      <w:r w:rsidRPr="001904E1">
        <w:rPr>
          <w:rFonts w:cstheme="minorHAnsi"/>
          <w:bCs/>
          <w:color w:val="212121"/>
        </w:rPr>
        <w:t xml:space="preserve">). Images were acquired with 40x and 63x objectives on a Zeiss </w:t>
      </w:r>
      <w:proofErr w:type="spellStart"/>
      <w:r w:rsidRPr="001904E1">
        <w:rPr>
          <w:rFonts w:cstheme="minorHAnsi"/>
          <w:bCs/>
          <w:color w:val="212121"/>
        </w:rPr>
        <w:t>Axiovert</w:t>
      </w:r>
      <w:proofErr w:type="spellEnd"/>
      <w:r w:rsidRPr="001904E1">
        <w:rPr>
          <w:rFonts w:cstheme="minorHAnsi"/>
          <w:bCs/>
          <w:color w:val="212121"/>
        </w:rPr>
        <w:t xml:space="preserve"> 200M Fluorescence microscope (Zeiss, </w:t>
      </w:r>
      <w:proofErr w:type="spellStart"/>
      <w:r w:rsidRPr="001904E1">
        <w:rPr>
          <w:rFonts w:cstheme="minorHAnsi"/>
          <w:bCs/>
          <w:color w:val="212121"/>
        </w:rPr>
        <w:t>Oberkochen</w:t>
      </w:r>
      <w:proofErr w:type="spellEnd"/>
      <w:r w:rsidRPr="001904E1">
        <w:rPr>
          <w:rFonts w:cstheme="minorHAnsi"/>
          <w:bCs/>
          <w:color w:val="212121"/>
        </w:rPr>
        <w:t>, Germany</w:t>
      </w:r>
      <w:r>
        <w:rPr>
          <w:rFonts w:cstheme="minorHAnsi"/>
          <w:bCs/>
          <w:color w:val="212121"/>
        </w:rPr>
        <w:t>)</w:t>
      </w:r>
      <w:r w:rsidRPr="001904E1">
        <w:rPr>
          <w:rFonts w:cstheme="minorHAnsi"/>
          <w:bCs/>
          <w:color w:val="212121"/>
        </w:rPr>
        <w:t xml:space="preserve">. Both acquisition and processing were conducted with </w:t>
      </w:r>
      <w:proofErr w:type="spellStart"/>
      <w:r w:rsidRPr="001904E1">
        <w:rPr>
          <w:rFonts w:cstheme="minorHAnsi"/>
          <w:bCs/>
          <w:color w:val="212121"/>
        </w:rPr>
        <w:t>MetaMorph</w:t>
      </w:r>
      <w:proofErr w:type="spellEnd"/>
      <w:r w:rsidRPr="001904E1">
        <w:rPr>
          <w:rFonts w:cstheme="minorHAnsi"/>
          <w:bCs/>
          <w:color w:val="212121"/>
        </w:rPr>
        <w:t xml:space="preserve"> Microscopy Automation and Image Analysis Software (Molecular Devices, San Jose, CA). A minimum of 10 images per condition were acquired to reach </w:t>
      </w:r>
      <w:r>
        <w:rPr>
          <w:rFonts w:cstheme="minorHAnsi"/>
          <w:bCs/>
          <w:color w:val="212121"/>
        </w:rPr>
        <w:t xml:space="preserve">a minimum of </w:t>
      </w:r>
      <w:r w:rsidRPr="001904E1">
        <w:rPr>
          <w:rStyle w:val="Emphasis"/>
          <w:rFonts w:cstheme="minorHAnsi"/>
          <w:bCs/>
          <w:color w:val="212121"/>
        </w:rPr>
        <w:t>n</w:t>
      </w:r>
      <w:r w:rsidRPr="001904E1">
        <w:rPr>
          <w:rFonts w:cstheme="minorHAnsi"/>
          <w:bCs/>
          <w:color w:val="212121"/>
        </w:rPr>
        <w:t xml:space="preserve"> = 100 cells per condition </w:t>
      </w:r>
      <w:r>
        <w:rPr>
          <w:rFonts w:cstheme="minorHAnsi"/>
          <w:bCs/>
          <w:color w:val="212121"/>
        </w:rPr>
        <w:t>in</w:t>
      </w:r>
      <w:r w:rsidRPr="001904E1">
        <w:rPr>
          <w:rFonts w:cstheme="minorHAnsi"/>
          <w:bCs/>
          <w:color w:val="212121"/>
        </w:rPr>
        <w:t xml:space="preserve"> each independent experiment.</w:t>
      </w:r>
    </w:p>
    <w:p w14:paraId="50789AB9" w14:textId="77777777" w:rsidR="007E19D4" w:rsidRPr="00134174" w:rsidRDefault="007E19D4" w:rsidP="007E19D4">
      <w:pPr>
        <w:pStyle w:val="Heading3"/>
      </w:pPr>
      <w:r w:rsidRPr="00134174">
        <w:t>Microscopy for image acquisition</w:t>
      </w:r>
    </w:p>
    <w:p w14:paraId="3DD49994" w14:textId="77777777" w:rsidR="007E19D4" w:rsidRPr="00B578EE" w:rsidRDefault="007E19D4" w:rsidP="007E19D4">
      <w:pPr>
        <w:spacing w:line="360" w:lineRule="auto"/>
        <w:jc w:val="both"/>
        <w:rPr>
          <w:rFonts w:eastAsia="Times New Roman" w:cstheme="minorHAnsi"/>
          <w:lang w:eastAsia="es-ES"/>
        </w:rPr>
      </w:pPr>
      <w:r>
        <w:rPr>
          <w:lang w:eastAsia="es-ES"/>
        </w:rPr>
        <w:t xml:space="preserve">Images from neurons and HEK293 cells were acquired with 40X and 63X objectives on a Zeiss </w:t>
      </w:r>
      <w:proofErr w:type="spellStart"/>
      <w:r>
        <w:rPr>
          <w:lang w:eastAsia="es-ES"/>
        </w:rPr>
        <w:t>Axiovert</w:t>
      </w:r>
      <w:proofErr w:type="spellEnd"/>
      <w:r>
        <w:rPr>
          <w:lang w:eastAsia="es-ES"/>
        </w:rPr>
        <w:t xml:space="preserve"> 200M fluorescence microscope with </w:t>
      </w:r>
      <w:proofErr w:type="spellStart"/>
      <w:r>
        <w:rPr>
          <w:lang w:eastAsia="es-ES"/>
        </w:rPr>
        <w:t>MetaMorph</w:t>
      </w:r>
      <w:proofErr w:type="spellEnd"/>
      <w:r>
        <w:rPr>
          <w:lang w:eastAsia="es-ES"/>
        </w:rPr>
        <w:t xml:space="preserve"> Microscopy Automation and Image Analysis Software (Molecular Devices). </w:t>
      </w:r>
      <w:r w:rsidRPr="00230AE6">
        <w:rPr>
          <w:rFonts w:eastAsia="Times New Roman" w:cstheme="minorHAnsi"/>
          <w:lang w:eastAsia="es-ES"/>
        </w:rPr>
        <w:t xml:space="preserve">A </w:t>
      </w:r>
      <w:r>
        <w:rPr>
          <w:rFonts w:eastAsia="Times New Roman" w:cstheme="minorHAnsi"/>
          <w:lang w:eastAsia="es-ES"/>
        </w:rPr>
        <w:t xml:space="preserve">Zeiss </w:t>
      </w:r>
      <w:r w:rsidRPr="00230AE6">
        <w:rPr>
          <w:rFonts w:eastAsia="Times New Roman" w:cstheme="minorHAnsi"/>
          <w:lang w:eastAsia="es-ES"/>
        </w:rPr>
        <w:t xml:space="preserve">LSM-800 confocal microscope with Zen System 2.3 software (Zeiss) </w:t>
      </w:r>
      <w:r>
        <w:rPr>
          <w:rFonts w:eastAsia="Times New Roman" w:cstheme="minorHAnsi"/>
          <w:lang w:eastAsia="es-ES"/>
        </w:rPr>
        <w:t>and</w:t>
      </w:r>
      <w:r w:rsidRPr="00230AE6">
        <w:rPr>
          <w:rFonts w:eastAsia="Times New Roman" w:cstheme="minorHAnsi"/>
          <w:lang w:eastAsia="es-ES"/>
        </w:rPr>
        <w:t xml:space="preserve"> 63X objective was used for </w:t>
      </w:r>
      <w:r>
        <w:rPr>
          <w:rFonts w:eastAsia="Times New Roman" w:cstheme="minorHAnsi"/>
          <w:lang w:eastAsia="es-ES"/>
        </w:rPr>
        <w:t xml:space="preserve">the acquisition of </w:t>
      </w:r>
      <w:r w:rsidRPr="00230AE6">
        <w:rPr>
          <w:rFonts w:eastAsia="Times New Roman" w:cstheme="minorHAnsi"/>
          <w:lang w:eastAsia="es-ES"/>
        </w:rPr>
        <w:t>confocal images</w:t>
      </w:r>
      <w:r>
        <w:rPr>
          <w:rFonts w:eastAsia="Times New Roman" w:cstheme="minorHAnsi"/>
          <w:lang w:eastAsia="es-ES"/>
        </w:rPr>
        <w:t xml:space="preserve">. </w:t>
      </w:r>
      <w:r w:rsidRPr="00B578EE">
        <w:rPr>
          <w:rFonts w:eastAsia="Times New Roman" w:cstheme="minorHAnsi"/>
          <w:lang w:eastAsia="es-ES"/>
        </w:rPr>
        <w:t xml:space="preserve">Each confocal file was acquired as </w:t>
      </w:r>
      <w:r>
        <w:rPr>
          <w:rFonts w:eastAsia="Times New Roman" w:cstheme="minorHAnsi"/>
          <w:lang w:eastAsia="es-ES"/>
        </w:rPr>
        <w:t>a series</w:t>
      </w:r>
      <w:r w:rsidRPr="00B578EE">
        <w:rPr>
          <w:rFonts w:eastAsia="Times New Roman" w:cstheme="minorHAnsi"/>
          <w:lang w:eastAsia="es-ES"/>
        </w:rPr>
        <w:t xml:space="preserve"> of 20-40 Z-stack images spaced approximately 15-25 </w:t>
      </w:r>
      <w:r w:rsidRPr="00B578EE">
        <w:rPr>
          <w:rFonts w:ascii="Symbol" w:eastAsia="Times New Roman" w:hAnsi="Symbol" w:cstheme="minorHAnsi"/>
          <w:lang w:eastAsia="es-ES"/>
        </w:rPr>
        <w:t></w:t>
      </w:r>
      <w:r w:rsidRPr="00B578EE">
        <w:rPr>
          <w:rFonts w:eastAsia="Times New Roman" w:cstheme="minorHAnsi"/>
          <w:lang w:eastAsia="es-ES"/>
        </w:rPr>
        <w:t xml:space="preserve">m. </w:t>
      </w:r>
    </w:p>
    <w:p w14:paraId="20148B99" w14:textId="77777777" w:rsidR="007E19D4" w:rsidRDefault="007E19D4" w:rsidP="007E19D4">
      <w:pPr>
        <w:pStyle w:val="Heading4"/>
      </w:pPr>
      <w:r w:rsidRPr="00361B24">
        <w:lastRenderedPageBreak/>
        <w:t>Automated image acquisition</w:t>
      </w:r>
      <w:r>
        <w:t xml:space="preserve"> </w:t>
      </w:r>
    </w:p>
    <w:p w14:paraId="4F3C3556" w14:textId="2D4DB107" w:rsidR="007E19D4" w:rsidRDefault="007E19D4" w:rsidP="007E19D4">
      <w:pPr>
        <w:spacing w:line="360" w:lineRule="auto"/>
        <w:jc w:val="both"/>
        <w:rPr>
          <w:rFonts w:eastAsia="Times New Roman"/>
          <w:lang w:eastAsia="es-ES"/>
        </w:rPr>
      </w:pPr>
      <w:r>
        <w:t>P</w:t>
      </w:r>
      <w:r w:rsidRPr="00997F7E">
        <w:t xml:space="preserve">rimary </w:t>
      </w:r>
      <w:r>
        <w:t>t</w:t>
      </w:r>
      <w:r w:rsidRPr="00997F7E">
        <w:t xml:space="preserve">ransfected neurons </w:t>
      </w:r>
      <w:r>
        <w:t xml:space="preserve">in 24-well plates were subjected to longitudinal survival analysis by automated microscopy </w:t>
      </w:r>
      <w:sdt>
        <w:sdtPr>
          <w:rPr>
            <w:color w:val="000000"/>
          </w:rPr>
          <w:tag w:val="MENDELEY_CITATION_v3_eyJjaXRhdGlvbklEIjoiTUVOREVMRVlfQ0lUQVRJT05fYTFiNGQ1NGItODg0NS00NmY2LWIxNTItYjA2MjVkYmE1ZTQy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
          <w:id w:val="-731543082"/>
          <w:placeholder>
            <w:docPart w:val="152D30B2F3414EBCB4E61FA7D9E15D4D"/>
          </w:placeholder>
        </w:sdtPr>
        <w:sdtEndPr/>
        <w:sdtContent>
          <w:r w:rsidR="009A5F6C" w:rsidRPr="009A5F6C">
            <w:rPr>
              <w:color w:val="000000"/>
            </w:rPr>
            <w:t>[5]</w:t>
          </w:r>
        </w:sdtContent>
      </w:sdt>
      <w:sdt>
        <w:sdtPr>
          <w:rPr>
            <w:color w:val="000000"/>
          </w:rPr>
          <w:tag w:val="MENDELEY_CITATION_v3_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"/>
          <w:id w:val="1114944332"/>
          <w:placeholder>
            <w:docPart w:val="152D30B2F3414EBCB4E61FA7D9E15D4D"/>
          </w:placeholder>
        </w:sdtPr>
        <w:sdtEndPr/>
        <w:sdtContent>
          <w:r w:rsidR="009A5F6C" w:rsidRPr="009A5F6C">
            <w:rPr>
              <w:color w:val="000000"/>
            </w:rPr>
            <w:t>[6]</w:t>
          </w:r>
        </w:sdtContent>
      </w:sdt>
      <w:sdt>
        <w:sdtPr>
          <w:rPr>
            <w:rFonts w:eastAsia="Times New Roman" w:cstheme="minorHAnsi"/>
            <w:color w:val="000000"/>
            <w:lang w:eastAsia="es-ES"/>
          </w:rPr>
          <w:tag w:val="MENDELEY_CITATION_v3_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"/>
          <w:id w:val="-1000964785"/>
          <w:placeholder>
            <w:docPart w:val="152D30B2F3414EBCB4E61FA7D9E15D4D"/>
          </w:placeholder>
        </w:sdtPr>
        <w:sdtEndPr/>
        <w:sdtContent>
          <w:r w:rsidR="009A5F6C" w:rsidRPr="009A5F6C">
            <w:rPr>
              <w:rFonts w:eastAsia="Times New Roman" w:cstheme="minorHAnsi"/>
              <w:color w:val="000000"/>
              <w:lang w:eastAsia="es-ES"/>
            </w:rPr>
            <w:t>[4]</w:t>
          </w:r>
        </w:sdtContent>
      </w:sdt>
      <w:r>
        <w:rPr>
          <w:rFonts w:eastAsia="Times New Roman" w:cstheme="minorHAnsi"/>
          <w:color w:val="222222"/>
          <w:lang w:eastAsia="es-ES"/>
        </w:rPr>
        <w:t xml:space="preserve"> in a </w:t>
      </w:r>
      <w:r w:rsidRPr="00A73A01">
        <w:rPr>
          <w:rFonts w:eastAsia="Times New Roman" w:cstheme="minorHAnsi"/>
          <w:color w:val="222222"/>
          <w:lang w:eastAsia="es-ES"/>
        </w:rPr>
        <w:t xml:space="preserve">Zeiss Observer Z1 microscope, with a chamber </w:t>
      </w:r>
      <w:r>
        <w:rPr>
          <w:rFonts w:eastAsia="Times New Roman" w:cstheme="minorHAnsi"/>
          <w:color w:val="222222"/>
          <w:lang w:eastAsia="es-ES"/>
        </w:rPr>
        <w:t xml:space="preserve">to </w:t>
      </w:r>
      <w:r w:rsidRPr="00A73A01">
        <w:rPr>
          <w:rFonts w:eastAsia="Times New Roman" w:cstheme="minorHAnsi"/>
          <w:color w:val="222222"/>
          <w:lang w:eastAsia="es-ES"/>
        </w:rPr>
        <w:t xml:space="preserve">maintain </w:t>
      </w:r>
      <w:r>
        <w:rPr>
          <w:rFonts w:eastAsia="Times New Roman" w:cstheme="minorHAnsi"/>
          <w:color w:val="222222"/>
          <w:lang w:eastAsia="es-ES"/>
        </w:rPr>
        <w:t xml:space="preserve">stable </w:t>
      </w:r>
      <w:r w:rsidRPr="00A73A01">
        <w:rPr>
          <w:rFonts w:eastAsia="Times New Roman" w:cstheme="minorHAnsi"/>
          <w:color w:val="222222"/>
          <w:lang w:eastAsia="es-ES"/>
        </w:rPr>
        <w:t xml:space="preserve">temperature and </w:t>
      </w:r>
      <w:r>
        <w:rPr>
          <w:rFonts w:eastAsia="Times New Roman" w:cstheme="minorHAnsi"/>
          <w:color w:val="222222"/>
          <w:lang w:eastAsia="es-ES"/>
        </w:rPr>
        <w:t>CO</w:t>
      </w:r>
      <w:r w:rsidRPr="00A73A01">
        <w:rPr>
          <w:rFonts w:eastAsia="Times New Roman" w:cstheme="minorHAnsi"/>
          <w:color w:val="222222"/>
          <w:vertAlign w:val="subscript"/>
          <w:lang w:eastAsia="es-ES"/>
        </w:rPr>
        <w:t>2</w:t>
      </w:r>
      <w:r>
        <w:rPr>
          <w:rFonts w:eastAsia="Times New Roman" w:cstheme="minorHAnsi"/>
          <w:color w:val="222222"/>
          <w:lang w:eastAsia="es-ES"/>
        </w:rPr>
        <w:t xml:space="preserve"> conditions (</w:t>
      </w:r>
      <w:r w:rsidRPr="00A73A01">
        <w:rPr>
          <w:rFonts w:eastAsia="Times New Roman" w:cstheme="minorHAnsi"/>
          <w:color w:val="222222"/>
          <w:lang w:eastAsia="es-ES"/>
        </w:rPr>
        <w:t>37</w:t>
      </w:r>
      <w:r>
        <w:rPr>
          <w:rFonts w:eastAsia="Times New Roman" w:cstheme="minorHAnsi"/>
          <w:color w:val="222222"/>
          <w:lang w:eastAsia="es-ES"/>
        </w:rPr>
        <w:t xml:space="preserve"> °C, </w:t>
      </w:r>
      <w:r w:rsidRPr="00A73A01">
        <w:rPr>
          <w:rFonts w:eastAsia="Times New Roman" w:cstheme="minorHAnsi"/>
          <w:color w:val="222222"/>
          <w:lang w:eastAsia="es-ES"/>
        </w:rPr>
        <w:t>5% CO</w:t>
      </w:r>
      <w:r w:rsidRPr="00A73A01">
        <w:rPr>
          <w:rFonts w:eastAsia="Times New Roman" w:cstheme="minorHAnsi"/>
          <w:color w:val="222222"/>
          <w:vertAlign w:val="subscript"/>
          <w:lang w:eastAsia="es-ES"/>
        </w:rPr>
        <w:t>2</w:t>
      </w:r>
      <w:r>
        <w:rPr>
          <w:rFonts w:eastAsia="Times New Roman" w:cstheme="minorHAnsi"/>
          <w:color w:val="222222"/>
          <w:lang w:eastAsia="es-ES"/>
        </w:rPr>
        <w:t>)</w:t>
      </w:r>
      <w:r w:rsidRPr="00A73A01">
        <w:rPr>
          <w:rFonts w:eastAsia="Times New Roman" w:cstheme="minorHAnsi"/>
          <w:color w:val="222222"/>
          <w:lang w:eastAsia="es-ES"/>
        </w:rPr>
        <w:t>.</w:t>
      </w:r>
      <w:r>
        <w:rPr>
          <w:rFonts w:eastAsia="Times New Roman" w:cstheme="minorHAnsi"/>
          <w:color w:val="222222"/>
          <w:lang w:eastAsia="es-ES"/>
        </w:rPr>
        <w:t xml:space="preserve"> </w:t>
      </w:r>
      <w:r w:rsidRPr="00AF3B77">
        <w:rPr>
          <w:rFonts w:eastAsia="Times New Roman" w:cstheme="minorHAnsi"/>
          <w:lang w:eastAsia="es-ES"/>
        </w:rPr>
        <w:t xml:space="preserve">Typically, 3-4 wells per condition and 2 plates (replicates) per experiment were imaged. Specifically, 10 non-overlapping positions </w:t>
      </w:r>
      <w:r w:rsidRPr="000748AA">
        <w:rPr>
          <w:rFonts w:eastAsia="Times New Roman" w:cstheme="minorHAnsi"/>
          <w:lang w:eastAsia="es-ES"/>
        </w:rPr>
        <w:t xml:space="preserve">on each well </w:t>
      </w:r>
      <w:r>
        <w:rPr>
          <w:rFonts w:eastAsia="Times New Roman" w:cstheme="minorHAnsi"/>
          <w:lang w:eastAsia="es-ES"/>
        </w:rPr>
        <w:t xml:space="preserve">were </w:t>
      </w:r>
      <w:r w:rsidRPr="000748AA">
        <w:rPr>
          <w:rFonts w:eastAsia="Times New Roman" w:cstheme="minorHAnsi"/>
          <w:lang w:eastAsia="es-ES"/>
        </w:rPr>
        <w:t xml:space="preserve">randomly selected </w:t>
      </w:r>
      <w:r>
        <w:rPr>
          <w:rFonts w:eastAsia="Times New Roman" w:cstheme="minorHAnsi"/>
          <w:lang w:eastAsia="es-ES"/>
        </w:rPr>
        <w:t xml:space="preserve">on the first day </w:t>
      </w:r>
      <w:r w:rsidRPr="000748AA">
        <w:rPr>
          <w:rFonts w:eastAsia="Times New Roman" w:cstheme="minorHAnsi"/>
          <w:lang w:eastAsia="es-ES"/>
        </w:rPr>
        <w:t>and imaged with 10</w:t>
      </w:r>
      <w:r>
        <w:rPr>
          <w:rFonts w:eastAsia="Times New Roman" w:cstheme="minorHAnsi"/>
          <w:lang w:eastAsia="es-ES"/>
        </w:rPr>
        <w:t>X</w:t>
      </w:r>
      <w:r w:rsidRPr="000748AA">
        <w:rPr>
          <w:rFonts w:eastAsia="Times New Roman" w:cstheme="minorHAnsi"/>
          <w:lang w:eastAsia="es-ES"/>
        </w:rPr>
        <w:t xml:space="preserve"> </w:t>
      </w:r>
      <w:r>
        <w:rPr>
          <w:rFonts w:eastAsia="Times New Roman" w:cstheme="minorHAnsi"/>
          <w:lang w:eastAsia="es-ES"/>
        </w:rPr>
        <w:t>long-distance</w:t>
      </w:r>
      <w:r w:rsidRPr="00A73A01">
        <w:rPr>
          <w:rFonts w:eastAsia="Times New Roman" w:cstheme="minorHAnsi"/>
          <w:lang w:eastAsia="es-ES"/>
        </w:rPr>
        <w:t xml:space="preserve"> objectives</w:t>
      </w:r>
      <w:r w:rsidRPr="000748AA">
        <w:rPr>
          <w:rFonts w:eastAsia="Times New Roman" w:cstheme="minorHAnsi"/>
          <w:lang w:eastAsia="es-ES"/>
        </w:rPr>
        <w:t xml:space="preserve">. The same positions </w:t>
      </w:r>
      <w:r>
        <w:rPr>
          <w:rFonts w:eastAsia="Times New Roman" w:cstheme="minorHAnsi"/>
          <w:lang w:eastAsia="es-ES"/>
        </w:rPr>
        <w:t xml:space="preserve">were </w:t>
      </w:r>
      <w:r w:rsidRPr="000748AA">
        <w:rPr>
          <w:rFonts w:eastAsia="Times New Roman" w:cstheme="minorHAnsi"/>
          <w:lang w:eastAsia="es-ES"/>
        </w:rPr>
        <w:t xml:space="preserve">imaged </w:t>
      </w:r>
      <w:r>
        <w:rPr>
          <w:rFonts w:eastAsia="Times New Roman" w:cstheme="minorHAnsi"/>
          <w:lang w:eastAsia="es-ES"/>
        </w:rPr>
        <w:t>every 24 hours</w:t>
      </w:r>
      <w:r w:rsidRPr="000748AA">
        <w:rPr>
          <w:rFonts w:eastAsia="Times New Roman" w:cstheme="minorHAnsi"/>
          <w:lang w:eastAsia="es-ES"/>
        </w:rPr>
        <w:t xml:space="preserve"> </w:t>
      </w:r>
      <w:r>
        <w:rPr>
          <w:rFonts w:eastAsia="Times New Roman" w:cstheme="minorHAnsi"/>
          <w:lang w:eastAsia="es-ES"/>
        </w:rPr>
        <w:t xml:space="preserve">for 7-8 consecutive days with the </w:t>
      </w:r>
      <w:r w:rsidRPr="0040408F">
        <w:rPr>
          <w:lang w:val="en-GB"/>
        </w:rPr>
        <w:t>Zen System software (Zeiss)</w:t>
      </w:r>
      <w:r>
        <w:rPr>
          <w:lang w:val="en-GB"/>
        </w:rPr>
        <w:t xml:space="preserve"> </w:t>
      </w:r>
      <w:sdt>
        <w:sdtPr>
          <w:rPr>
            <w:color w:val="000000"/>
            <w:lang w:val="en-GB"/>
          </w:rPr>
          <w:tag w:val="MENDELEY_CITATION_v3_eyJjaXRhdGlvbklEIjoiTUVOREVMRVlfQ0lUQVRJT05fMDFmMzUwMTItZTZlYy00OTc5LWIwN2UtMzdmNDdkZTQ5NGY0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
          <w:id w:val="-554620698"/>
          <w:placeholder>
            <w:docPart w:val="88859A411B8246289FE0D0F2A2A722F4"/>
          </w:placeholder>
        </w:sdtPr>
        <w:sdtEndPr/>
        <w:sdtContent>
          <w:r w:rsidR="009A5F6C" w:rsidRPr="009A5F6C">
            <w:rPr>
              <w:color w:val="000000"/>
              <w:lang w:val="en-GB"/>
            </w:rPr>
            <w:t>[5]</w:t>
          </w:r>
        </w:sdtContent>
      </w:sdt>
      <w:r>
        <w:rPr>
          <w:rFonts w:eastAsia="Times New Roman"/>
          <w:lang w:eastAsia="es-ES"/>
        </w:rPr>
        <w:t xml:space="preserve">. </w:t>
      </w:r>
    </w:p>
    <w:p w14:paraId="53D70C64" w14:textId="77777777" w:rsidR="007E19D4" w:rsidRDefault="007E19D4" w:rsidP="007E19D4">
      <w:pPr>
        <w:pStyle w:val="Heading4"/>
        <w:spacing w:line="360" w:lineRule="auto"/>
        <w:rPr>
          <w:rFonts w:eastAsia="Times New Roman"/>
          <w:lang w:eastAsia="es-ES"/>
        </w:rPr>
      </w:pPr>
      <w:r>
        <w:rPr>
          <w:rFonts w:eastAsia="Times New Roman"/>
          <w:lang w:eastAsia="es-ES"/>
        </w:rPr>
        <w:t>Colorimetric immunohistochemistry images</w:t>
      </w:r>
    </w:p>
    <w:p w14:paraId="7C034499" w14:textId="77777777" w:rsidR="007E19D4" w:rsidRPr="00135167" w:rsidRDefault="007E19D4" w:rsidP="007E19D4">
      <w:pPr>
        <w:spacing w:line="360" w:lineRule="auto"/>
        <w:jc w:val="both"/>
        <w:rPr>
          <w:rFonts w:eastAsia="Times New Roman"/>
          <w:color w:val="FF0000"/>
          <w:lang w:eastAsia="es-ES"/>
        </w:rPr>
      </w:pPr>
      <w:r>
        <w:rPr>
          <w:rFonts w:eastAsia="Times New Roman"/>
          <w:lang w:eastAsia="es-ES"/>
        </w:rPr>
        <w:t>I</w:t>
      </w:r>
      <w:r w:rsidRPr="00AB7A96">
        <w:rPr>
          <w:rFonts w:eastAsia="Times New Roman"/>
          <w:lang w:eastAsia="es-ES"/>
        </w:rPr>
        <w:t xml:space="preserve">mages from colorimetric </w:t>
      </w:r>
      <w:r>
        <w:rPr>
          <w:rFonts w:eastAsia="Times New Roman"/>
          <w:lang w:eastAsia="es-ES"/>
        </w:rPr>
        <w:t>immunohistochemistry</w:t>
      </w:r>
      <w:r w:rsidRPr="00AB7A96">
        <w:rPr>
          <w:rFonts w:eastAsia="Times New Roman"/>
          <w:lang w:eastAsia="es-ES"/>
        </w:rPr>
        <w:t xml:space="preserve"> in spinal cord samples </w:t>
      </w:r>
      <w:r>
        <w:rPr>
          <w:rFonts w:eastAsia="Times New Roman"/>
          <w:lang w:eastAsia="es-ES"/>
        </w:rPr>
        <w:t xml:space="preserve">were acquired with an </w:t>
      </w:r>
      <w:proofErr w:type="spellStart"/>
      <w:r w:rsidRPr="00AB7A96">
        <w:rPr>
          <w:rFonts w:eastAsia="Times New Roman"/>
          <w:lang w:eastAsia="es-ES"/>
        </w:rPr>
        <w:t>Aperio</w:t>
      </w:r>
      <w:proofErr w:type="spellEnd"/>
      <w:r w:rsidRPr="00AB7A96">
        <w:rPr>
          <w:rFonts w:eastAsia="Times New Roman"/>
          <w:lang w:eastAsia="es-ES"/>
        </w:rPr>
        <w:t xml:space="preserve"> CS2 microscope</w:t>
      </w:r>
      <w:r>
        <w:rPr>
          <w:rFonts w:eastAsia="Times New Roman"/>
          <w:lang w:eastAsia="es-ES"/>
        </w:rPr>
        <w:t xml:space="preserve"> (2</w:t>
      </w:r>
      <w:r w:rsidRPr="00AB7A96">
        <w:rPr>
          <w:rFonts w:eastAsia="Times New Roman"/>
          <w:lang w:eastAsia="es-ES"/>
        </w:rPr>
        <w:t>0X magnification</w:t>
      </w:r>
      <w:r>
        <w:rPr>
          <w:rFonts w:eastAsia="Times New Roman"/>
          <w:lang w:eastAsia="es-ES"/>
        </w:rPr>
        <w:t xml:space="preserve">, </w:t>
      </w:r>
      <w:proofErr w:type="spellStart"/>
      <w:r w:rsidRPr="00AB7A96">
        <w:rPr>
          <w:rFonts w:eastAsia="Times New Roman"/>
          <w:lang w:eastAsia="es-ES"/>
        </w:rPr>
        <w:t>Aperio</w:t>
      </w:r>
      <w:proofErr w:type="spellEnd"/>
      <w:r w:rsidRPr="00AB7A96">
        <w:rPr>
          <w:rFonts w:eastAsia="Times New Roman"/>
          <w:lang w:eastAsia="es-ES"/>
        </w:rPr>
        <w:t xml:space="preserve"> Scan Scope software</w:t>
      </w:r>
      <w:r>
        <w:rPr>
          <w:rFonts w:eastAsia="Times New Roman"/>
          <w:lang w:eastAsia="es-ES"/>
        </w:rPr>
        <w:t>)</w:t>
      </w:r>
      <w:r w:rsidRPr="00AB7A96">
        <w:rPr>
          <w:rFonts w:eastAsia="Times New Roman"/>
          <w:lang w:eastAsia="es-ES"/>
        </w:rPr>
        <w:t xml:space="preserve"> (Leica).</w:t>
      </w:r>
      <w:r w:rsidRPr="00135167">
        <w:rPr>
          <w:rFonts w:eastAsia="Times New Roman"/>
          <w:color w:val="FF0000"/>
          <w:lang w:eastAsia="es-ES"/>
        </w:rPr>
        <w:t xml:space="preserve"> </w:t>
      </w:r>
    </w:p>
    <w:p w14:paraId="4699CE54" w14:textId="158D471B" w:rsidR="007E19D4" w:rsidRPr="007E19D4" w:rsidRDefault="007E19D4" w:rsidP="007E19D4">
      <w:pPr>
        <w:pStyle w:val="Heading3"/>
        <w:rPr>
          <w:rFonts w:eastAsia="Times New Roman"/>
          <w:lang w:eastAsia="es-ES"/>
        </w:rPr>
      </w:pPr>
      <w:r w:rsidRPr="00134174">
        <w:rPr>
          <w:rFonts w:eastAsia="Times New Roman"/>
          <w:lang w:eastAsia="es-ES"/>
        </w:rPr>
        <w:t xml:space="preserve">Image </w:t>
      </w:r>
      <w:r>
        <w:rPr>
          <w:rFonts w:eastAsia="Times New Roman"/>
          <w:lang w:eastAsia="es-ES"/>
        </w:rPr>
        <w:t>Processing</w:t>
      </w:r>
      <w:r w:rsidRPr="00134174">
        <w:rPr>
          <w:rFonts w:eastAsia="Times New Roman"/>
          <w:lang w:eastAsia="es-ES"/>
        </w:rPr>
        <w:t xml:space="preserve"> and Statistics</w:t>
      </w:r>
    </w:p>
    <w:p w14:paraId="42273898" w14:textId="77777777" w:rsidR="0024098F" w:rsidRDefault="0024098F" w:rsidP="007E19D4">
      <w:pPr>
        <w:pStyle w:val="Heading4"/>
        <w:spacing w:before="0" w:line="360" w:lineRule="auto"/>
        <w:rPr>
          <w:lang w:eastAsia="es-ES"/>
        </w:rPr>
      </w:pPr>
    </w:p>
    <w:p w14:paraId="4D1F70BD" w14:textId="6895493B" w:rsidR="007E19D4" w:rsidRPr="000A6F04" w:rsidRDefault="007E19D4" w:rsidP="007E19D4">
      <w:pPr>
        <w:pStyle w:val="Heading4"/>
        <w:spacing w:before="0" w:line="360" w:lineRule="auto"/>
        <w:rPr>
          <w:lang w:eastAsia="es-ES"/>
        </w:rPr>
      </w:pPr>
      <w:r>
        <w:rPr>
          <w:lang w:eastAsia="es-ES"/>
        </w:rPr>
        <w:t>Image processing</w:t>
      </w:r>
    </w:p>
    <w:p w14:paraId="4A34E052" w14:textId="77777777" w:rsidR="007E19D4" w:rsidRPr="00C05CA7" w:rsidRDefault="007E19D4" w:rsidP="007E19D4">
      <w:pPr>
        <w:spacing w:after="0" w:line="360" w:lineRule="auto"/>
        <w:jc w:val="both"/>
      </w:pPr>
      <w:r w:rsidRPr="00C05CA7">
        <w:t xml:space="preserve">Quantification of individual cells per field and fluorescence intensity in single HEK293 cells/neurons were analyzed with </w:t>
      </w:r>
      <w:proofErr w:type="spellStart"/>
      <w:r w:rsidRPr="00C05CA7">
        <w:t>Metamorph</w:t>
      </w:r>
      <w:proofErr w:type="spellEnd"/>
      <w:r w:rsidRPr="00C05CA7">
        <w:t xml:space="preserve"> Meta Imaging Series 7.7 software in images from </w:t>
      </w:r>
      <w:r>
        <w:t xml:space="preserve">an </w:t>
      </w:r>
      <w:proofErr w:type="spellStart"/>
      <w:r w:rsidRPr="00C05CA7">
        <w:t>Axiovert</w:t>
      </w:r>
      <w:proofErr w:type="spellEnd"/>
      <w:r w:rsidRPr="00C05CA7">
        <w:t xml:space="preserve"> 200M microscope (40X magnification). The final average fluorescence intensity values were the result of subtracting the background signal from the fluorescence intensity measured in an area corresponding to the whole cell cytoplasm or neuronal soma. Those images were also exported as TIFF for unbiased analysis of SOD1 intracellular pattern distribution with </w:t>
      </w:r>
      <w:proofErr w:type="spellStart"/>
      <w:r w:rsidRPr="00C05CA7">
        <w:t>FociCount</w:t>
      </w:r>
      <w:proofErr w:type="spellEnd"/>
      <w:r w:rsidRPr="00C05CA7">
        <w:t xml:space="preserve"> (see below).</w:t>
      </w:r>
    </w:p>
    <w:p w14:paraId="698E8593" w14:textId="77777777" w:rsidR="007E19D4" w:rsidRPr="00767475" w:rsidRDefault="007E19D4" w:rsidP="007E19D4">
      <w:pPr>
        <w:pStyle w:val="Heading4"/>
        <w:rPr>
          <w:rFonts w:eastAsia="Times New Roman"/>
          <w:lang w:eastAsia="es-ES"/>
        </w:rPr>
      </w:pPr>
      <w:r>
        <w:rPr>
          <w:rFonts w:eastAsia="Times New Roman"/>
          <w:lang w:eastAsia="es-ES"/>
        </w:rPr>
        <w:t>S</w:t>
      </w:r>
      <w:r w:rsidRPr="00E24A71">
        <w:rPr>
          <w:rFonts w:eastAsia="Times New Roman"/>
          <w:lang w:eastAsia="es-ES"/>
        </w:rPr>
        <w:t xml:space="preserve">emiautomated </w:t>
      </w:r>
      <w:r>
        <w:rPr>
          <w:rFonts w:eastAsia="Times New Roman"/>
          <w:lang w:eastAsia="es-ES"/>
        </w:rPr>
        <w:t>Image processing for clustering analysis (</w:t>
      </w:r>
      <w:proofErr w:type="spellStart"/>
      <w:r>
        <w:rPr>
          <w:rFonts w:eastAsia="Times New Roman"/>
          <w:lang w:eastAsia="es-ES"/>
        </w:rPr>
        <w:t>FociCount</w:t>
      </w:r>
      <w:proofErr w:type="spellEnd"/>
      <w:r>
        <w:rPr>
          <w:rFonts w:eastAsia="Times New Roman"/>
          <w:lang w:eastAsia="es-ES"/>
        </w:rPr>
        <w:t>)</w:t>
      </w:r>
      <w:r w:rsidRPr="007F0F82">
        <w:rPr>
          <w:rFonts w:eastAsia="Times New Roman"/>
          <w:lang w:eastAsia="es-ES"/>
        </w:rPr>
        <w:t xml:space="preserve"> </w:t>
      </w:r>
    </w:p>
    <w:p w14:paraId="1BA745CD" w14:textId="77777777" w:rsidR="007E19D4" w:rsidRPr="00E40DD9" w:rsidRDefault="007E19D4" w:rsidP="007E19D4">
      <w:pPr>
        <w:spacing w:line="360" w:lineRule="auto"/>
        <w:jc w:val="both"/>
        <w:rPr>
          <w:rFonts w:eastAsia="Times New Roman"/>
          <w:lang w:eastAsia="es-ES"/>
        </w:rPr>
      </w:pPr>
      <w:r w:rsidRPr="007F0F82">
        <w:rPr>
          <w:rFonts w:eastAsia="Times New Roman"/>
          <w:lang w:eastAsia="es-ES"/>
        </w:rPr>
        <w:t xml:space="preserve">To avoid quantification bias, we developed a customized </w:t>
      </w:r>
      <w:r>
        <w:rPr>
          <w:rFonts w:eastAsia="Times New Roman"/>
          <w:lang w:eastAsia="es-ES"/>
        </w:rPr>
        <w:t xml:space="preserve">FIJI-based </w:t>
      </w:r>
      <w:r w:rsidRPr="007F0F82">
        <w:rPr>
          <w:rFonts w:eastAsia="Times New Roman"/>
          <w:lang w:eastAsia="es-ES"/>
        </w:rPr>
        <w:t xml:space="preserve">semiautomated </w:t>
      </w:r>
      <w:r>
        <w:rPr>
          <w:rFonts w:eastAsia="Times New Roman"/>
          <w:lang w:eastAsia="es-ES"/>
        </w:rPr>
        <w:t xml:space="preserve">quantification tool, </w:t>
      </w:r>
      <w:proofErr w:type="spellStart"/>
      <w:r>
        <w:rPr>
          <w:rFonts w:eastAsia="Times New Roman"/>
          <w:lang w:eastAsia="es-ES"/>
        </w:rPr>
        <w:t>FociCount</w:t>
      </w:r>
      <w:proofErr w:type="spellEnd"/>
      <w:r w:rsidRPr="007F0F82">
        <w:rPr>
          <w:rFonts w:eastAsia="Times New Roman"/>
          <w:lang w:eastAsia="es-ES"/>
        </w:rPr>
        <w:t xml:space="preserve">. </w:t>
      </w:r>
      <w:proofErr w:type="spellStart"/>
      <w:r>
        <w:rPr>
          <w:rFonts w:eastAsia="Times New Roman"/>
          <w:lang w:eastAsia="es-ES"/>
        </w:rPr>
        <w:t>FociCount</w:t>
      </w:r>
      <w:proofErr w:type="spellEnd"/>
      <w:r>
        <w:rPr>
          <w:rFonts w:eastAsia="Times New Roman"/>
          <w:lang w:eastAsia="es-ES"/>
        </w:rPr>
        <w:t xml:space="preserve">  1) automatically </w:t>
      </w:r>
      <w:r w:rsidRPr="007F0F82">
        <w:rPr>
          <w:rFonts w:eastAsia="Times New Roman"/>
          <w:lang w:eastAsia="es-ES"/>
        </w:rPr>
        <w:t>enhances the image contrast</w:t>
      </w:r>
      <w:r>
        <w:rPr>
          <w:rFonts w:eastAsia="Times New Roman"/>
          <w:lang w:eastAsia="es-ES"/>
        </w:rPr>
        <w:t xml:space="preserve"> of epifluorescence images,</w:t>
      </w:r>
      <w:r w:rsidRPr="007F0F82">
        <w:rPr>
          <w:rFonts w:eastAsia="Times New Roman"/>
          <w:lang w:eastAsia="es-ES"/>
        </w:rPr>
        <w:t xml:space="preserve"> allowing the </w:t>
      </w:r>
      <w:r>
        <w:rPr>
          <w:rFonts w:eastAsia="Times New Roman"/>
          <w:lang w:eastAsia="es-ES"/>
        </w:rPr>
        <w:t xml:space="preserve">manual determination of the perimeter of individual cells; then, 2) it </w:t>
      </w:r>
      <w:r w:rsidRPr="00314E60">
        <w:rPr>
          <w:rFonts w:eastAsia="Times New Roman"/>
          <w:lang w:eastAsia="es-ES"/>
        </w:rPr>
        <w:t xml:space="preserve">detects and counts individual foci using the function </w:t>
      </w:r>
      <w:r w:rsidRPr="00465D65">
        <w:rPr>
          <w:rFonts w:eastAsia="Times New Roman"/>
          <w:i/>
          <w:lang w:eastAsia="es-ES"/>
        </w:rPr>
        <w:t>find maxima</w:t>
      </w:r>
      <w:r w:rsidRPr="00314E60">
        <w:rPr>
          <w:rFonts w:eastAsia="Times New Roman"/>
          <w:lang w:eastAsia="es-ES"/>
        </w:rPr>
        <w:t xml:space="preserve"> and</w:t>
      </w:r>
      <w:r>
        <w:rPr>
          <w:rFonts w:eastAsia="Times New Roman"/>
          <w:lang w:eastAsia="es-ES"/>
        </w:rPr>
        <w:t xml:space="preserve">, </w:t>
      </w:r>
      <w:r w:rsidRPr="007F0F82">
        <w:rPr>
          <w:rFonts w:eastAsia="Times New Roman"/>
          <w:lang w:eastAsia="es-ES"/>
        </w:rPr>
        <w:t xml:space="preserve">finally </w:t>
      </w:r>
      <w:r>
        <w:rPr>
          <w:rFonts w:eastAsia="Times New Roman"/>
          <w:lang w:eastAsia="es-ES"/>
        </w:rPr>
        <w:t>3</w:t>
      </w:r>
      <w:r w:rsidRPr="007F0F82">
        <w:rPr>
          <w:rFonts w:eastAsia="Times New Roman"/>
          <w:lang w:eastAsia="es-ES"/>
        </w:rPr>
        <w:t xml:space="preserve">) uses the algorithm </w:t>
      </w:r>
      <w:r w:rsidRPr="00465D65">
        <w:rPr>
          <w:rFonts w:eastAsia="Times New Roman"/>
          <w:i/>
          <w:lang w:eastAsia="es-ES"/>
        </w:rPr>
        <w:t xml:space="preserve">growing </w:t>
      </w:r>
      <w:r w:rsidRPr="00465D65">
        <w:rPr>
          <w:rFonts w:eastAsia="Times New Roman"/>
          <w:lang w:eastAsia="es-ES"/>
        </w:rPr>
        <w:t>region t</w:t>
      </w:r>
      <w:r w:rsidRPr="007F0F82">
        <w:rPr>
          <w:rFonts w:eastAsia="Times New Roman"/>
          <w:lang w:eastAsia="es-ES"/>
        </w:rPr>
        <w:t xml:space="preserve">o determine area </w:t>
      </w:r>
      <w:r>
        <w:rPr>
          <w:rFonts w:eastAsia="Times New Roman"/>
          <w:lang w:eastAsia="es-ES"/>
        </w:rPr>
        <w:t>and</w:t>
      </w:r>
      <w:r w:rsidRPr="007F0F82">
        <w:rPr>
          <w:rFonts w:eastAsia="Times New Roman"/>
          <w:lang w:eastAsia="es-ES"/>
        </w:rPr>
        <w:t xml:space="preserve"> average fluorescence intensity </w:t>
      </w:r>
      <w:r>
        <w:rPr>
          <w:rFonts w:eastAsia="Times New Roman"/>
          <w:lang w:eastAsia="es-ES"/>
        </w:rPr>
        <w:t>for each focus</w:t>
      </w:r>
      <w:r w:rsidRPr="007F0F82">
        <w:rPr>
          <w:rFonts w:eastAsia="Times New Roman"/>
          <w:lang w:eastAsia="es-ES"/>
        </w:rPr>
        <w:t xml:space="preserve">.  </w:t>
      </w:r>
      <w:r>
        <w:rPr>
          <w:rFonts w:eastAsia="Times New Roman"/>
          <w:lang w:eastAsia="es-ES"/>
        </w:rPr>
        <w:t xml:space="preserve">Quantitation of </w:t>
      </w:r>
      <w:proofErr w:type="spellStart"/>
      <w:r>
        <w:rPr>
          <w:rFonts w:eastAsia="Times New Roman"/>
          <w:lang w:eastAsia="es-ES"/>
        </w:rPr>
        <w:t>FociCount</w:t>
      </w:r>
      <w:proofErr w:type="spellEnd"/>
      <w:r>
        <w:rPr>
          <w:rFonts w:eastAsia="Times New Roman"/>
          <w:lang w:eastAsia="es-ES"/>
        </w:rPr>
        <w:t>-derived data allows us to score two main parameters: a) the number of foci per cell and b) the fraction of fluorescence signal in foci.</w:t>
      </w:r>
    </w:p>
    <w:p w14:paraId="7B2D8470" w14:textId="77777777" w:rsidR="007E19D4" w:rsidRPr="00AF3B77" w:rsidRDefault="007E19D4" w:rsidP="007E19D4">
      <w:pPr>
        <w:pStyle w:val="Heading4"/>
        <w:rPr>
          <w:rFonts w:eastAsia="Times New Roman"/>
          <w:lang w:eastAsia="es-ES"/>
        </w:rPr>
      </w:pPr>
      <w:r>
        <w:rPr>
          <w:rFonts w:eastAsia="Times New Roman"/>
          <w:lang w:eastAsia="es-ES"/>
        </w:rPr>
        <w:t>Motoneurons counting</w:t>
      </w:r>
      <w:r w:rsidRPr="00AF3B77">
        <w:rPr>
          <w:rFonts w:eastAsia="Times New Roman"/>
          <w:lang w:eastAsia="es-ES"/>
        </w:rPr>
        <w:t xml:space="preserve"> </w:t>
      </w:r>
    </w:p>
    <w:p w14:paraId="1C3EBB05" w14:textId="77777777" w:rsidR="007E19D4" w:rsidRPr="00AB7A96" w:rsidRDefault="007E19D4" w:rsidP="007E19D4">
      <w:pPr>
        <w:spacing w:line="360" w:lineRule="auto"/>
        <w:jc w:val="both"/>
        <w:rPr>
          <w:rFonts w:eastAsia="Times New Roman"/>
          <w:lang w:eastAsia="es-ES"/>
        </w:rPr>
      </w:pPr>
      <w:proofErr w:type="spellStart"/>
      <w:r>
        <w:rPr>
          <w:rFonts w:eastAsia="Times New Roman"/>
          <w:lang w:eastAsia="es-ES"/>
        </w:rPr>
        <w:t>ChAT</w:t>
      </w:r>
      <w:proofErr w:type="spellEnd"/>
      <w:r>
        <w:rPr>
          <w:rFonts w:eastAsia="Times New Roman"/>
          <w:lang w:eastAsia="es-ES"/>
        </w:rPr>
        <w:t>-positive</w:t>
      </w:r>
      <w:r w:rsidRPr="00AB7A96">
        <w:rPr>
          <w:rFonts w:eastAsia="Times New Roman"/>
          <w:lang w:eastAsia="es-ES"/>
        </w:rPr>
        <w:t xml:space="preserve"> motoneurons were counted in 5 lumbar </w:t>
      </w:r>
      <w:r>
        <w:rPr>
          <w:rFonts w:eastAsia="Times New Roman"/>
          <w:lang w:eastAsia="es-ES"/>
        </w:rPr>
        <w:t>spinal cord sections (L1 to L5) (left and right</w:t>
      </w:r>
      <w:r w:rsidRPr="00AB7A96">
        <w:rPr>
          <w:rFonts w:eastAsia="Times New Roman"/>
          <w:lang w:eastAsia="es-ES"/>
        </w:rPr>
        <w:t xml:space="preserve"> ventra</w:t>
      </w:r>
      <w:r>
        <w:rPr>
          <w:rFonts w:eastAsia="Times New Roman"/>
          <w:lang w:eastAsia="es-ES"/>
        </w:rPr>
        <w:t xml:space="preserve">l </w:t>
      </w:r>
      <w:r w:rsidRPr="00AB7A96">
        <w:rPr>
          <w:rFonts w:eastAsia="Times New Roman"/>
          <w:lang w:eastAsia="es-ES"/>
        </w:rPr>
        <w:t>horns</w:t>
      </w:r>
      <w:r>
        <w:rPr>
          <w:rFonts w:eastAsia="Times New Roman"/>
          <w:lang w:eastAsia="es-ES"/>
        </w:rPr>
        <w:t>)</w:t>
      </w:r>
      <w:r w:rsidRPr="00AB7A96">
        <w:rPr>
          <w:rFonts w:eastAsia="Times New Roman"/>
          <w:lang w:eastAsia="es-ES"/>
        </w:rPr>
        <w:t xml:space="preserve">. Images were selected with </w:t>
      </w:r>
      <w:proofErr w:type="spellStart"/>
      <w:r w:rsidRPr="00AB7A96">
        <w:rPr>
          <w:rFonts w:eastAsia="Times New Roman"/>
          <w:lang w:eastAsia="es-ES"/>
        </w:rPr>
        <w:t>Aperio</w:t>
      </w:r>
      <w:proofErr w:type="spellEnd"/>
      <w:r w:rsidRPr="00AB7A96">
        <w:rPr>
          <w:rFonts w:eastAsia="Times New Roman"/>
          <w:lang w:eastAsia="es-ES"/>
        </w:rPr>
        <w:t xml:space="preserve"> Image Scope (Leica) </w:t>
      </w:r>
      <w:r>
        <w:rPr>
          <w:rFonts w:eastAsia="Times New Roman"/>
          <w:lang w:eastAsia="es-ES"/>
        </w:rPr>
        <w:t xml:space="preserve">taking as </w:t>
      </w:r>
      <w:r w:rsidRPr="00AB7A96">
        <w:rPr>
          <w:rFonts w:eastAsia="Times New Roman"/>
          <w:lang w:eastAsia="es-ES"/>
        </w:rPr>
        <w:t>reference the Mouse Spinal Cord atlas (Allen Brain Atlas, Allen Institute for Brain Science)</w:t>
      </w:r>
      <w:r>
        <w:rPr>
          <w:rFonts w:eastAsia="Times New Roman"/>
          <w:lang w:eastAsia="es-ES"/>
        </w:rPr>
        <w:t>. Analysis was performed</w:t>
      </w:r>
      <w:r w:rsidRPr="00AB7A96">
        <w:rPr>
          <w:rFonts w:eastAsia="Times New Roman"/>
          <w:lang w:eastAsia="es-ES"/>
        </w:rPr>
        <w:t xml:space="preserve"> with the open-source Fiji (ImageJ) software. </w:t>
      </w:r>
    </w:p>
    <w:p w14:paraId="2D996BE2" w14:textId="77777777" w:rsidR="007E19D4" w:rsidRPr="00F320BC" w:rsidRDefault="007E19D4" w:rsidP="007E19D4">
      <w:pPr>
        <w:pStyle w:val="Heading4"/>
        <w:spacing w:line="360" w:lineRule="auto"/>
        <w:rPr>
          <w:b/>
          <w:bCs/>
          <w:i w:val="0"/>
          <w:iCs w:val="0"/>
          <w:color w:val="FF0000"/>
          <w:lang w:eastAsia="es-ES"/>
        </w:rPr>
      </w:pPr>
      <w:r w:rsidRPr="00F320BC">
        <w:lastRenderedPageBreak/>
        <w:t>Statistics</w:t>
      </w:r>
    </w:p>
    <w:p w14:paraId="71CC985D" w14:textId="1A2D4B6E" w:rsidR="007E19D4" w:rsidRDefault="007E19D4" w:rsidP="007E19D4">
      <w:pPr>
        <w:spacing w:line="360" w:lineRule="auto"/>
        <w:jc w:val="both"/>
      </w:pPr>
      <w:r>
        <w:t>To</w:t>
      </w:r>
      <w:r w:rsidRPr="00361B24">
        <w:t xml:space="preserve"> estimate survival time</w:t>
      </w:r>
      <w:r>
        <w:t>s</w:t>
      </w:r>
      <w:r w:rsidRPr="00361B24">
        <w:t xml:space="preserve"> </w:t>
      </w:r>
      <w:r>
        <w:t>for</w:t>
      </w:r>
      <w:r w:rsidRPr="00361B24">
        <w:t xml:space="preserve"> </w:t>
      </w:r>
      <w:r>
        <w:t xml:space="preserve">individual </w:t>
      </w:r>
      <w:r w:rsidRPr="00361B24">
        <w:t>neurons</w:t>
      </w:r>
      <w:r>
        <w:t>, image analysis was performed with</w:t>
      </w:r>
      <w:r w:rsidRPr="00361B24">
        <w:t xml:space="preserve"> </w:t>
      </w:r>
      <w:r>
        <w:t xml:space="preserve">a </w:t>
      </w:r>
      <w:proofErr w:type="spellStart"/>
      <w:r w:rsidRPr="00361B24">
        <w:t>Matlab</w:t>
      </w:r>
      <w:proofErr w:type="spellEnd"/>
      <w:r w:rsidRPr="00361B24">
        <w:t>-based semi-automated ad hoc program</w:t>
      </w:r>
      <w:r>
        <w:t xml:space="preserve"> </w:t>
      </w:r>
      <w:sdt>
        <w:sdtPr>
          <w:rPr>
            <w:color w:val="000000"/>
          </w:rPr>
          <w:tag w:val="MENDELEY_CITATION_v3_eyJjaXRhdGlvbklEIjoiTUVOREVMRVlfQ0lUQVRJT05fMTI5NGQ0NTYtOTc3OS00M2ZmLTgwZGYtMjk5ZjJjNDc0NmIz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
          <w:id w:val="-1755736504"/>
          <w:placeholder>
            <w:docPart w:val="768109C7266D48CE904B2C12C0318B48"/>
          </w:placeholder>
        </w:sdtPr>
        <w:sdtEndPr/>
        <w:sdtContent>
          <w:r w:rsidR="009A5F6C" w:rsidRPr="009A5F6C">
            <w:rPr>
              <w:color w:val="000000"/>
            </w:rPr>
            <w:t>[5]</w:t>
          </w:r>
        </w:sdtContent>
      </w:sdt>
      <w:r>
        <w:t>; t</w:t>
      </w:r>
      <w:r w:rsidRPr="00361B24">
        <w:t xml:space="preserve">he program </w:t>
      </w:r>
      <w:r>
        <w:t>opens</w:t>
      </w:r>
      <w:r w:rsidRPr="00361B24">
        <w:t xml:space="preserve"> the same neuronal field sequentially at all the experimental times. At the initial time, neurons</w:t>
      </w:r>
      <w:r>
        <w:t xml:space="preserve"> are </w:t>
      </w:r>
      <w:r w:rsidRPr="00361B24">
        <w:t xml:space="preserve">selected and numbered. </w:t>
      </w:r>
      <w:r>
        <w:t xml:space="preserve">For </w:t>
      </w:r>
      <w:r w:rsidRPr="00361B24">
        <w:t xml:space="preserve">the rest of the time series, the user </w:t>
      </w:r>
      <w:r>
        <w:t>determines the presence of each neuron by comparing the images</w:t>
      </w:r>
      <w:r w:rsidRPr="00361B24">
        <w:t xml:space="preserve"> with the previous time. Dead neurons are identified and categorized as </w:t>
      </w:r>
      <w:r>
        <w:t>un</w:t>
      </w:r>
      <w:r w:rsidRPr="00361B24">
        <w:t xml:space="preserve">censored events. Neurons that survive until the end of the experiment are categorized as censored events. The data </w:t>
      </w:r>
      <w:r>
        <w:t>is</w:t>
      </w:r>
      <w:r w:rsidRPr="00361B24">
        <w:t xml:space="preserve"> exported to Excel and survival analyses </w:t>
      </w:r>
      <w:r>
        <w:t>are</w:t>
      </w:r>
      <w:r w:rsidRPr="00361B24">
        <w:t xml:space="preserve"> performed with STATA 12. Nelson-Aalen cumulative hazard function</w:t>
      </w:r>
      <w:r>
        <w:t>s</w:t>
      </w:r>
      <w:r w:rsidRPr="00361B24">
        <w:t xml:space="preserve"> </w:t>
      </w:r>
      <w:r>
        <w:t>were</w:t>
      </w:r>
      <w:r w:rsidRPr="00361B24">
        <w:t xml:space="preserve"> used to plot differences in the cumulative risk of death among experimental </w:t>
      </w:r>
      <w:r w:rsidRPr="0066669D">
        <w:t>groups. As long as the proportional hazard assumption is fulfilled (</w:t>
      </w:r>
      <w:proofErr w:type="spellStart"/>
      <w:r w:rsidRPr="0066669D">
        <w:t>Shoenfeld</w:t>
      </w:r>
      <w:proofErr w:type="spellEnd"/>
      <w:r w:rsidRPr="0066669D">
        <w:t xml:space="preserve"> residual-based test evaluation or graphical assessment), differences are analyzed with a log-rank test and clustered Cox regression models. </w:t>
      </w:r>
      <w:r>
        <w:t>A</w:t>
      </w:r>
      <w:r w:rsidRPr="00361B24">
        <w:t xml:space="preserve"> clustered Cox regression analysis of neurons co-existing in the same well </w:t>
      </w:r>
      <w:r>
        <w:t>is</w:t>
      </w:r>
      <w:r w:rsidRPr="00361B24">
        <w:t xml:space="preserve"> performed to improve the accuracy of the test</w:t>
      </w:r>
      <w:r>
        <w:t xml:space="preserve"> </w:t>
      </w:r>
      <w:r w:rsidRPr="00361B24">
        <w:t>and</w:t>
      </w:r>
      <w:r>
        <w:t xml:space="preserve">, since all experiments were repeated at least thrice with one or two plates 24-well plates per experiment, the </w:t>
      </w:r>
      <w:r w:rsidRPr="00361B24">
        <w:t>variability in the baseline toxicity between experiments</w:t>
      </w:r>
      <w:r>
        <w:t xml:space="preserve"> </w:t>
      </w:r>
      <w:r w:rsidRPr="00361B24">
        <w:t xml:space="preserve">was adjusted by stratifying the Cox model for each </w:t>
      </w:r>
      <w:r>
        <w:t>plate</w:t>
      </w:r>
      <w:r w:rsidRPr="00361B24">
        <w:t xml:space="preserve">. </w:t>
      </w:r>
    </w:p>
    <w:p w14:paraId="25A51EF1" w14:textId="1E59C327" w:rsidR="007E19D4" w:rsidRDefault="007E19D4" w:rsidP="007E19D4">
      <w:pPr>
        <w:spacing w:line="360" w:lineRule="auto"/>
        <w:jc w:val="both"/>
      </w:pPr>
      <w:r w:rsidRPr="00135167">
        <w:t>Experiments with mice were conducted in a randomized and blinded manner</w:t>
      </w:r>
      <w:r>
        <w:t xml:space="preserve">, although </w:t>
      </w:r>
      <w:r w:rsidRPr="00135167">
        <w:t xml:space="preserve">the motor phenotype </w:t>
      </w:r>
      <w:r>
        <w:t xml:space="preserve">progression </w:t>
      </w:r>
      <w:r w:rsidRPr="00135167">
        <w:t xml:space="preserve">in G93A transgenic mice </w:t>
      </w:r>
      <w:r w:rsidRPr="0052116A">
        <w:t xml:space="preserve">was noticeable over time. Shapiro-Wilk normality test was used to address the normal distribution. In the case of non-normality, Kruskal-Wallis test was used for multiple comparisons. Only in the case of p&lt;0.05, </w:t>
      </w:r>
      <w:proofErr w:type="spellStart"/>
      <w:r w:rsidRPr="0052116A">
        <w:t>Sidak</w:t>
      </w:r>
      <w:proofErr w:type="spellEnd"/>
      <w:r w:rsidRPr="0052116A">
        <w:t xml:space="preserve"> and Holm-</w:t>
      </w:r>
      <w:proofErr w:type="spellStart"/>
      <w:r w:rsidRPr="0052116A">
        <w:t>Sidak</w:t>
      </w:r>
      <w:proofErr w:type="spellEnd"/>
      <w:r w:rsidRPr="0052116A">
        <w:t xml:space="preserve"> post-hoc test </w:t>
      </w:r>
      <w:proofErr w:type="gramStart"/>
      <w:r w:rsidRPr="0052116A">
        <w:t>were</w:t>
      </w:r>
      <w:proofErr w:type="gramEnd"/>
      <w:r w:rsidRPr="0052116A">
        <w:t xml:space="preserve"> used. Additionally, one-way ANOVA, two-way ANOVA (two-way repeated measures (mixed) ANOVA in the case of matched values)</w:t>
      </w:r>
      <w:r>
        <w:t xml:space="preserve"> and three-way ANOVA</w:t>
      </w:r>
      <w:r w:rsidRPr="0052116A">
        <w:t xml:space="preserve"> with post-hoc tests </w:t>
      </w:r>
      <w:r>
        <w:t>(</w:t>
      </w:r>
      <w:r w:rsidRPr="00E558DE">
        <w:rPr>
          <w:rFonts w:cstheme="minorHAnsi"/>
        </w:rPr>
        <w:t xml:space="preserve">Tukey, </w:t>
      </w:r>
      <w:r w:rsidRPr="00E558DE">
        <w:rPr>
          <w:rFonts w:eastAsia="Times New Roman" w:cstheme="minorHAnsi"/>
          <w:lang w:eastAsia="es-ES"/>
        </w:rPr>
        <w:t>Mann-Whitney U</w:t>
      </w:r>
      <w:r w:rsidRPr="00E558DE">
        <w:rPr>
          <w:rFonts w:cstheme="minorHAnsi"/>
        </w:rPr>
        <w:t xml:space="preserve"> and Bonferroni</w:t>
      </w:r>
      <w:r>
        <w:t xml:space="preserve">) </w:t>
      </w:r>
      <w:r w:rsidRPr="0052116A">
        <w:t>were used. Only p values less than 0.05 were considered statistically significant</w:t>
      </w:r>
      <w:r w:rsidRPr="00135167">
        <w:t>. Post hoc tests were run only if F achieved the necessary level of statistical significance (</w:t>
      </w:r>
      <w:r>
        <w:t>p</w:t>
      </w:r>
      <w:r w:rsidRPr="00135167">
        <w:t xml:space="preserve">&lt; 0.05). </w:t>
      </w:r>
      <w:r>
        <w:t>S</w:t>
      </w:r>
      <w:r w:rsidRPr="00135167">
        <w:t xml:space="preserve">tatistical analyses </w:t>
      </w:r>
      <w:r>
        <w:t xml:space="preserve">for longitudinal </w:t>
      </w:r>
      <w:r w:rsidRPr="00135167">
        <w:t>EMG activity have been included as Supplementa</w:t>
      </w:r>
      <w:r>
        <w:t xml:space="preserve">ry </w:t>
      </w:r>
      <w:r w:rsidRPr="00135167">
        <w:t xml:space="preserve">Material. Data analyses were carried out with Microsoft Excel 2010 (Microsoft Corp.), GraphPad Prism </w:t>
      </w:r>
      <w:r>
        <w:t>8</w:t>
      </w:r>
      <w:r w:rsidRPr="00135167">
        <w:t xml:space="preserve"> software (GraphPad Software Inc.), </w:t>
      </w:r>
      <w:proofErr w:type="spellStart"/>
      <w:r w:rsidRPr="00135167">
        <w:t>StataIC</w:t>
      </w:r>
      <w:proofErr w:type="spellEnd"/>
      <w:r w:rsidRPr="00135167">
        <w:t xml:space="preserve"> 12</w:t>
      </w:r>
      <w:r>
        <w:t>,</w:t>
      </w:r>
      <w:r w:rsidRPr="00135167">
        <w:t xml:space="preserve"> and </w:t>
      </w:r>
      <w:proofErr w:type="spellStart"/>
      <w:r w:rsidRPr="00135167">
        <w:t>Matlab</w:t>
      </w:r>
      <w:proofErr w:type="spellEnd"/>
      <w:r w:rsidRPr="00135167">
        <w:t xml:space="preserve">. </w:t>
      </w:r>
    </w:p>
    <w:p w14:paraId="74A073CD" w14:textId="77777777" w:rsidR="007E19D4" w:rsidRPr="007E19D4" w:rsidRDefault="007E19D4" w:rsidP="007E19D4">
      <w:pPr>
        <w:spacing w:line="360" w:lineRule="auto"/>
        <w:jc w:val="both"/>
      </w:pPr>
    </w:p>
    <w:p w14:paraId="26D39722" w14:textId="4A8767FF" w:rsidR="007E19D4" w:rsidRPr="007E19D4" w:rsidRDefault="007E19D4" w:rsidP="007E19D4">
      <w:pPr>
        <w:pStyle w:val="Heading3"/>
      </w:pPr>
      <w:bookmarkStart w:id="2" w:name="_Hlk165220725"/>
      <w:r w:rsidRPr="00134174">
        <w:t>Table</w:t>
      </w:r>
      <w:r>
        <w:t>s</w:t>
      </w:r>
      <w:r w:rsidRPr="00134174">
        <w:t xml:space="preserve"> </w:t>
      </w:r>
    </w:p>
    <w:tbl>
      <w:tblPr>
        <w:tblStyle w:val="GridTable5Dark-Accent3"/>
        <w:tblW w:w="9520" w:type="dxa"/>
        <w:tblLook w:val="04A0" w:firstRow="1" w:lastRow="0" w:firstColumn="1" w:lastColumn="0" w:noHBand="0" w:noVBand="1"/>
      </w:tblPr>
      <w:tblGrid>
        <w:gridCol w:w="833"/>
        <w:gridCol w:w="674"/>
        <w:gridCol w:w="2711"/>
        <w:gridCol w:w="2683"/>
        <w:gridCol w:w="1442"/>
        <w:gridCol w:w="1177"/>
      </w:tblGrid>
      <w:tr w:rsidR="007E19D4" w:rsidRPr="00E55E6F" w14:paraId="33ECE65B" w14:textId="77777777" w:rsidTr="007E19D4">
        <w:trPr>
          <w:cnfStyle w:val="100000000000" w:firstRow="1" w:lastRow="0" w:firstColumn="0" w:lastColumn="0" w:oddVBand="0" w:evenVBand="0" w:oddHBand="0"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9520" w:type="dxa"/>
            <w:gridSpan w:val="6"/>
            <w:vAlign w:val="center"/>
          </w:tcPr>
          <w:p w14:paraId="58684A07" w14:textId="77777777" w:rsidR="007E19D4" w:rsidRPr="005C0A11" w:rsidRDefault="007E19D4" w:rsidP="007E19D4">
            <w:pPr>
              <w:rPr>
                <w:rFonts w:eastAsia="Times New Roman" w:cstheme="minorHAnsi"/>
                <w:color w:val="000000"/>
                <w:lang w:eastAsia="es-ES_tradnl"/>
              </w:rPr>
            </w:pPr>
            <w:r>
              <w:rPr>
                <w:rFonts w:eastAsia="Times New Roman" w:cstheme="minorHAnsi"/>
                <w:color w:val="000000"/>
                <w:lang w:eastAsia="es-ES_tradnl"/>
              </w:rPr>
              <w:t xml:space="preserve">Table 1. </w:t>
            </w:r>
            <w:r w:rsidRPr="005C0A11">
              <w:rPr>
                <w:rFonts w:eastAsia="Times New Roman" w:cstheme="minorHAnsi"/>
                <w:color w:val="000000"/>
                <w:lang w:eastAsia="es-ES_tradnl"/>
              </w:rPr>
              <w:t>Cloning Primers for Human ISR Kinases CRISPR/Cas9 Guides</w:t>
            </w:r>
          </w:p>
        </w:tc>
      </w:tr>
      <w:tr w:rsidR="007E19D4" w:rsidRPr="00B40896" w14:paraId="59B10CAF" w14:textId="77777777" w:rsidTr="007E19D4">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224DF58C"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ID</w:t>
            </w:r>
          </w:p>
        </w:tc>
        <w:tc>
          <w:tcPr>
            <w:tcW w:w="378" w:type="dxa"/>
            <w:noWrap/>
            <w:vAlign w:val="center"/>
            <w:hideMark/>
          </w:tcPr>
          <w:p w14:paraId="23D1B016"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SENSE</w:t>
            </w:r>
          </w:p>
        </w:tc>
        <w:tc>
          <w:tcPr>
            <w:tcW w:w="2711" w:type="dxa"/>
            <w:noWrap/>
            <w:vAlign w:val="center"/>
            <w:hideMark/>
          </w:tcPr>
          <w:p w14:paraId="3E5D069F"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rPr>
              <w:t>CLONING PRIMER FW</w:t>
            </w:r>
          </w:p>
        </w:tc>
        <w:tc>
          <w:tcPr>
            <w:tcW w:w="2683" w:type="dxa"/>
            <w:noWrap/>
            <w:vAlign w:val="center"/>
            <w:hideMark/>
          </w:tcPr>
          <w:p w14:paraId="11D3D84F"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rPr>
              <w:t>CLONING PRIMER RV</w:t>
            </w:r>
          </w:p>
        </w:tc>
        <w:tc>
          <w:tcPr>
            <w:tcW w:w="1442" w:type="dxa"/>
            <w:noWrap/>
            <w:vAlign w:val="center"/>
            <w:hideMark/>
          </w:tcPr>
          <w:p w14:paraId="071DFA50"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AA SEQ</w:t>
            </w:r>
          </w:p>
        </w:tc>
        <w:tc>
          <w:tcPr>
            <w:tcW w:w="1177" w:type="dxa"/>
            <w:noWrap/>
            <w:vAlign w:val="center"/>
            <w:hideMark/>
          </w:tcPr>
          <w:p w14:paraId="2418779A"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AA SITE</w:t>
            </w:r>
          </w:p>
        </w:tc>
      </w:tr>
      <w:tr w:rsidR="007E19D4" w:rsidRPr="00B40896" w14:paraId="0FD9ED79" w14:textId="77777777" w:rsidTr="007E19D4">
        <w:trPr>
          <w:trHeight w:val="475"/>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7840892F"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GUIDE 1 HRI EX1</w:t>
            </w:r>
          </w:p>
        </w:tc>
        <w:tc>
          <w:tcPr>
            <w:tcW w:w="378" w:type="dxa"/>
            <w:noWrap/>
            <w:vAlign w:val="center"/>
            <w:hideMark/>
          </w:tcPr>
          <w:p w14:paraId="5EDBDAB1"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w:t>
            </w:r>
          </w:p>
        </w:tc>
        <w:tc>
          <w:tcPr>
            <w:tcW w:w="2711" w:type="dxa"/>
            <w:noWrap/>
            <w:vAlign w:val="center"/>
            <w:hideMark/>
          </w:tcPr>
          <w:p w14:paraId="336193A4"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CACCCGGGGTCCGCAAGCGCGAAG</w:t>
            </w:r>
          </w:p>
        </w:tc>
        <w:tc>
          <w:tcPr>
            <w:tcW w:w="2683" w:type="dxa"/>
            <w:noWrap/>
            <w:vAlign w:val="center"/>
            <w:hideMark/>
          </w:tcPr>
          <w:p w14:paraId="4169BE2A"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AAACCTTCGCGCTTGCGGACCCCG</w:t>
            </w:r>
          </w:p>
        </w:tc>
        <w:tc>
          <w:tcPr>
            <w:tcW w:w="1442" w:type="dxa"/>
            <w:noWrap/>
            <w:vAlign w:val="center"/>
            <w:hideMark/>
          </w:tcPr>
          <w:p w14:paraId="10B124F5"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SGVRKRE</w:t>
            </w:r>
          </w:p>
        </w:tc>
        <w:tc>
          <w:tcPr>
            <w:tcW w:w="1177" w:type="dxa"/>
            <w:noWrap/>
            <w:vAlign w:val="center"/>
            <w:hideMark/>
          </w:tcPr>
          <w:p w14:paraId="76E37A5B"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6-12</w:t>
            </w:r>
          </w:p>
        </w:tc>
      </w:tr>
      <w:tr w:rsidR="007E19D4" w:rsidRPr="00B40896" w14:paraId="42B77934" w14:textId="77777777" w:rsidTr="007E19D4">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3677EA8A"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GUIDE 2 HRI EX7</w:t>
            </w:r>
          </w:p>
        </w:tc>
        <w:tc>
          <w:tcPr>
            <w:tcW w:w="378" w:type="dxa"/>
            <w:noWrap/>
            <w:vAlign w:val="center"/>
            <w:hideMark/>
          </w:tcPr>
          <w:p w14:paraId="316D70B9"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w:t>
            </w:r>
          </w:p>
        </w:tc>
        <w:tc>
          <w:tcPr>
            <w:tcW w:w="2711" w:type="dxa"/>
            <w:noWrap/>
            <w:vAlign w:val="center"/>
            <w:hideMark/>
          </w:tcPr>
          <w:p w14:paraId="4E8A32B6"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CACCATGAACATGTTCTATCCACG</w:t>
            </w:r>
          </w:p>
        </w:tc>
        <w:tc>
          <w:tcPr>
            <w:tcW w:w="2683" w:type="dxa"/>
            <w:noWrap/>
            <w:vAlign w:val="center"/>
            <w:hideMark/>
          </w:tcPr>
          <w:p w14:paraId="26C8513A"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AAACCGTGGATAGAACATGTTCAT</w:t>
            </w:r>
          </w:p>
        </w:tc>
        <w:tc>
          <w:tcPr>
            <w:tcW w:w="1442" w:type="dxa"/>
            <w:noWrap/>
            <w:vAlign w:val="center"/>
            <w:hideMark/>
          </w:tcPr>
          <w:p w14:paraId="6DE0E121"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IEHVH</w:t>
            </w:r>
          </w:p>
        </w:tc>
        <w:tc>
          <w:tcPr>
            <w:tcW w:w="1177" w:type="dxa"/>
            <w:noWrap/>
            <w:vAlign w:val="center"/>
            <w:hideMark/>
          </w:tcPr>
          <w:p w14:paraId="67299EA1"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234-238</w:t>
            </w:r>
          </w:p>
        </w:tc>
      </w:tr>
      <w:tr w:rsidR="007E19D4" w:rsidRPr="00B40896" w14:paraId="637B5F33" w14:textId="77777777" w:rsidTr="007E19D4">
        <w:trPr>
          <w:trHeight w:val="475"/>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13B19D41"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lastRenderedPageBreak/>
              <w:t>GUIDE 1 PKR EX5</w:t>
            </w:r>
          </w:p>
        </w:tc>
        <w:tc>
          <w:tcPr>
            <w:tcW w:w="378" w:type="dxa"/>
            <w:noWrap/>
            <w:vAlign w:val="center"/>
            <w:hideMark/>
          </w:tcPr>
          <w:p w14:paraId="1FEA8688"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w:t>
            </w:r>
          </w:p>
        </w:tc>
        <w:tc>
          <w:tcPr>
            <w:tcW w:w="2711" w:type="dxa"/>
            <w:noWrap/>
            <w:vAlign w:val="center"/>
            <w:hideMark/>
          </w:tcPr>
          <w:p w14:paraId="0337C090"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CACCATTATGAACAGTGTGCATCG</w:t>
            </w:r>
          </w:p>
        </w:tc>
        <w:tc>
          <w:tcPr>
            <w:tcW w:w="2683" w:type="dxa"/>
            <w:noWrap/>
            <w:vAlign w:val="center"/>
            <w:hideMark/>
          </w:tcPr>
          <w:p w14:paraId="0CE30DC9"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AAACCGATGCACACTGTTCATAAT</w:t>
            </w:r>
          </w:p>
        </w:tc>
        <w:tc>
          <w:tcPr>
            <w:tcW w:w="1442" w:type="dxa"/>
            <w:noWrap/>
            <w:vAlign w:val="center"/>
            <w:hideMark/>
          </w:tcPr>
          <w:p w14:paraId="7D9497B5"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NYEQCAS</w:t>
            </w:r>
          </w:p>
        </w:tc>
        <w:tc>
          <w:tcPr>
            <w:tcW w:w="1177" w:type="dxa"/>
            <w:noWrap/>
            <w:vAlign w:val="center"/>
            <w:hideMark/>
          </w:tcPr>
          <w:p w14:paraId="488CFAB9"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115-123</w:t>
            </w:r>
          </w:p>
        </w:tc>
      </w:tr>
      <w:tr w:rsidR="007E19D4" w:rsidRPr="00B40896" w14:paraId="2A777B64" w14:textId="77777777" w:rsidTr="007E19D4">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0F00191F"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GUIDE 2 PKR EX7</w:t>
            </w:r>
          </w:p>
        </w:tc>
        <w:tc>
          <w:tcPr>
            <w:tcW w:w="378" w:type="dxa"/>
            <w:noWrap/>
            <w:vAlign w:val="center"/>
            <w:hideMark/>
          </w:tcPr>
          <w:p w14:paraId="11D07BD4"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w:t>
            </w:r>
          </w:p>
        </w:tc>
        <w:tc>
          <w:tcPr>
            <w:tcW w:w="2711" w:type="dxa"/>
            <w:noWrap/>
            <w:vAlign w:val="center"/>
            <w:hideMark/>
          </w:tcPr>
          <w:p w14:paraId="062B2506"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CACCCGTAGTAGCAAAAGAACCAG</w:t>
            </w:r>
          </w:p>
        </w:tc>
        <w:tc>
          <w:tcPr>
            <w:tcW w:w="2683" w:type="dxa"/>
            <w:noWrap/>
            <w:vAlign w:val="center"/>
            <w:hideMark/>
          </w:tcPr>
          <w:p w14:paraId="403802B7"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AAACCTGGTTCTTTTGCTACTACG</w:t>
            </w:r>
          </w:p>
        </w:tc>
        <w:tc>
          <w:tcPr>
            <w:tcW w:w="1442" w:type="dxa"/>
            <w:noWrap/>
            <w:vAlign w:val="center"/>
            <w:hideMark/>
          </w:tcPr>
          <w:p w14:paraId="3FCCEE69"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SGSFATT</w:t>
            </w:r>
          </w:p>
        </w:tc>
        <w:tc>
          <w:tcPr>
            <w:tcW w:w="1177" w:type="dxa"/>
            <w:noWrap/>
            <w:vAlign w:val="center"/>
            <w:hideMark/>
          </w:tcPr>
          <w:p w14:paraId="33E31A5F"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179-185</w:t>
            </w:r>
          </w:p>
        </w:tc>
      </w:tr>
      <w:tr w:rsidR="007E19D4" w:rsidRPr="00B40896" w14:paraId="72C71ADF" w14:textId="77777777" w:rsidTr="007E19D4">
        <w:trPr>
          <w:trHeight w:val="475"/>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44C56CBE"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GUIDE 1 PERK</w:t>
            </w:r>
            <w:r>
              <w:rPr>
                <w:rFonts w:eastAsia="Times New Roman" w:cstheme="minorHAnsi"/>
                <w:color w:val="000000"/>
                <w:sz w:val="18"/>
                <w:szCs w:val="18"/>
                <w:lang w:val="es-ES_tradnl" w:eastAsia="es-ES_tradnl"/>
              </w:rPr>
              <w:t xml:space="preserve"> </w:t>
            </w:r>
            <w:r w:rsidRPr="005C0A11">
              <w:rPr>
                <w:rFonts w:eastAsia="Times New Roman" w:cstheme="minorHAnsi"/>
                <w:color w:val="000000"/>
                <w:sz w:val="18"/>
                <w:szCs w:val="18"/>
                <w:lang w:val="es-ES_tradnl" w:eastAsia="es-ES_tradnl"/>
              </w:rPr>
              <w:t>EX1</w:t>
            </w:r>
          </w:p>
        </w:tc>
        <w:tc>
          <w:tcPr>
            <w:tcW w:w="378" w:type="dxa"/>
            <w:noWrap/>
            <w:vAlign w:val="center"/>
            <w:hideMark/>
          </w:tcPr>
          <w:p w14:paraId="64E97E74"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w:t>
            </w:r>
          </w:p>
        </w:tc>
        <w:tc>
          <w:tcPr>
            <w:tcW w:w="2711" w:type="dxa"/>
            <w:noWrap/>
            <w:vAlign w:val="center"/>
            <w:hideMark/>
          </w:tcPr>
          <w:p w14:paraId="6CA50247"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CACCGAGACAGAGTTGCGACCGCG</w:t>
            </w:r>
          </w:p>
        </w:tc>
        <w:tc>
          <w:tcPr>
            <w:tcW w:w="2683" w:type="dxa"/>
            <w:noWrap/>
            <w:vAlign w:val="center"/>
            <w:hideMark/>
          </w:tcPr>
          <w:p w14:paraId="11554B57"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AAACCGCGGTCGCAACTCTGTCTC</w:t>
            </w:r>
          </w:p>
        </w:tc>
        <w:tc>
          <w:tcPr>
            <w:tcW w:w="1442" w:type="dxa"/>
            <w:vAlign w:val="center"/>
            <w:hideMark/>
          </w:tcPr>
          <w:p w14:paraId="103811AA"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5C0A11">
              <w:rPr>
                <w:rFonts w:eastAsia="Times New Roman" w:cstheme="minorHAnsi"/>
                <w:sz w:val="18"/>
                <w:szCs w:val="18"/>
                <w:lang w:val="es-ES_tradnl" w:eastAsia="es-ES_tradnl"/>
              </w:rPr>
              <w:t>ETELRP</w:t>
            </w:r>
          </w:p>
        </w:tc>
        <w:tc>
          <w:tcPr>
            <w:tcW w:w="1177" w:type="dxa"/>
            <w:vAlign w:val="center"/>
            <w:hideMark/>
          </w:tcPr>
          <w:p w14:paraId="520A5E0E"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5C0A11">
              <w:rPr>
                <w:rFonts w:eastAsia="Times New Roman" w:cstheme="minorHAnsi"/>
                <w:sz w:val="18"/>
                <w:szCs w:val="18"/>
                <w:lang w:val="es-ES_tradnl" w:eastAsia="es-ES_tradnl"/>
              </w:rPr>
              <w:t>95-101</w:t>
            </w:r>
          </w:p>
        </w:tc>
      </w:tr>
      <w:tr w:rsidR="007E19D4" w:rsidRPr="00B40896" w14:paraId="400DEBD9" w14:textId="77777777" w:rsidTr="007E19D4">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5B5ECA68"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GUIDE 2 PERK EX5</w:t>
            </w:r>
          </w:p>
        </w:tc>
        <w:tc>
          <w:tcPr>
            <w:tcW w:w="378" w:type="dxa"/>
            <w:noWrap/>
            <w:vAlign w:val="center"/>
            <w:hideMark/>
          </w:tcPr>
          <w:p w14:paraId="5E87D91D"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w:t>
            </w:r>
          </w:p>
        </w:tc>
        <w:tc>
          <w:tcPr>
            <w:tcW w:w="2711" w:type="dxa"/>
            <w:noWrap/>
            <w:vAlign w:val="center"/>
            <w:hideMark/>
          </w:tcPr>
          <w:p w14:paraId="1CA10581"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CACCATGGCATTCAGTAAGAAGGG</w:t>
            </w:r>
          </w:p>
        </w:tc>
        <w:tc>
          <w:tcPr>
            <w:tcW w:w="2683" w:type="dxa"/>
            <w:noWrap/>
            <w:vAlign w:val="center"/>
            <w:hideMark/>
          </w:tcPr>
          <w:p w14:paraId="685CE2C7"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AAACCCCTTCTTACTGAATGCCAT</w:t>
            </w:r>
          </w:p>
        </w:tc>
        <w:tc>
          <w:tcPr>
            <w:tcW w:w="1442" w:type="dxa"/>
            <w:noWrap/>
            <w:vAlign w:val="center"/>
            <w:hideMark/>
          </w:tcPr>
          <w:p w14:paraId="4E74DFFB"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5C0A11">
              <w:rPr>
                <w:rFonts w:eastAsia="Times New Roman" w:cstheme="minorHAnsi"/>
                <w:sz w:val="18"/>
                <w:szCs w:val="18"/>
                <w:lang w:val="es-ES_tradnl" w:eastAsia="es-ES_tradnl"/>
              </w:rPr>
              <w:t>MAFSKK</w:t>
            </w:r>
          </w:p>
        </w:tc>
        <w:tc>
          <w:tcPr>
            <w:tcW w:w="1177" w:type="dxa"/>
            <w:noWrap/>
            <w:vAlign w:val="center"/>
            <w:hideMark/>
          </w:tcPr>
          <w:p w14:paraId="74C18B67"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5C0A11">
              <w:rPr>
                <w:rFonts w:eastAsia="Times New Roman" w:cstheme="minorHAnsi"/>
                <w:sz w:val="18"/>
                <w:szCs w:val="18"/>
                <w:lang w:val="es-ES_tradnl" w:eastAsia="es-ES_tradnl"/>
              </w:rPr>
              <w:t>320-326</w:t>
            </w:r>
          </w:p>
        </w:tc>
      </w:tr>
      <w:tr w:rsidR="007E19D4" w:rsidRPr="00B40896" w14:paraId="34EBD620" w14:textId="77777777" w:rsidTr="007E19D4">
        <w:trPr>
          <w:trHeight w:val="475"/>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711DC05E"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GUIDE 1 GCN2 EX 1</w:t>
            </w:r>
          </w:p>
        </w:tc>
        <w:tc>
          <w:tcPr>
            <w:tcW w:w="378" w:type="dxa"/>
            <w:noWrap/>
            <w:vAlign w:val="center"/>
            <w:hideMark/>
          </w:tcPr>
          <w:p w14:paraId="1D69BC81"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w:t>
            </w:r>
          </w:p>
        </w:tc>
        <w:tc>
          <w:tcPr>
            <w:tcW w:w="2711" w:type="dxa"/>
            <w:noWrap/>
            <w:vAlign w:val="center"/>
            <w:hideMark/>
          </w:tcPr>
          <w:p w14:paraId="7C715922"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CACCCGTTGCGGGTAGCTCTCCGG</w:t>
            </w:r>
          </w:p>
        </w:tc>
        <w:tc>
          <w:tcPr>
            <w:tcW w:w="2683" w:type="dxa"/>
            <w:noWrap/>
            <w:vAlign w:val="center"/>
            <w:hideMark/>
          </w:tcPr>
          <w:p w14:paraId="23755701"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AAACCCGGAGAGCTACCCGCAACG</w:t>
            </w:r>
          </w:p>
        </w:tc>
        <w:tc>
          <w:tcPr>
            <w:tcW w:w="1442" w:type="dxa"/>
            <w:noWrap/>
            <w:vAlign w:val="center"/>
            <w:hideMark/>
          </w:tcPr>
          <w:p w14:paraId="67977955"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PESYPQ</w:t>
            </w:r>
          </w:p>
        </w:tc>
        <w:tc>
          <w:tcPr>
            <w:tcW w:w="1177" w:type="dxa"/>
            <w:noWrap/>
            <w:vAlign w:val="center"/>
            <w:hideMark/>
          </w:tcPr>
          <w:p w14:paraId="3916A605" w14:textId="77777777" w:rsidR="007E19D4" w:rsidRPr="005C0A11" w:rsidRDefault="007E19D4" w:rsidP="007E19D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16-22</w:t>
            </w:r>
          </w:p>
        </w:tc>
      </w:tr>
      <w:tr w:rsidR="007E19D4" w:rsidRPr="00B40896" w14:paraId="0BB96013" w14:textId="77777777" w:rsidTr="007E19D4">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1129" w:type="dxa"/>
            <w:vAlign w:val="center"/>
            <w:hideMark/>
          </w:tcPr>
          <w:p w14:paraId="568247F7" w14:textId="77777777" w:rsidR="007E19D4" w:rsidRPr="005C0A11" w:rsidRDefault="007E19D4" w:rsidP="007E19D4">
            <w:pPr>
              <w:jc w:val="center"/>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GUIDE 2 GCN2 EX 3</w:t>
            </w:r>
          </w:p>
        </w:tc>
        <w:tc>
          <w:tcPr>
            <w:tcW w:w="378" w:type="dxa"/>
            <w:noWrap/>
            <w:vAlign w:val="center"/>
            <w:hideMark/>
          </w:tcPr>
          <w:p w14:paraId="5F0FAD5D"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w:t>
            </w:r>
          </w:p>
        </w:tc>
        <w:tc>
          <w:tcPr>
            <w:tcW w:w="2711" w:type="dxa"/>
            <w:noWrap/>
            <w:vAlign w:val="center"/>
            <w:hideMark/>
          </w:tcPr>
          <w:p w14:paraId="777AB26E"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CACCACTGGCCAAGAAACACTGTG</w:t>
            </w:r>
          </w:p>
        </w:tc>
        <w:tc>
          <w:tcPr>
            <w:tcW w:w="2683" w:type="dxa"/>
            <w:noWrap/>
            <w:vAlign w:val="center"/>
            <w:hideMark/>
          </w:tcPr>
          <w:p w14:paraId="391C2A83"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8"/>
                <w:szCs w:val="18"/>
                <w:lang w:val="es-ES_tradnl" w:eastAsia="es-ES_tradnl"/>
              </w:rPr>
            </w:pPr>
            <w:r w:rsidRPr="00482BFA">
              <w:rPr>
                <w:rFonts w:eastAsia="Times New Roman" w:cstheme="minorHAnsi"/>
                <w:sz w:val="18"/>
                <w:szCs w:val="18"/>
                <w:lang w:val="es-ES_tradnl" w:eastAsia="es-ES_tradnl"/>
              </w:rPr>
              <w:t>AAACCACAGTGTTTCTTGGCCAGT</w:t>
            </w:r>
          </w:p>
        </w:tc>
        <w:tc>
          <w:tcPr>
            <w:tcW w:w="1442" w:type="dxa"/>
            <w:noWrap/>
            <w:vAlign w:val="center"/>
            <w:hideMark/>
          </w:tcPr>
          <w:p w14:paraId="0897A382"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LAKKHC</w:t>
            </w:r>
          </w:p>
        </w:tc>
        <w:tc>
          <w:tcPr>
            <w:tcW w:w="1177" w:type="dxa"/>
            <w:noWrap/>
            <w:vAlign w:val="center"/>
            <w:hideMark/>
          </w:tcPr>
          <w:p w14:paraId="3C686361" w14:textId="77777777" w:rsidR="007E19D4" w:rsidRPr="005C0A11" w:rsidRDefault="007E19D4" w:rsidP="007E19D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lang w:val="es-ES_tradnl" w:eastAsia="es-ES_tradnl"/>
              </w:rPr>
            </w:pPr>
            <w:r w:rsidRPr="005C0A11">
              <w:rPr>
                <w:rFonts w:eastAsia="Times New Roman" w:cstheme="minorHAnsi"/>
                <w:color w:val="000000"/>
                <w:sz w:val="18"/>
                <w:szCs w:val="18"/>
                <w:lang w:val="es-ES_tradnl" w:eastAsia="es-ES_tradnl"/>
              </w:rPr>
              <w:t>112-118</w:t>
            </w:r>
          </w:p>
        </w:tc>
      </w:tr>
    </w:tbl>
    <w:p w14:paraId="61A77897" w14:textId="7935EDA1" w:rsidR="007E19D4" w:rsidRDefault="007E19D4" w:rsidP="007E19D4">
      <w:bookmarkStart w:id="3" w:name="_Hlk165220828"/>
      <w:bookmarkEnd w:id="2"/>
    </w:p>
    <w:p w14:paraId="6A2ED0D5" w14:textId="77777777" w:rsidR="007E19D4" w:rsidRPr="00570B6A" w:rsidRDefault="007E19D4" w:rsidP="007E19D4"/>
    <w:tbl>
      <w:tblPr>
        <w:tblStyle w:val="GridTable5Dark-Accent3"/>
        <w:tblW w:w="9781" w:type="dxa"/>
        <w:tblLook w:val="04A0" w:firstRow="1" w:lastRow="0" w:firstColumn="1" w:lastColumn="0" w:noHBand="0" w:noVBand="1"/>
      </w:tblPr>
      <w:tblGrid>
        <w:gridCol w:w="846"/>
        <w:gridCol w:w="807"/>
        <w:gridCol w:w="3025"/>
        <w:gridCol w:w="3119"/>
        <w:gridCol w:w="992"/>
        <w:gridCol w:w="992"/>
      </w:tblGrid>
      <w:tr w:rsidR="007E19D4" w:rsidRPr="0022651B" w14:paraId="1580AE37" w14:textId="77777777" w:rsidTr="007E19D4">
        <w:trPr>
          <w:cnfStyle w:val="100000000000" w:firstRow="1" w:lastRow="0" w:firstColumn="0" w:lastColumn="0" w:oddVBand="0" w:evenVBand="0" w:oddHBand="0" w:evenHBand="0"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9781" w:type="dxa"/>
            <w:gridSpan w:val="6"/>
            <w:noWrap/>
            <w:vAlign w:val="center"/>
            <w:hideMark/>
          </w:tcPr>
          <w:p w14:paraId="70CA21D4" w14:textId="77777777" w:rsidR="007E19D4" w:rsidRPr="005C0A11" w:rsidRDefault="007E19D4" w:rsidP="007E19D4">
            <w:pPr>
              <w:rPr>
                <w:rFonts w:ascii="Calibri" w:eastAsia="Times New Roman" w:hAnsi="Calibri" w:cs="Calibri"/>
                <w:color w:val="000000"/>
              </w:rPr>
            </w:pPr>
            <w:r>
              <w:rPr>
                <w:rFonts w:ascii="Calibri" w:eastAsia="Times New Roman" w:hAnsi="Calibri" w:cs="Calibri"/>
                <w:color w:val="000000"/>
                <w:lang w:eastAsia="es-ES_tradnl"/>
              </w:rPr>
              <w:t xml:space="preserve">Table 2. </w:t>
            </w:r>
            <w:r w:rsidRPr="005C0A11">
              <w:rPr>
                <w:rFonts w:ascii="Calibri" w:eastAsia="Times New Roman" w:hAnsi="Calibri" w:cs="Calibri"/>
                <w:color w:val="000000"/>
                <w:lang w:eastAsia="es-ES_tradnl"/>
              </w:rPr>
              <w:t xml:space="preserve">Cloning Primers </w:t>
            </w:r>
            <w:r>
              <w:rPr>
                <w:rFonts w:ascii="Calibri" w:eastAsia="Times New Roman" w:hAnsi="Calibri" w:cs="Calibri"/>
                <w:color w:val="000000"/>
                <w:lang w:eastAsia="es-ES_tradnl"/>
              </w:rPr>
              <w:t xml:space="preserve">for </w:t>
            </w:r>
            <w:r w:rsidRPr="005C0A11">
              <w:rPr>
                <w:rFonts w:ascii="Calibri" w:eastAsia="Times New Roman" w:hAnsi="Calibri" w:cs="Calibri"/>
                <w:color w:val="000000"/>
                <w:lang w:eastAsia="es-ES_tradnl"/>
              </w:rPr>
              <w:t>Rat GCN2</w:t>
            </w:r>
            <w:r>
              <w:rPr>
                <w:rFonts w:ascii="Calibri" w:eastAsia="Times New Roman" w:hAnsi="Calibri" w:cs="Calibri"/>
                <w:color w:val="000000"/>
                <w:lang w:eastAsia="es-ES_tradnl"/>
              </w:rPr>
              <w:t xml:space="preserve"> </w:t>
            </w:r>
            <w:r w:rsidRPr="005C0A11">
              <w:rPr>
                <w:rFonts w:ascii="Calibri" w:eastAsia="Times New Roman" w:hAnsi="Calibri" w:cs="Calibri"/>
                <w:color w:val="000000"/>
                <w:lang w:eastAsia="es-ES_tradnl"/>
              </w:rPr>
              <w:t>CRISPR/Cas9 Guides</w:t>
            </w:r>
          </w:p>
        </w:tc>
      </w:tr>
      <w:tr w:rsidR="007E19D4" w:rsidRPr="00455395" w14:paraId="24160988" w14:textId="77777777" w:rsidTr="007E19D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46" w:type="dxa"/>
            <w:vAlign w:val="center"/>
            <w:hideMark/>
          </w:tcPr>
          <w:p w14:paraId="04A8328D" w14:textId="77777777" w:rsidR="007E19D4" w:rsidRPr="00455395" w:rsidRDefault="007E19D4" w:rsidP="007E19D4">
            <w:pPr>
              <w:jc w:val="center"/>
              <w:rPr>
                <w:rFonts w:ascii="Calibri" w:eastAsia="Times New Roman" w:hAnsi="Calibri" w:cs="Calibri"/>
                <w:color w:val="000000"/>
                <w:sz w:val="18"/>
                <w:szCs w:val="18"/>
              </w:rPr>
            </w:pPr>
            <w:r w:rsidRPr="00455395">
              <w:rPr>
                <w:rFonts w:ascii="Calibri" w:eastAsia="Times New Roman" w:hAnsi="Calibri" w:cs="Calibri"/>
                <w:color w:val="000000"/>
                <w:sz w:val="18"/>
                <w:szCs w:val="18"/>
              </w:rPr>
              <w:t>ID</w:t>
            </w:r>
          </w:p>
        </w:tc>
        <w:tc>
          <w:tcPr>
            <w:tcW w:w="807" w:type="dxa"/>
            <w:noWrap/>
            <w:vAlign w:val="center"/>
            <w:hideMark/>
          </w:tcPr>
          <w:p w14:paraId="43A7F209" w14:textId="77777777" w:rsidR="007E19D4" w:rsidRPr="00455395"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SENSE</w:t>
            </w:r>
          </w:p>
        </w:tc>
        <w:tc>
          <w:tcPr>
            <w:tcW w:w="3025" w:type="dxa"/>
            <w:noWrap/>
            <w:vAlign w:val="center"/>
            <w:hideMark/>
          </w:tcPr>
          <w:p w14:paraId="1CFD208F" w14:textId="77777777" w:rsidR="007E19D4" w:rsidRPr="00455395"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CLONING PRIMER FW</w:t>
            </w:r>
          </w:p>
        </w:tc>
        <w:tc>
          <w:tcPr>
            <w:tcW w:w="3119" w:type="dxa"/>
            <w:noWrap/>
            <w:vAlign w:val="center"/>
            <w:hideMark/>
          </w:tcPr>
          <w:p w14:paraId="35D6C6E5" w14:textId="77777777" w:rsidR="007E19D4" w:rsidRPr="00455395"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CLONING PRIMER RV</w:t>
            </w:r>
          </w:p>
        </w:tc>
        <w:tc>
          <w:tcPr>
            <w:tcW w:w="992" w:type="dxa"/>
            <w:noWrap/>
            <w:vAlign w:val="center"/>
            <w:hideMark/>
          </w:tcPr>
          <w:p w14:paraId="0B991AD5" w14:textId="77777777" w:rsidR="007E19D4" w:rsidRPr="00455395"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AA SEQ</w:t>
            </w:r>
          </w:p>
        </w:tc>
        <w:tc>
          <w:tcPr>
            <w:tcW w:w="992" w:type="dxa"/>
            <w:noWrap/>
            <w:vAlign w:val="center"/>
            <w:hideMark/>
          </w:tcPr>
          <w:p w14:paraId="0BA7167A" w14:textId="77777777" w:rsidR="007E19D4" w:rsidRPr="00455395"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AA SITE</w:t>
            </w:r>
          </w:p>
        </w:tc>
      </w:tr>
      <w:tr w:rsidR="007E19D4" w:rsidRPr="00455395" w14:paraId="7B27C22B" w14:textId="77777777" w:rsidTr="007E19D4">
        <w:trPr>
          <w:trHeight w:val="720"/>
        </w:trPr>
        <w:tc>
          <w:tcPr>
            <w:cnfStyle w:val="001000000000" w:firstRow="0" w:lastRow="0" w:firstColumn="1" w:lastColumn="0" w:oddVBand="0" w:evenVBand="0" w:oddHBand="0" w:evenHBand="0" w:firstRowFirstColumn="0" w:firstRowLastColumn="0" w:lastRowFirstColumn="0" w:lastRowLastColumn="0"/>
            <w:tcW w:w="846" w:type="dxa"/>
            <w:vAlign w:val="center"/>
            <w:hideMark/>
          </w:tcPr>
          <w:p w14:paraId="7C787D9F" w14:textId="77777777" w:rsidR="007E19D4" w:rsidRPr="0024098F" w:rsidRDefault="007E19D4" w:rsidP="007E19D4">
            <w:pPr>
              <w:jc w:val="center"/>
              <w:rPr>
                <w:rFonts w:ascii="Calibri" w:eastAsia="Times New Roman" w:hAnsi="Calibri" w:cs="Calibri"/>
                <w:b w:val="0"/>
                <w:bCs w:val="0"/>
                <w:color w:val="000000"/>
                <w:sz w:val="16"/>
                <w:szCs w:val="16"/>
              </w:rPr>
            </w:pPr>
            <w:r w:rsidRPr="0024098F">
              <w:rPr>
                <w:rFonts w:ascii="Calibri" w:eastAsia="Times New Roman" w:hAnsi="Calibri" w:cs="Calibri"/>
                <w:color w:val="000000"/>
                <w:sz w:val="16"/>
                <w:szCs w:val="16"/>
              </w:rPr>
              <w:t>GUIDE 1 GCN2</w:t>
            </w:r>
          </w:p>
          <w:p w14:paraId="35782716" w14:textId="77777777" w:rsidR="007E19D4" w:rsidRPr="0024098F" w:rsidRDefault="007E19D4" w:rsidP="007E19D4">
            <w:pPr>
              <w:jc w:val="center"/>
              <w:rPr>
                <w:rFonts w:ascii="Calibri" w:eastAsia="Times New Roman" w:hAnsi="Calibri" w:cs="Calibri"/>
                <w:color w:val="000000"/>
                <w:sz w:val="16"/>
                <w:szCs w:val="16"/>
              </w:rPr>
            </w:pPr>
            <w:r w:rsidRPr="0024098F">
              <w:rPr>
                <w:rFonts w:ascii="Calibri" w:eastAsia="Times New Roman" w:hAnsi="Calibri" w:cs="Calibri"/>
                <w:color w:val="000000"/>
                <w:sz w:val="16"/>
                <w:szCs w:val="16"/>
              </w:rPr>
              <w:t xml:space="preserve"> EX 1</w:t>
            </w:r>
          </w:p>
        </w:tc>
        <w:tc>
          <w:tcPr>
            <w:tcW w:w="807" w:type="dxa"/>
            <w:noWrap/>
            <w:vAlign w:val="center"/>
            <w:hideMark/>
          </w:tcPr>
          <w:p w14:paraId="5D80473D" w14:textId="77777777" w:rsidR="007E19D4" w:rsidRPr="00455395"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w:t>
            </w:r>
          </w:p>
        </w:tc>
        <w:tc>
          <w:tcPr>
            <w:tcW w:w="3025" w:type="dxa"/>
            <w:vAlign w:val="center"/>
            <w:hideMark/>
          </w:tcPr>
          <w:p w14:paraId="1D39DD9B"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8"/>
                <w:szCs w:val="18"/>
              </w:rPr>
            </w:pPr>
            <w:r w:rsidRPr="00482BFA">
              <w:rPr>
                <w:rFonts w:ascii="Courier New" w:eastAsia="Times New Roman" w:hAnsi="Courier New" w:cs="Courier New"/>
                <w:sz w:val="18"/>
                <w:szCs w:val="18"/>
              </w:rPr>
              <w:t>AAACTGGAGGCGATTTACGGCTCGG</w:t>
            </w:r>
          </w:p>
        </w:tc>
        <w:tc>
          <w:tcPr>
            <w:tcW w:w="3119" w:type="dxa"/>
            <w:vAlign w:val="center"/>
            <w:hideMark/>
          </w:tcPr>
          <w:p w14:paraId="4FF7531B"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8"/>
                <w:szCs w:val="18"/>
              </w:rPr>
            </w:pPr>
            <w:r w:rsidRPr="00482BFA">
              <w:rPr>
                <w:rFonts w:ascii="Courier New" w:eastAsia="Times New Roman" w:hAnsi="Courier New" w:cs="Courier New"/>
                <w:sz w:val="18"/>
                <w:szCs w:val="18"/>
              </w:rPr>
              <w:t>CACCCCGAGCCGTAAATCGCCTCCA</w:t>
            </w:r>
          </w:p>
        </w:tc>
        <w:tc>
          <w:tcPr>
            <w:tcW w:w="992" w:type="dxa"/>
            <w:noWrap/>
            <w:vAlign w:val="center"/>
            <w:hideMark/>
          </w:tcPr>
          <w:p w14:paraId="5E3C1DCE" w14:textId="77777777" w:rsidR="007E19D4" w:rsidRPr="00455395"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LEAIYGSD</w:t>
            </w:r>
          </w:p>
        </w:tc>
        <w:tc>
          <w:tcPr>
            <w:tcW w:w="992" w:type="dxa"/>
            <w:noWrap/>
            <w:vAlign w:val="center"/>
            <w:hideMark/>
          </w:tcPr>
          <w:p w14:paraId="4350505C" w14:textId="77777777" w:rsidR="007E19D4" w:rsidRPr="00455395"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30-37</w:t>
            </w:r>
          </w:p>
        </w:tc>
      </w:tr>
      <w:tr w:rsidR="007E19D4" w:rsidRPr="00455395" w14:paraId="32993D82" w14:textId="77777777" w:rsidTr="007E19D4">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846" w:type="dxa"/>
            <w:vAlign w:val="center"/>
            <w:hideMark/>
          </w:tcPr>
          <w:p w14:paraId="3F50E947" w14:textId="77777777" w:rsidR="007E19D4" w:rsidRPr="0024098F" w:rsidRDefault="007E19D4" w:rsidP="007E19D4">
            <w:pPr>
              <w:jc w:val="center"/>
              <w:rPr>
                <w:rFonts w:ascii="Calibri" w:eastAsia="Times New Roman" w:hAnsi="Calibri" w:cs="Calibri"/>
                <w:color w:val="000000"/>
                <w:sz w:val="16"/>
                <w:szCs w:val="16"/>
              </w:rPr>
            </w:pPr>
            <w:r w:rsidRPr="0024098F">
              <w:rPr>
                <w:rFonts w:ascii="Calibri" w:eastAsia="Times New Roman" w:hAnsi="Calibri" w:cs="Calibri"/>
                <w:color w:val="000000"/>
                <w:sz w:val="16"/>
                <w:szCs w:val="16"/>
              </w:rPr>
              <w:t>GUIDE 2 GCN2 EX 3</w:t>
            </w:r>
          </w:p>
        </w:tc>
        <w:tc>
          <w:tcPr>
            <w:tcW w:w="807" w:type="dxa"/>
            <w:noWrap/>
            <w:vAlign w:val="center"/>
            <w:hideMark/>
          </w:tcPr>
          <w:p w14:paraId="1E1213CC" w14:textId="77777777" w:rsidR="007E19D4" w:rsidRPr="00455395"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w:t>
            </w:r>
          </w:p>
        </w:tc>
        <w:tc>
          <w:tcPr>
            <w:tcW w:w="3025" w:type="dxa"/>
            <w:vAlign w:val="center"/>
            <w:hideMark/>
          </w:tcPr>
          <w:p w14:paraId="368E4C21"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8"/>
                <w:szCs w:val="18"/>
              </w:rPr>
            </w:pPr>
            <w:r w:rsidRPr="00482BFA">
              <w:rPr>
                <w:rFonts w:ascii="Courier New" w:eastAsia="Times New Roman" w:hAnsi="Courier New" w:cs="Courier New"/>
                <w:sz w:val="18"/>
                <w:szCs w:val="18"/>
              </w:rPr>
              <w:t>CACCGAGAACTGGCCAAAAAGCAGTG</w:t>
            </w:r>
          </w:p>
        </w:tc>
        <w:tc>
          <w:tcPr>
            <w:tcW w:w="3119" w:type="dxa"/>
            <w:vAlign w:val="center"/>
            <w:hideMark/>
          </w:tcPr>
          <w:p w14:paraId="0C0B71B9" w14:textId="77777777" w:rsidR="007E19D4" w:rsidRPr="00482BFA"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ourier New" w:eastAsia="Times New Roman" w:hAnsi="Courier New" w:cs="Courier New"/>
                <w:sz w:val="18"/>
                <w:szCs w:val="18"/>
              </w:rPr>
            </w:pPr>
            <w:r w:rsidRPr="00482BFA">
              <w:rPr>
                <w:rFonts w:ascii="Courier New" w:eastAsia="Times New Roman" w:hAnsi="Courier New" w:cs="Courier New"/>
                <w:sz w:val="18"/>
                <w:szCs w:val="18"/>
              </w:rPr>
              <w:t>AAACCACTGCTTTTTGGCCAGTTCTC</w:t>
            </w:r>
          </w:p>
        </w:tc>
        <w:tc>
          <w:tcPr>
            <w:tcW w:w="992" w:type="dxa"/>
            <w:noWrap/>
            <w:vAlign w:val="center"/>
            <w:hideMark/>
          </w:tcPr>
          <w:p w14:paraId="2E16709E" w14:textId="77777777" w:rsidR="007E19D4" w:rsidRPr="00455395"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EELAKKQC</w:t>
            </w:r>
          </w:p>
        </w:tc>
        <w:tc>
          <w:tcPr>
            <w:tcW w:w="992" w:type="dxa"/>
            <w:noWrap/>
            <w:vAlign w:val="center"/>
            <w:hideMark/>
          </w:tcPr>
          <w:p w14:paraId="2DEB2FE5" w14:textId="77777777" w:rsidR="007E19D4" w:rsidRPr="00455395" w:rsidRDefault="007E19D4" w:rsidP="007E19D4">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111-118</w:t>
            </w:r>
          </w:p>
        </w:tc>
      </w:tr>
      <w:tr w:rsidR="007E19D4" w:rsidRPr="00455395" w14:paraId="093BE18D" w14:textId="77777777" w:rsidTr="007E19D4">
        <w:trPr>
          <w:trHeight w:val="720"/>
        </w:trPr>
        <w:tc>
          <w:tcPr>
            <w:cnfStyle w:val="001000000000" w:firstRow="0" w:lastRow="0" w:firstColumn="1" w:lastColumn="0" w:oddVBand="0" w:evenVBand="0" w:oddHBand="0" w:evenHBand="0" w:firstRowFirstColumn="0" w:firstRowLastColumn="0" w:lastRowFirstColumn="0" w:lastRowLastColumn="0"/>
            <w:tcW w:w="846" w:type="dxa"/>
            <w:vAlign w:val="center"/>
            <w:hideMark/>
          </w:tcPr>
          <w:p w14:paraId="3BD96B7C" w14:textId="77777777" w:rsidR="007E19D4" w:rsidRPr="0024098F" w:rsidRDefault="007E19D4" w:rsidP="007E19D4">
            <w:pPr>
              <w:jc w:val="center"/>
              <w:rPr>
                <w:rFonts w:ascii="Calibri" w:eastAsia="Times New Roman" w:hAnsi="Calibri" w:cs="Calibri"/>
                <w:color w:val="000000"/>
                <w:sz w:val="16"/>
                <w:szCs w:val="16"/>
              </w:rPr>
            </w:pPr>
            <w:r w:rsidRPr="0024098F">
              <w:rPr>
                <w:rFonts w:ascii="Calibri" w:eastAsia="Times New Roman" w:hAnsi="Calibri" w:cs="Calibri"/>
                <w:color w:val="000000"/>
                <w:sz w:val="16"/>
                <w:szCs w:val="16"/>
              </w:rPr>
              <w:t>GUIDE 3 GCN2 EX 8</w:t>
            </w:r>
          </w:p>
        </w:tc>
        <w:tc>
          <w:tcPr>
            <w:tcW w:w="807" w:type="dxa"/>
            <w:noWrap/>
            <w:vAlign w:val="center"/>
            <w:hideMark/>
          </w:tcPr>
          <w:p w14:paraId="1EFD43EC" w14:textId="77777777" w:rsidR="007E19D4" w:rsidRPr="00455395"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w:t>
            </w:r>
          </w:p>
        </w:tc>
        <w:tc>
          <w:tcPr>
            <w:tcW w:w="3025" w:type="dxa"/>
            <w:vAlign w:val="center"/>
            <w:hideMark/>
          </w:tcPr>
          <w:p w14:paraId="75238056"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8"/>
                <w:szCs w:val="18"/>
              </w:rPr>
            </w:pPr>
            <w:r w:rsidRPr="00482BFA">
              <w:rPr>
                <w:rFonts w:ascii="Courier New" w:eastAsia="Times New Roman" w:hAnsi="Courier New" w:cs="Courier New"/>
                <w:sz w:val="18"/>
                <w:szCs w:val="18"/>
              </w:rPr>
              <w:t>AAACCGGGCAGCTTTGTCTTGTTGTC</w:t>
            </w:r>
          </w:p>
        </w:tc>
        <w:tc>
          <w:tcPr>
            <w:tcW w:w="3119" w:type="dxa"/>
            <w:vAlign w:val="center"/>
            <w:hideMark/>
          </w:tcPr>
          <w:p w14:paraId="6DFF47A5" w14:textId="77777777" w:rsidR="007E19D4" w:rsidRPr="00482BFA"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ourier New" w:eastAsia="Times New Roman" w:hAnsi="Courier New" w:cs="Courier New"/>
                <w:sz w:val="18"/>
                <w:szCs w:val="18"/>
              </w:rPr>
            </w:pPr>
            <w:r w:rsidRPr="00482BFA">
              <w:rPr>
                <w:rFonts w:ascii="Courier New" w:eastAsia="Times New Roman" w:hAnsi="Courier New" w:cs="Courier New"/>
                <w:sz w:val="18"/>
                <w:szCs w:val="18"/>
              </w:rPr>
              <w:t>CACCGACAACAAGACAAAGCTGCCCG</w:t>
            </w:r>
          </w:p>
        </w:tc>
        <w:tc>
          <w:tcPr>
            <w:tcW w:w="992" w:type="dxa"/>
            <w:noWrap/>
            <w:vAlign w:val="center"/>
            <w:hideMark/>
          </w:tcPr>
          <w:p w14:paraId="756C6E10" w14:textId="77777777" w:rsidR="007E19D4" w:rsidRPr="00455395"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TGSFVLLY</w:t>
            </w:r>
          </w:p>
        </w:tc>
        <w:tc>
          <w:tcPr>
            <w:tcW w:w="992" w:type="dxa"/>
            <w:noWrap/>
            <w:vAlign w:val="center"/>
            <w:hideMark/>
          </w:tcPr>
          <w:p w14:paraId="5BC75605" w14:textId="77777777" w:rsidR="007E19D4" w:rsidRPr="00455395" w:rsidRDefault="007E19D4" w:rsidP="007E19D4">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rPr>
            </w:pPr>
            <w:r w:rsidRPr="00455395">
              <w:rPr>
                <w:rFonts w:ascii="Calibri" w:eastAsia="Times New Roman" w:hAnsi="Calibri" w:cs="Calibri"/>
                <w:color w:val="000000"/>
                <w:sz w:val="18"/>
                <w:szCs w:val="18"/>
              </w:rPr>
              <w:t>304-311</w:t>
            </w:r>
          </w:p>
        </w:tc>
      </w:tr>
    </w:tbl>
    <w:p w14:paraId="4EAE8159" w14:textId="77777777" w:rsidR="007E19D4" w:rsidRPr="00593A79" w:rsidRDefault="007E19D4" w:rsidP="007E19D4">
      <w:pPr>
        <w:pStyle w:val="Heading3"/>
        <w:rPr>
          <w:color w:val="auto"/>
        </w:rPr>
      </w:pPr>
      <w:bookmarkStart w:id="4" w:name="_Hlk165220871"/>
      <w:bookmarkEnd w:id="3"/>
    </w:p>
    <w:tbl>
      <w:tblPr>
        <w:tblStyle w:val="GridTable5Dark-Accent3"/>
        <w:tblW w:w="0" w:type="auto"/>
        <w:tblLook w:val="04A0" w:firstRow="1" w:lastRow="0" w:firstColumn="1" w:lastColumn="0" w:noHBand="0" w:noVBand="1"/>
      </w:tblPr>
      <w:tblGrid>
        <w:gridCol w:w="2792"/>
        <w:gridCol w:w="1500"/>
        <w:gridCol w:w="2101"/>
      </w:tblGrid>
      <w:tr w:rsidR="007E19D4" w14:paraId="12DEAC0B" w14:textId="77777777" w:rsidTr="007E19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17A50CA6" w14:textId="77777777" w:rsidR="007E19D4" w:rsidRPr="00593A79" w:rsidRDefault="007E19D4" w:rsidP="007E19D4">
            <w:pPr>
              <w:pStyle w:val="Heading3"/>
              <w:outlineLvl w:val="2"/>
              <w:rPr>
                <w:rFonts w:asciiTheme="minorHAnsi" w:hAnsiTheme="minorHAnsi" w:cstheme="minorHAnsi"/>
                <w:b/>
                <w:color w:val="auto"/>
                <w:sz w:val="22"/>
                <w:szCs w:val="22"/>
              </w:rPr>
            </w:pPr>
            <w:r w:rsidRPr="00593A79">
              <w:rPr>
                <w:rFonts w:asciiTheme="minorHAnsi" w:eastAsia="Times New Roman" w:hAnsiTheme="minorHAnsi" w:cstheme="minorHAnsi"/>
                <w:b/>
                <w:color w:val="auto"/>
                <w:sz w:val="22"/>
                <w:szCs w:val="22"/>
                <w:lang w:eastAsia="es-ES_tradnl"/>
              </w:rPr>
              <w:t>Table 3.</w:t>
            </w:r>
            <w:r w:rsidRPr="00593A79">
              <w:rPr>
                <w:rFonts w:asciiTheme="minorHAnsi" w:hAnsiTheme="minorHAnsi" w:cstheme="minorHAnsi"/>
                <w:b/>
                <w:color w:val="auto"/>
                <w:sz w:val="22"/>
                <w:szCs w:val="22"/>
              </w:rPr>
              <w:t xml:space="preserve"> List of antibodies </w:t>
            </w:r>
          </w:p>
        </w:tc>
        <w:tc>
          <w:tcPr>
            <w:tcW w:w="1500" w:type="dxa"/>
            <w:vAlign w:val="center"/>
          </w:tcPr>
          <w:p w14:paraId="31E30390" w14:textId="77777777" w:rsidR="007E19D4" w:rsidRPr="001C70BE" w:rsidRDefault="007E19D4" w:rsidP="007E19D4">
            <w:pPr>
              <w:jc w:val="center"/>
              <w:cnfStyle w:val="100000000000" w:firstRow="1" w:lastRow="0" w:firstColumn="0" w:lastColumn="0" w:oddVBand="0" w:evenVBand="0" w:oddHBand="0" w:evenHBand="0" w:firstRowFirstColumn="0" w:firstRowLastColumn="0" w:lastRowFirstColumn="0" w:lastRowLastColumn="0"/>
              <w:rPr>
                <w:rFonts w:cstheme="minorHAnsi"/>
                <w:sz w:val="28"/>
                <w:lang w:val="en-GB"/>
              </w:rPr>
            </w:pPr>
          </w:p>
        </w:tc>
        <w:tc>
          <w:tcPr>
            <w:tcW w:w="2101" w:type="dxa"/>
            <w:vAlign w:val="center"/>
          </w:tcPr>
          <w:p w14:paraId="6D0C7B2F" w14:textId="77777777" w:rsidR="007E19D4" w:rsidRPr="001C70BE" w:rsidRDefault="007E19D4" w:rsidP="007E19D4">
            <w:pPr>
              <w:jc w:val="center"/>
              <w:cnfStyle w:val="100000000000" w:firstRow="1" w:lastRow="0" w:firstColumn="0" w:lastColumn="0" w:oddVBand="0" w:evenVBand="0" w:oddHBand="0" w:evenHBand="0" w:firstRowFirstColumn="0" w:firstRowLastColumn="0" w:lastRowFirstColumn="0" w:lastRowLastColumn="0"/>
              <w:rPr>
                <w:rFonts w:cstheme="minorHAnsi"/>
                <w:sz w:val="28"/>
                <w:lang w:val="en-GB"/>
              </w:rPr>
            </w:pPr>
          </w:p>
        </w:tc>
      </w:tr>
      <w:tr w:rsidR="007E19D4" w14:paraId="51696BC1"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037AE01E" w14:textId="77777777" w:rsidR="007E19D4" w:rsidRPr="00593A79" w:rsidRDefault="007E19D4" w:rsidP="007E19D4">
            <w:pPr>
              <w:jc w:val="center"/>
              <w:rPr>
                <w:rFonts w:cstheme="minorHAnsi"/>
                <w:color w:val="auto"/>
                <w:lang w:val="en-GB"/>
              </w:rPr>
            </w:pPr>
            <w:r w:rsidRPr="00593A79">
              <w:rPr>
                <w:rFonts w:cstheme="minorHAnsi"/>
                <w:color w:val="auto"/>
                <w:lang w:val="en-GB"/>
              </w:rPr>
              <w:t>Antibody</w:t>
            </w:r>
          </w:p>
        </w:tc>
        <w:tc>
          <w:tcPr>
            <w:tcW w:w="1500" w:type="dxa"/>
            <w:vAlign w:val="center"/>
          </w:tcPr>
          <w:p w14:paraId="1BF48244" w14:textId="77777777" w:rsidR="007E19D4" w:rsidRPr="00593A79"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593A79">
              <w:rPr>
                <w:rFonts w:cstheme="minorHAnsi"/>
                <w:lang w:val="en-GB"/>
              </w:rPr>
              <w:t>Provider (reference)</w:t>
            </w:r>
          </w:p>
        </w:tc>
        <w:tc>
          <w:tcPr>
            <w:tcW w:w="2101" w:type="dxa"/>
            <w:vAlign w:val="center"/>
          </w:tcPr>
          <w:p w14:paraId="0E363A5B" w14:textId="77777777" w:rsidR="007E19D4" w:rsidRPr="00593A79"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593A79">
              <w:rPr>
                <w:rFonts w:cstheme="minorHAnsi"/>
                <w:lang w:val="en-GB"/>
              </w:rPr>
              <w:t>Application</w:t>
            </w:r>
          </w:p>
        </w:tc>
      </w:tr>
      <w:tr w:rsidR="007E19D4" w14:paraId="6BB6D444"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5457BBE1" w14:textId="77777777" w:rsidR="007E19D4" w:rsidRPr="0038776E" w:rsidRDefault="007E19D4" w:rsidP="007E19D4">
            <w:pPr>
              <w:jc w:val="center"/>
              <w:rPr>
                <w:rFonts w:cstheme="minorHAnsi"/>
                <w:color w:val="auto"/>
                <w:sz w:val="18"/>
                <w:lang w:val="en-GB"/>
              </w:rPr>
            </w:pPr>
            <w:r w:rsidRPr="0038776E">
              <w:rPr>
                <w:rFonts w:cstheme="minorHAnsi"/>
                <w:color w:val="auto"/>
                <w:sz w:val="18"/>
              </w:rPr>
              <w:t xml:space="preserve">Anti-Human </w:t>
            </w:r>
            <w:r w:rsidRPr="0038776E">
              <w:rPr>
                <w:rFonts w:cstheme="minorHAnsi"/>
                <w:color w:val="auto"/>
                <w:sz w:val="18"/>
                <w:lang w:val="en-GB"/>
              </w:rPr>
              <w:t>SOD1</w:t>
            </w:r>
          </w:p>
        </w:tc>
        <w:tc>
          <w:tcPr>
            <w:tcW w:w="1500" w:type="dxa"/>
            <w:vAlign w:val="center"/>
          </w:tcPr>
          <w:p w14:paraId="44CF8EBD"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proofErr w:type="spellStart"/>
            <w:r w:rsidRPr="0038776E">
              <w:rPr>
                <w:rFonts w:cstheme="minorHAnsi"/>
                <w:sz w:val="18"/>
                <w:lang w:val="en-GB"/>
              </w:rPr>
              <w:t>OriGene</w:t>
            </w:r>
            <w:proofErr w:type="spellEnd"/>
          </w:p>
          <w:p w14:paraId="69A3C6FE"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TA500495</w:t>
            </w:r>
          </w:p>
        </w:tc>
        <w:tc>
          <w:tcPr>
            <w:tcW w:w="2101" w:type="dxa"/>
            <w:vAlign w:val="center"/>
          </w:tcPr>
          <w:p w14:paraId="4B15F269"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p w14:paraId="240194D1"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IF (1:1</w:t>
            </w:r>
            <w:r>
              <w:rPr>
                <w:rFonts w:cstheme="minorHAnsi"/>
                <w:sz w:val="18"/>
                <w:lang w:val="en-GB"/>
              </w:rPr>
              <w:t>,</w:t>
            </w:r>
            <w:r w:rsidRPr="0038776E">
              <w:rPr>
                <w:rFonts w:cstheme="minorHAnsi"/>
                <w:sz w:val="18"/>
                <w:lang w:val="en-GB"/>
              </w:rPr>
              <w:t>000)</w:t>
            </w:r>
          </w:p>
        </w:tc>
      </w:tr>
      <w:tr w:rsidR="007E19D4" w14:paraId="2837F0F1"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5FFA1356" w14:textId="77777777" w:rsidR="007E19D4" w:rsidRPr="0038776E" w:rsidRDefault="007E19D4" w:rsidP="007E19D4">
            <w:pPr>
              <w:jc w:val="center"/>
              <w:rPr>
                <w:rFonts w:cstheme="minorHAnsi"/>
                <w:color w:val="auto"/>
                <w:sz w:val="18"/>
              </w:rPr>
            </w:pPr>
            <w:r w:rsidRPr="0038776E">
              <w:rPr>
                <w:rFonts w:cstheme="minorHAnsi"/>
                <w:color w:val="auto"/>
                <w:sz w:val="18"/>
              </w:rPr>
              <w:t>Anti-Human SOD1</w:t>
            </w:r>
          </w:p>
          <w:p w14:paraId="17C4B3F8" w14:textId="77777777" w:rsidR="007E19D4" w:rsidRPr="0038776E" w:rsidRDefault="007E19D4" w:rsidP="007E19D4">
            <w:pPr>
              <w:jc w:val="center"/>
              <w:rPr>
                <w:rFonts w:cstheme="minorHAnsi"/>
                <w:color w:val="auto"/>
                <w:sz w:val="18"/>
              </w:rPr>
            </w:pPr>
            <w:r w:rsidRPr="0038776E">
              <w:rPr>
                <w:rFonts w:cstheme="minorHAnsi"/>
                <w:color w:val="auto"/>
                <w:sz w:val="18"/>
              </w:rPr>
              <w:t>Purified (C4F6)</w:t>
            </w:r>
          </w:p>
        </w:tc>
        <w:tc>
          <w:tcPr>
            <w:tcW w:w="1500" w:type="dxa"/>
            <w:vAlign w:val="center"/>
          </w:tcPr>
          <w:p w14:paraId="7038EFE2"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bCs/>
                <w:sz w:val="18"/>
              </w:rPr>
            </w:pPr>
            <w:r w:rsidRPr="0038776E">
              <w:rPr>
                <w:rFonts w:cstheme="minorHAnsi"/>
                <w:bCs/>
                <w:sz w:val="18"/>
              </w:rPr>
              <w:t xml:space="preserve">MEDIMABS </w:t>
            </w:r>
          </w:p>
          <w:p w14:paraId="5357932F"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38776E">
              <w:rPr>
                <w:rFonts w:cstheme="minorHAnsi"/>
                <w:bCs/>
                <w:sz w:val="18"/>
              </w:rPr>
              <w:t>MM-0070-2-P</w:t>
            </w:r>
          </w:p>
        </w:tc>
        <w:tc>
          <w:tcPr>
            <w:tcW w:w="2101" w:type="dxa"/>
            <w:vAlign w:val="center"/>
          </w:tcPr>
          <w:p w14:paraId="61B64312"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rPr>
              <w:t>IF (1:100)</w:t>
            </w:r>
          </w:p>
        </w:tc>
      </w:tr>
      <w:tr w:rsidR="007E19D4" w14:paraId="014FFFE0"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05231A82" w14:textId="77777777" w:rsidR="007E19D4" w:rsidRPr="0038776E" w:rsidRDefault="007E19D4" w:rsidP="007E19D4">
            <w:pPr>
              <w:jc w:val="center"/>
              <w:rPr>
                <w:rFonts w:cstheme="minorHAnsi"/>
                <w:color w:val="auto"/>
                <w:sz w:val="18"/>
                <w:lang w:val="en-GB"/>
              </w:rPr>
            </w:pPr>
            <w:r w:rsidRPr="0038776E">
              <w:rPr>
                <w:rFonts w:cstheme="minorHAnsi"/>
                <w:color w:val="auto"/>
                <w:sz w:val="18"/>
                <w:lang w:val="en-GB"/>
              </w:rPr>
              <w:t>G3BP2</w:t>
            </w:r>
          </w:p>
        </w:tc>
        <w:tc>
          <w:tcPr>
            <w:tcW w:w="1500" w:type="dxa"/>
            <w:vAlign w:val="center"/>
          </w:tcPr>
          <w:p w14:paraId="2EBC8F3F"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20"/>
              </w:rPr>
            </w:pPr>
            <w:r w:rsidRPr="0038776E">
              <w:rPr>
                <w:rFonts w:cstheme="minorHAnsi"/>
                <w:sz w:val="18"/>
                <w:szCs w:val="20"/>
              </w:rPr>
              <w:t>Cell Signaling</w:t>
            </w:r>
          </w:p>
          <w:p w14:paraId="12D02933"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31799</w:t>
            </w:r>
          </w:p>
        </w:tc>
        <w:tc>
          <w:tcPr>
            <w:tcW w:w="2101" w:type="dxa"/>
            <w:vAlign w:val="center"/>
          </w:tcPr>
          <w:p w14:paraId="56C93DAD"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IF (1:1</w:t>
            </w:r>
            <w:r>
              <w:rPr>
                <w:rFonts w:cstheme="minorHAnsi"/>
                <w:sz w:val="18"/>
                <w:lang w:val="en-GB"/>
              </w:rPr>
              <w:t>,</w:t>
            </w:r>
            <w:r w:rsidRPr="0038776E">
              <w:rPr>
                <w:rFonts w:cstheme="minorHAnsi"/>
                <w:sz w:val="18"/>
                <w:lang w:val="en-GB"/>
              </w:rPr>
              <w:t>000)</w:t>
            </w:r>
          </w:p>
        </w:tc>
      </w:tr>
      <w:tr w:rsidR="007E19D4" w14:paraId="3CECABC9"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7517E8AC" w14:textId="77777777" w:rsidR="007E19D4" w:rsidRPr="0038776E" w:rsidRDefault="007E19D4" w:rsidP="007E19D4">
            <w:pPr>
              <w:jc w:val="center"/>
              <w:rPr>
                <w:rFonts w:cstheme="minorHAnsi"/>
                <w:color w:val="auto"/>
                <w:sz w:val="18"/>
                <w:lang w:val="en-GB"/>
              </w:rPr>
            </w:pPr>
            <w:r w:rsidRPr="0038776E">
              <w:rPr>
                <w:rFonts w:cstheme="minorHAnsi"/>
                <w:color w:val="auto"/>
                <w:sz w:val="18"/>
                <w:lang w:val="en-GB"/>
              </w:rPr>
              <w:t>Total eI</w:t>
            </w:r>
            <w:r>
              <w:rPr>
                <w:rFonts w:cstheme="minorHAnsi"/>
                <w:color w:val="auto"/>
                <w:sz w:val="18"/>
                <w:lang w:val="en-GB"/>
              </w:rPr>
              <w:t>F</w:t>
            </w:r>
            <w:r w:rsidRPr="0038776E">
              <w:rPr>
                <w:rFonts w:cstheme="minorHAnsi"/>
                <w:color w:val="auto"/>
                <w:sz w:val="18"/>
                <w:lang w:val="en-GB"/>
              </w:rPr>
              <w:t>2a</w:t>
            </w:r>
          </w:p>
        </w:tc>
        <w:tc>
          <w:tcPr>
            <w:tcW w:w="1500" w:type="dxa"/>
            <w:vAlign w:val="center"/>
          </w:tcPr>
          <w:p w14:paraId="31460672"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Santa Cruz</w:t>
            </w:r>
          </w:p>
          <w:p w14:paraId="66722172"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sc-11386</w:t>
            </w:r>
          </w:p>
        </w:tc>
        <w:tc>
          <w:tcPr>
            <w:tcW w:w="2101" w:type="dxa"/>
            <w:vAlign w:val="center"/>
          </w:tcPr>
          <w:p w14:paraId="437A110B"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6D4181E5"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5E872139" w14:textId="77777777" w:rsidR="007E19D4" w:rsidRPr="0038776E" w:rsidRDefault="007E19D4" w:rsidP="007E19D4">
            <w:pPr>
              <w:jc w:val="center"/>
              <w:rPr>
                <w:rFonts w:cstheme="minorHAnsi"/>
                <w:color w:val="auto"/>
                <w:sz w:val="18"/>
                <w:lang w:val="en-GB"/>
              </w:rPr>
            </w:pPr>
            <w:proofErr w:type="spellStart"/>
            <w:r w:rsidRPr="0038776E">
              <w:rPr>
                <w:rFonts w:cstheme="minorHAnsi"/>
                <w:color w:val="auto"/>
                <w:sz w:val="18"/>
                <w:lang w:val="en-GB"/>
              </w:rPr>
              <w:t>Phospho</w:t>
            </w:r>
            <w:proofErr w:type="spellEnd"/>
            <w:r w:rsidRPr="0038776E">
              <w:rPr>
                <w:rFonts w:cstheme="minorHAnsi"/>
                <w:color w:val="auto"/>
                <w:sz w:val="18"/>
                <w:lang w:val="en-GB"/>
              </w:rPr>
              <w:t xml:space="preserve"> eIF2a (Ser51)</w:t>
            </w:r>
          </w:p>
        </w:tc>
        <w:tc>
          <w:tcPr>
            <w:tcW w:w="1500" w:type="dxa"/>
            <w:vAlign w:val="center"/>
          </w:tcPr>
          <w:p w14:paraId="0112746F"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20"/>
              </w:rPr>
            </w:pPr>
            <w:r w:rsidRPr="0038776E">
              <w:rPr>
                <w:rFonts w:cstheme="minorHAnsi"/>
                <w:sz w:val="18"/>
                <w:szCs w:val="20"/>
              </w:rPr>
              <w:t>Cell Signaling</w:t>
            </w:r>
          </w:p>
          <w:p w14:paraId="3C0968F1"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9721</w:t>
            </w:r>
          </w:p>
        </w:tc>
        <w:tc>
          <w:tcPr>
            <w:tcW w:w="2101" w:type="dxa"/>
            <w:vAlign w:val="center"/>
          </w:tcPr>
          <w:p w14:paraId="500BBC3E"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7FCB3578"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05211333" w14:textId="77777777" w:rsidR="007E19D4" w:rsidRPr="0038776E" w:rsidRDefault="007E19D4" w:rsidP="007E19D4">
            <w:pPr>
              <w:jc w:val="center"/>
              <w:rPr>
                <w:rFonts w:cstheme="minorHAnsi"/>
                <w:b w:val="0"/>
                <w:bCs w:val="0"/>
                <w:sz w:val="18"/>
                <w:lang w:val="en-GB"/>
              </w:rPr>
            </w:pPr>
            <w:r w:rsidRPr="0038776E">
              <w:rPr>
                <w:rFonts w:cstheme="minorHAnsi"/>
                <w:color w:val="auto"/>
                <w:sz w:val="18"/>
                <w:lang w:val="en-GB"/>
              </w:rPr>
              <w:t>Total PKR</w:t>
            </w:r>
          </w:p>
          <w:p w14:paraId="60EA394F" w14:textId="77777777" w:rsidR="007E19D4" w:rsidRPr="0038776E" w:rsidRDefault="007E19D4" w:rsidP="007E19D4">
            <w:pPr>
              <w:jc w:val="center"/>
              <w:rPr>
                <w:rFonts w:cstheme="minorHAnsi"/>
                <w:color w:val="auto"/>
                <w:sz w:val="18"/>
                <w:lang w:val="en-GB"/>
              </w:rPr>
            </w:pPr>
          </w:p>
        </w:tc>
        <w:tc>
          <w:tcPr>
            <w:tcW w:w="1500" w:type="dxa"/>
            <w:vAlign w:val="center"/>
          </w:tcPr>
          <w:p w14:paraId="14A564DE"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20"/>
              </w:rPr>
            </w:pPr>
            <w:r w:rsidRPr="0038776E">
              <w:rPr>
                <w:rFonts w:cstheme="minorHAnsi"/>
                <w:sz w:val="18"/>
                <w:szCs w:val="20"/>
              </w:rPr>
              <w:t>Cell Signaling</w:t>
            </w:r>
          </w:p>
          <w:p w14:paraId="281B51F8"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szCs w:val="20"/>
              </w:rPr>
              <w:t>3072S</w:t>
            </w:r>
          </w:p>
        </w:tc>
        <w:tc>
          <w:tcPr>
            <w:tcW w:w="2101" w:type="dxa"/>
            <w:vAlign w:val="center"/>
          </w:tcPr>
          <w:p w14:paraId="3B246F36"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5CB00B2B"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31CF280B" w14:textId="77777777" w:rsidR="007E19D4" w:rsidRPr="0038776E" w:rsidRDefault="007E19D4" w:rsidP="007E19D4">
            <w:pPr>
              <w:jc w:val="center"/>
              <w:rPr>
                <w:rFonts w:cstheme="minorHAnsi"/>
                <w:b w:val="0"/>
                <w:bCs w:val="0"/>
                <w:sz w:val="18"/>
                <w:lang w:val="en-GB"/>
              </w:rPr>
            </w:pPr>
            <w:proofErr w:type="spellStart"/>
            <w:r w:rsidRPr="0038776E">
              <w:rPr>
                <w:rFonts w:cstheme="minorHAnsi"/>
                <w:color w:val="auto"/>
                <w:sz w:val="18"/>
                <w:lang w:val="en-GB"/>
              </w:rPr>
              <w:t>Phospho</w:t>
            </w:r>
            <w:proofErr w:type="spellEnd"/>
            <w:r w:rsidRPr="0038776E">
              <w:rPr>
                <w:rFonts w:cstheme="minorHAnsi"/>
                <w:color w:val="auto"/>
                <w:sz w:val="18"/>
                <w:lang w:val="en-GB"/>
              </w:rPr>
              <w:t xml:space="preserve"> PKR </w:t>
            </w:r>
          </w:p>
          <w:p w14:paraId="733FF3C0" w14:textId="77777777" w:rsidR="007E19D4" w:rsidRPr="0038776E" w:rsidRDefault="007E19D4" w:rsidP="007E19D4">
            <w:pPr>
              <w:jc w:val="center"/>
              <w:rPr>
                <w:rFonts w:cstheme="minorHAnsi"/>
                <w:b w:val="0"/>
                <w:bCs w:val="0"/>
                <w:sz w:val="18"/>
                <w:lang w:val="en-GB"/>
              </w:rPr>
            </w:pPr>
            <w:r w:rsidRPr="0038776E">
              <w:rPr>
                <w:rFonts w:cstheme="minorHAnsi"/>
                <w:color w:val="auto"/>
                <w:sz w:val="18"/>
                <w:lang w:val="en-GB"/>
              </w:rPr>
              <w:t>(T446)</w:t>
            </w:r>
          </w:p>
        </w:tc>
        <w:tc>
          <w:tcPr>
            <w:tcW w:w="1500" w:type="dxa"/>
            <w:vAlign w:val="center"/>
          </w:tcPr>
          <w:p w14:paraId="77771112"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Abcam</w:t>
            </w:r>
          </w:p>
          <w:p w14:paraId="2DD6D75A"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Ab32036</w:t>
            </w:r>
          </w:p>
        </w:tc>
        <w:tc>
          <w:tcPr>
            <w:tcW w:w="2101" w:type="dxa"/>
            <w:vAlign w:val="center"/>
          </w:tcPr>
          <w:p w14:paraId="26105C42"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5CD542C2"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68A95D7D" w14:textId="77777777" w:rsidR="007E19D4" w:rsidRPr="0038776E" w:rsidRDefault="007E19D4" w:rsidP="007E19D4">
            <w:pPr>
              <w:jc w:val="center"/>
              <w:rPr>
                <w:rFonts w:cstheme="minorHAnsi"/>
                <w:color w:val="auto"/>
                <w:sz w:val="18"/>
                <w:lang w:val="en-GB"/>
              </w:rPr>
            </w:pPr>
            <w:r w:rsidRPr="0038776E">
              <w:rPr>
                <w:rFonts w:cstheme="minorHAnsi"/>
                <w:color w:val="auto"/>
                <w:sz w:val="18"/>
                <w:lang w:val="en-GB"/>
              </w:rPr>
              <w:t>PERK</w:t>
            </w:r>
          </w:p>
        </w:tc>
        <w:tc>
          <w:tcPr>
            <w:tcW w:w="1500" w:type="dxa"/>
            <w:vAlign w:val="center"/>
          </w:tcPr>
          <w:p w14:paraId="447481B1"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20"/>
              </w:rPr>
            </w:pPr>
            <w:r w:rsidRPr="0038776E">
              <w:rPr>
                <w:rFonts w:cstheme="minorHAnsi"/>
                <w:sz w:val="18"/>
                <w:szCs w:val="20"/>
              </w:rPr>
              <w:t>Cell Signaling</w:t>
            </w:r>
          </w:p>
          <w:p w14:paraId="44A031C0"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szCs w:val="20"/>
              </w:rPr>
              <w:t>3192</w:t>
            </w:r>
          </w:p>
        </w:tc>
        <w:tc>
          <w:tcPr>
            <w:tcW w:w="2101" w:type="dxa"/>
            <w:vAlign w:val="center"/>
          </w:tcPr>
          <w:p w14:paraId="50A17368"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20EB0AF1"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7C6EEE7B" w14:textId="77777777" w:rsidR="007E19D4" w:rsidRPr="0038776E" w:rsidRDefault="007E19D4" w:rsidP="007E19D4">
            <w:pPr>
              <w:jc w:val="center"/>
              <w:rPr>
                <w:rFonts w:cstheme="minorHAnsi"/>
                <w:color w:val="auto"/>
                <w:sz w:val="18"/>
                <w:lang w:val="en-GB"/>
              </w:rPr>
            </w:pPr>
            <w:r w:rsidRPr="0038776E">
              <w:rPr>
                <w:rFonts w:cstheme="minorHAnsi"/>
                <w:color w:val="auto"/>
                <w:sz w:val="18"/>
                <w:lang w:val="en-GB"/>
              </w:rPr>
              <w:t>Total GCN2</w:t>
            </w:r>
          </w:p>
        </w:tc>
        <w:tc>
          <w:tcPr>
            <w:tcW w:w="1500" w:type="dxa"/>
            <w:vAlign w:val="center"/>
          </w:tcPr>
          <w:p w14:paraId="46BFD500"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20"/>
              </w:rPr>
            </w:pPr>
            <w:r w:rsidRPr="0038776E">
              <w:rPr>
                <w:rFonts w:cstheme="minorHAnsi"/>
                <w:sz w:val="18"/>
                <w:szCs w:val="20"/>
              </w:rPr>
              <w:t>Cell Signaling</w:t>
            </w:r>
          </w:p>
          <w:p w14:paraId="485B45A1"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3302</w:t>
            </w:r>
          </w:p>
        </w:tc>
        <w:tc>
          <w:tcPr>
            <w:tcW w:w="2101" w:type="dxa"/>
            <w:vAlign w:val="center"/>
          </w:tcPr>
          <w:p w14:paraId="708B0927"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6376B36F"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740F7712" w14:textId="77777777" w:rsidR="007E19D4" w:rsidRPr="0038776E" w:rsidRDefault="007E19D4" w:rsidP="007E19D4">
            <w:pPr>
              <w:jc w:val="center"/>
              <w:rPr>
                <w:rFonts w:cstheme="minorHAnsi"/>
                <w:b w:val="0"/>
                <w:bCs w:val="0"/>
                <w:color w:val="auto"/>
                <w:sz w:val="18"/>
                <w:lang w:val="en-GB"/>
              </w:rPr>
            </w:pPr>
            <w:proofErr w:type="spellStart"/>
            <w:r w:rsidRPr="0038776E">
              <w:rPr>
                <w:rFonts w:cstheme="minorHAnsi"/>
                <w:color w:val="auto"/>
                <w:sz w:val="18"/>
                <w:lang w:val="en-GB"/>
              </w:rPr>
              <w:t>Phospho</w:t>
            </w:r>
            <w:proofErr w:type="spellEnd"/>
            <w:r w:rsidRPr="0038776E">
              <w:rPr>
                <w:rFonts w:cstheme="minorHAnsi"/>
                <w:color w:val="auto"/>
                <w:sz w:val="18"/>
                <w:lang w:val="en-GB"/>
              </w:rPr>
              <w:t xml:space="preserve"> GCN2</w:t>
            </w:r>
          </w:p>
          <w:p w14:paraId="1057DE3C" w14:textId="77777777" w:rsidR="007E19D4" w:rsidRPr="0038776E" w:rsidRDefault="007E19D4" w:rsidP="007E19D4">
            <w:pPr>
              <w:jc w:val="center"/>
              <w:rPr>
                <w:rFonts w:cstheme="minorHAnsi"/>
                <w:color w:val="auto"/>
                <w:sz w:val="18"/>
                <w:lang w:val="en-GB"/>
              </w:rPr>
            </w:pPr>
            <w:r w:rsidRPr="0038776E">
              <w:rPr>
                <w:rFonts w:cstheme="minorHAnsi"/>
                <w:color w:val="auto"/>
                <w:sz w:val="18"/>
                <w:lang w:val="en-GB"/>
              </w:rPr>
              <w:t>(T899)</w:t>
            </w:r>
          </w:p>
        </w:tc>
        <w:tc>
          <w:tcPr>
            <w:tcW w:w="1500" w:type="dxa"/>
            <w:vAlign w:val="center"/>
          </w:tcPr>
          <w:p w14:paraId="15F55E78"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Abcam</w:t>
            </w:r>
          </w:p>
          <w:p w14:paraId="0135DDB1"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ab7583</w:t>
            </w:r>
          </w:p>
        </w:tc>
        <w:tc>
          <w:tcPr>
            <w:tcW w:w="2101" w:type="dxa"/>
            <w:vAlign w:val="center"/>
          </w:tcPr>
          <w:p w14:paraId="0A867658"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6E3D2F47"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5BCE87C5" w14:textId="77777777" w:rsidR="007E19D4" w:rsidRPr="0038776E" w:rsidRDefault="007E19D4" w:rsidP="007E19D4">
            <w:pPr>
              <w:jc w:val="center"/>
              <w:rPr>
                <w:rFonts w:cstheme="minorHAnsi"/>
                <w:b w:val="0"/>
                <w:bCs w:val="0"/>
                <w:color w:val="auto"/>
                <w:sz w:val="18"/>
                <w:lang w:val="en-GB"/>
              </w:rPr>
            </w:pPr>
            <w:r w:rsidRPr="0038776E">
              <w:rPr>
                <w:rFonts w:cstheme="minorHAnsi"/>
                <w:color w:val="auto"/>
                <w:sz w:val="18"/>
                <w:lang w:val="en-GB"/>
              </w:rPr>
              <w:t>ATF4 (D4B8)</w:t>
            </w:r>
          </w:p>
        </w:tc>
        <w:tc>
          <w:tcPr>
            <w:tcW w:w="1500" w:type="dxa"/>
            <w:vAlign w:val="center"/>
          </w:tcPr>
          <w:p w14:paraId="1D3B7C04"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szCs w:val="20"/>
              </w:rPr>
            </w:pPr>
            <w:r w:rsidRPr="0038776E">
              <w:rPr>
                <w:rFonts w:cstheme="minorHAnsi"/>
                <w:sz w:val="18"/>
                <w:szCs w:val="20"/>
              </w:rPr>
              <w:t>Cell Signaling</w:t>
            </w:r>
          </w:p>
          <w:p w14:paraId="0E116B11"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szCs w:val="20"/>
              </w:rPr>
              <w:t>11815</w:t>
            </w:r>
          </w:p>
        </w:tc>
        <w:tc>
          <w:tcPr>
            <w:tcW w:w="2101" w:type="dxa"/>
            <w:vAlign w:val="center"/>
          </w:tcPr>
          <w:p w14:paraId="4D4514D6"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6C3802CC"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3C4BB952" w14:textId="77777777" w:rsidR="007E19D4" w:rsidRPr="0038776E" w:rsidRDefault="007E19D4" w:rsidP="007E19D4">
            <w:pPr>
              <w:jc w:val="center"/>
              <w:rPr>
                <w:rFonts w:cstheme="minorHAnsi"/>
                <w:sz w:val="18"/>
                <w:lang w:val="en-GB"/>
              </w:rPr>
            </w:pPr>
            <w:r w:rsidRPr="0029660D">
              <w:rPr>
                <w:rFonts w:cstheme="minorHAnsi"/>
                <w:color w:val="auto"/>
                <w:sz w:val="18"/>
                <w:lang w:val="en-GB"/>
              </w:rPr>
              <w:t>MAP2</w:t>
            </w:r>
          </w:p>
        </w:tc>
        <w:tc>
          <w:tcPr>
            <w:tcW w:w="1500" w:type="dxa"/>
            <w:vAlign w:val="center"/>
          </w:tcPr>
          <w:p w14:paraId="40114273" w14:textId="77777777" w:rsidR="007E19D4"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20"/>
              </w:rPr>
            </w:pPr>
            <w:r>
              <w:rPr>
                <w:rFonts w:cstheme="minorHAnsi"/>
                <w:sz w:val="18"/>
                <w:szCs w:val="20"/>
              </w:rPr>
              <w:t>Abcam</w:t>
            </w:r>
          </w:p>
          <w:p w14:paraId="712F1070"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szCs w:val="20"/>
              </w:rPr>
            </w:pPr>
            <w:r>
              <w:rPr>
                <w:rFonts w:cstheme="minorHAnsi"/>
                <w:sz w:val="18"/>
                <w:szCs w:val="20"/>
              </w:rPr>
              <w:t>Ab5392</w:t>
            </w:r>
          </w:p>
        </w:tc>
        <w:tc>
          <w:tcPr>
            <w:tcW w:w="2101" w:type="dxa"/>
            <w:vAlign w:val="center"/>
          </w:tcPr>
          <w:p w14:paraId="359690A6"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Pr>
                <w:rFonts w:cstheme="minorHAnsi"/>
                <w:sz w:val="18"/>
                <w:lang w:val="en-GB"/>
              </w:rPr>
              <w:t>IF (1:500)</w:t>
            </w:r>
          </w:p>
        </w:tc>
      </w:tr>
      <w:tr w:rsidR="007E19D4" w14:paraId="47B0E86D"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3BD04BCA" w14:textId="77777777" w:rsidR="007E19D4" w:rsidRPr="0038776E" w:rsidRDefault="007E19D4" w:rsidP="007E19D4">
            <w:pPr>
              <w:jc w:val="center"/>
              <w:rPr>
                <w:rFonts w:cstheme="minorHAnsi"/>
                <w:color w:val="auto"/>
                <w:sz w:val="18"/>
                <w:lang w:val="en-GB"/>
              </w:rPr>
            </w:pPr>
            <w:r w:rsidRPr="0038776E">
              <w:rPr>
                <w:rFonts w:cstheme="minorHAnsi"/>
                <w:color w:val="auto"/>
                <w:sz w:val="18"/>
                <w:lang w:val="en-GB"/>
              </w:rPr>
              <w:lastRenderedPageBreak/>
              <w:t>GAPDH (14C10)</w:t>
            </w:r>
          </w:p>
        </w:tc>
        <w:tc>
          <w:tcPr>
            <w:tcW w:w="1500" w:type="dxa"/>
            <w:vAlign w:val="center"/>
          </w:tcPr>
          <w:p w14:paraId="40F84BA4"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 xml:space="preserve">Cell </w:t>
            </w:r>
            <w:proofErr w:type="spellStart"/>
            <w:r w:rsidRPr="0038776E">
              <w:rPr>
                <w:rFonts w:cstheme="minorHAnsi"/>
                <w:sz w:val="18"/>
                <w:lang w:val="en-GB"/>
              </w:rPr>
              <w:t>Signaling</w:t>
            </w:r>
            <w:proofErr w:type="spellEnd"/>
          </w:p>
          <w:p w14:paraId="107AA274"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2118</w:t>
            </w:r>
          </w:p>
        </w:tc>
        <w:tc>
          <w:tcPr>
            <w:tcW w:w="2101" w:type="dxa"/>
            <w:vAlign w:val="center"/>
          </w:tcPr>
          <w:p w14:paraId="4BB707BE"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WB (1:1</w:t>
            </w:r>
            <w:r>
              <w:rPr>
                <w:rFonts w:cstheme="minorHAnsi"/>
                <w:sz w:val="18"/>
                <w:lang w:val="en-GB"/>
              </w:rPr>
              <w:t>,</w:t>
            </w:r>
            <w:r w:rsidRPr="0038776E">
              <w:rPr>
                <w:rFonts w:cstheme="minorHAnsi"/>
                <w:sz w:val="18"/>
                <w:lang w:val="en-GB"/>
              </w:rPr>
              <w:t>000)</w:t>
            </w:r>
          </w:p>
        </w:tc>
      </w:tr>
      <w:tr w:rsidR="007E19D4" w14:paraId="68908069"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68D186B8" w14:textId="77777777" w:rsidR="007E19D4" w:rsidRPr="0038776E" w:rsidRDefault="007E19D4" w:rsidP="007E19D4">
            <w:pPr>
              <w:jc w:val="center"/>
              <w:rPr>
                <w:rFonts w:cstheme="minorHAnsi"/>
                <w:sz w:val="18"/>
                <w:lang w:val="en-GB"/>
              </w:rPr>
            </w:pPr>
            <w:r w:rsidRPr="0038776E">
              <w:rPr>
                <w:rFonts w:cstheme="minorHAnsi"/>
                <w:color w:val="auto"/>
                <w:sz w:val="18"/>
                <w:lang w:val="en-GB"/>
              </w:rPr>
              <w:t>α-Tubulin</w:t>
            </w:r>
          </w:p>
        </w:tc>
        <w:tc>
          <w:tcPr>
            <w:tcW w:w="1500" w:type="dxa"/>
            <w:vAlign w:val="center"/>
          </w:tcPr>
          <w:p w14:paraId="492A3AFA"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Sigma Aldrich</w:t>
            </w:r>
          </w:p>
          <w:p w14:paraId="74256581"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T6074</w:t>
            </w:r>
          </w:p>
        </w:tc>
        <w:tc>
          <w:tcPr>
            <w:tcW w:w="2101" w:type="dxa"/>
            <w:vAlign w:val="center"/>
          </w:tcPr>
          <w:p w14:paraId="59B3FA27"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WB (1:10</w:t>
            </w:r>
            <w:r>
              <w:rPr>
                <w:rFonts w:cstheme="minorHAnsi"/>
                <w:sz w:val="18"/>
                <w:lang w:val="en-GB"/>
              </w:rPr>
              <w:t>,</w:t>
            </w:r>
            <w:r w:rsidRPr="0038776E">
              <w:rPr>
                <w:rFonts w:cstheme="minorHAnsi"/>
                <w:sz w:val="18"/>
                <w:lang w:val="en-GB"/>
              </w:rPr>
              <w:t>000)</w:t>
            </w:r>
          </w:p>
        </w:tc>
      </w:tr>
      <w:tr w:rsidR="007E19D4" w14:paraId="66578506"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0A9B189C" w14:textId="77777777" w:rsidR="007E19D4" w:rsidRPr="0088031C" w:rsidRDefault="007E19D4" w:rsidP="007E19D4">
            <w:pPr>
              <w:jc w:val="center"/>
              <w:rPr>
                <w:rFonts w:cstheme="minorHAnsi"/>
                <w:color w:val="auto"/>
                <w:sz w:val="18"/>
                <w:lang w:val="en-GB"/>
              </w:rPr>
            </w:pPr>
            <w:r w:rsidRPr="0088031C">
              <w:rPr>
                <w:rFonts w:cstheme="minorHAnsi"/>
                <w:color w:val="auto"/>
                <w:sz w:val="18"/>
              </w:rPr>
              <w:t>Anti-choline acetyltransferase (</w:t>
            </w:r>
            <w:proofErr w:type="spellStart"/>
            <w:r w:rsidRPr="0088031C">
              <w:rPr>
                <w:rFonts w:cstheme="minorHAnsi"/>
                <w:color w:val="auto"/>
                <w:sz w:val="18"/>
              </w:rPr>
              <w:t>ChAT</w:t>
            </w:r>
            <w:proofErr w:type="spellEnd"/>
            <w:r w:rsidRPr="0088031C">
              <w:rPr>
                <w:rFonts w:cstheme="minorHAnsi"/>
                <w:color w:val="auto"/>
                <w:sz w:val="18"/>
              </w:rPr>
              <w:t>)</w:t>
            </w:r>
          </w:p>
        </w:tc>
        <w:tc>
          <w:tcPr>
            <w:tcW w:w="1500" w:type="dxa"/>
            <w:vAlign w:val="center"/>
          </w:tcPr>
          <w:p w14:paraId="7B0BD1B0" w14:textId="77777777" w:rsidR="007E19D4" w:rsidRPr="0088031C"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rPr>
            </w:pPr>
            <w:r w:rsidRPr="0088031C">
              <w:rPr>
                <w:rFonts w:cstheme="minorHAnsi"/>
                <w:sz w:val="18"/>
              </w:rPr>
              <w:t xml:space="preserve">Merck Millipore </w:t>
            </w:r>
          </w:p>
          <w:p w14:paraId="0F7855E9" w14:textId="77777777" w:rsidR="007E19D4" w:rsidRPr="0088031C"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88031C">
              <w:rPr>
                <w:rFonts w:cstheme="minorHAnsi"/>
                <w:sz w:val="18"/>
              </w:rPr>
              <w:t>AB144P</w:t>
            </w:r>
          </w:p>
        </w:tc>
        <w:tc>
          <w:tcPr>
            <w:tcW w:w="2101" w:type="dxa"/>
            <w:vAlign w:val="center"/>
          </w:tcPr>
          <w:p w14:paraId="1684809F" w14:textId="77777777" w:rsidR="007E19D4" w:rsidRPr="0088031C"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88031C">
              <w:rPr>
                <w:rFonts w:cstheme="minorHAnsi"/>
                <w:sz w:val="18"/>
                <w:lang w:val="en-GB"/>
              </w:rPr>
              <w:t>IF (1:500)</w:t>
            </w:r>
          </w:p>
          <w:p w14:paraId="74471758" w14:textId="77777777" w:rsidR="007E19D4" w:rsidRPr="0088031C"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88031C">
              <w:rPr>
                <w:rFonts w:cstheme="minorHAnsi"/>
                <w:sz w:val="18"/>
                <w:lang w:val="en-GB"/>
              </w:rPr>
              <w:t xml:space="preserve">IHC </w:t>
            </w:r>
          </w:p>
        </w:tc>
      </w:tr>
      <w:tr w:rsidR="007E19D4" w14:paraId="5520887A"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46973356" w14:textId="77777777" w:rsidR="007E19D4" w:rsidRPr="0088031C" w:rsidRDefault="007E19D4" w:rsidP="007E19D4">
            <w:pPr>
              <w:jc w:val="center"/>
              <w:rPr>
                <w:rFonts w:cstheme="minorHAnsi"/>
                <w:b w:val="0"/>
                <w:bCs w:val="0"/>
                <w:color w:val="auto"/>
                <w:sz w:val="18"/>
              </w:rPr>
            </w:pPr>
            <w:r w:rsidRPr="0088031C">
              <w:rPr>
                <w:rFonts w:cstheme="minorHAnsi"/>
                <w:color w:val="auto"/>
                <w:sz w:val="18"/>
              </w:rPr>
              <w:t>Biotin-SP</w:t>
            </w:r>
          </w:p>
          <w:p w14:paraId="31994342" w14:textId="77777777" w:rsidR="007E19D4" w:rsidRPr="0088031C" w:rsidRDefault="007E19D4" w:rsidP="007E19D4">
            <w:pPr>
              <w:jc w:val="center"/>
              <w:rPr>
                <w:rFonts w:cstheme="minorHAnsi"/>
                <w:b w:val="0"/>
                <w:bCs w:val="0"/>
                <w:color w:val="auto"/>
                <w:sz w:val="18"/>
              </w:rPr>
            </w:pPr>
            <w:r w:rsidRPr="0088031C">
              <w:rPr>
                <w:rFonts w:cstheme="minorHAnsi"/>
                <w:color w:val="auto"/>
                <w:sz w:val="18"/>
              </w:rPr>
              <w:t xml:space="preserve">(long spacer) </w:t>
            </w:r>
            <w:proofErr w:type="spellStart"/>
            <w:r w:rsidRPr="0088031C">
              <w:rPr>
                <w:rFonts w:cstheme="minorHAnsi"/>
                <w:color w:val="auto"/>
                <w:sz w:val="18"/>
              </w:rPr>
              <w:t>AffiniPure</w:t>
            </w:r>
            <w:proofErr w:type="spellEnd"/>
          </w:p>
          <w:p w14:paraId="5FB60CB9" w14:textId="77777777" w:rsidR="007E19D4" w:rsidRPr="0088031C" w:rsidRDefault="007E19D4" w:rsidP="007E19D4">
            <w:pPr>
              <w:jc w:val="center"/>
              <w:rPr>
                <w:rFonts w:cstheme="minorHAnsi"/>
                <w:color w:val="auto"/>
                <w:sz w:val="18"/>
              </w:rPr>
            </w:pPr>
            <w:r w:rsidRPr="0088031C">
              <w:rPr>
                <w:rFonts w:cstheme="minorHAnsi"/>
                <w:color w:val="auto"/>
                <w:sz w:val="18"/>
              </w:rPr>
              <w:t xml:space="preserve">F (ab')₂Fragment </w:t>
            </w:r>
            <w:proofErr w:type="spellStart"/>
            <w:r w:rsidRPr="0088031C">
              <w:rPr>
                <w:rFonts w:cstheme="minorHAnsi"/>
                <w:color w:val="auto"/>
                <w:sz w:val="18"/>
              </w:rPr>
              <w:t>DonkeyAnti</w:t>
            </w:r>
            <w:proofErr w:type="spellEnd"/>
            <w:r w:rsidRPr="0088031C">
              <w:rPr>
                <w:rFonts w:cstheme="minorHAnsi"/>
                <w:color w:val="auto"/>
                <w:sz w:val="18"/>
              </w:rPr>
              <w:t>-Goat IgG (H+L) Donkey</w:t>
            </w:r>
          </w:p>
        </w:tc>
        <w:tc>
          <w:tcPr>
            <w:tcW w:w="1500" w:type="dxa"/>
            <w:vAlign w:val="center"/>
          </w:tcPr>
          <w:p w14:paraId="6612F590" w14:textId="77777777" w:rsidR="007E19D4" w:rsidRPr="0088031C"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88031C">
              <w:rPr>
                <w:rFonts w:cstheme="minorHAnsi"/>
                <w:sz w:val="18"/>
              </w:rPr>
              <w:t xml:space="preserve">Jackson </w:t>
            </w:r>
            <w:proofErr w:type="spellStart"/>
            <w:r w:rsidRPr="0088031C">
              <w:rPr>
                <w:rFonts w:cstheme="minorHAnsi"/>
                <w:sz w:val="18"/>
              </w:rPr>
              <w:t>ImmunoResearch</w:t>
            </w:r>
            <w:proofErr w:type="spellEnd"/>
          </w:p>
          <w:p w14:paraId="006385C9" w14:textId="77777777" w:rsidR="007E19D4" w:rsidRPr="0088031C"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88031C">
              <w:rPr>
                <w:rFonts w:cstheme="minorHAnsi"/>
                <w:sz w:val="18"/>
              </w:rPr>
              <w:t>705-066-147</w:t>
            </w:r>
          </w:p>
        </w:tc>
        <w:tc>
          <w:tcPr>
            <w:tcW w:w="2101" w:type="dxa"/>
            <w:vAlign w:val="center"/>
          </w:tcPr>
          <w:p w14:paraId="051015CA" w14:textId="77777777" w:rsidR="007E19D4" w:rsidRPr="0088031C"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88031C">
              <w:rPr>
                <w:rFonts w:cstheme="minorHAnsi"/>
                <w:sz w:val="18"/>
                <w:lang w:val="en-GB"/>
              </w:rPr>
              <w:t>IF (1:500)</w:t>
            </w:r>
          </w:p>
        </w:tc>
      </w:tr>
      <w:tr w:rsidR="007E19D4" w14:paraId="313814F0"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5C208AF8" w14:textId="77777777" w:rsidR="007E19D4" w:rsidRPr="00A862E8" w:rsidRDefault="007E19D4" w:rsidP="007E19D4">
            <w:pPr>
              <w:jc w:val="center"/>
              <w:rPr>
                <w:rFonts w:cstheme="minorHAnsi"/>
                <w:color w:val="C00000"/>
                <w:sz w:val="18"/>
              </w:rPr>
            </w:pPr>
            <w:proofErr w:type="spellStart"/>
            <w:r w:rsidRPr="0038776E">
              <w:rPr>
                <w:rFonts w:cstheme="minorHAnsi"/>
                <w:color w:val="auto"/>
                <w:sz w:val="18"/>
              </w:rPr>
              <w:t>AntiMouse</w:t>
            </w:r>
            <w:proofErr w:type="spellEnd"/>
            <w:r w:rsidRPr="0038776E">
              <w:rPr>
                <w:rFonts w:cstheme="minorHAnsi"/>
                <w:color w:val="auto"/>
                <w:sz w:val="18"/>
              </w:rPr>
              <w:t xml:space="preserve"> IgG-HRP</w:t>
            </w:r>
          </w:p>
        </w:tc>
        <w:tc>
          <w:tcPr>
            <w:tcW w:w="1500" w:type="dxa"/>
            <w:vAlign w:val="center"/>
          </w:tcPr>
          <w:p w14:paraId="67802D33"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rPr>
            </w:pPr>
            <w:r w:rsidRPr="0038776E">
              <w:rPr>
                <w:rFonts w:cstheme="minorHAnsi"/>
                <w:sz w:val="18"/>
              </w:rPr>
              <w:t>Sigma</w:t>
            </w:r>
          </w:p>
          <w:p w14:paraId="3B52E6F4" w14:textId="77777777" w:rsidR="007E19D4" w:rsidRPr="004B6D08"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color w:val="FF0000"/>
                <w:sz w:val="18"/>
              </w:rPr>
            </w:pPr>
            <w:r w:rsidRPr="0038776E">
              <w:rPr>
                <w:rFonts w:cstheme="minorHAnsi"/>
                <w:sz w:val="18"/>
              </w:rPr>
              <w:t>A0168</w:t>
            </w:r>
          </w:p>
        </w:tc>
        <w:tc>
          <w:tcPr>
            <w:tcW w:w="2101" w:type="dxa"/>
            <w:vAlign w:val="center"/>
          </w:tcPr>
          <w:p w14:paraId="7672E7EB" w14:textId="77777777" w:rsidR="007E19D4" w:rsidRPr="004B6D08"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color w:val="FF0000"/>
                <w:sz w:val="18"/>
              </w:rPr>
            </w:pPr>
            <w:r w:rsidRPr="0038776E">
              <w:rPr>
                <w:rFonts w:cstheme="minorHAnsi"/>
                <w:sz w:val="18"/>
                <w:lang w:val="en-GB"/>
              </w:rPr>
              <w:t>WB (1:10</w:t>
            </w:r>
            <w:r>
              <w:rPr>
                <w:rFonts w:cstheme="minorHAnsi"/>
                <w:sz w:val="18"/>
                <w:lang w:val="en-GB"/>
              </w:rPr>
              <w:t>,</w:t>
            </w:r>
            <w:r w:rsidRPr="0038776E">
              <w:rPr>
                <w:rFonts w:cstheme="minorHAnsi"/>
                <w:sz w:val="18"/>
                <w:lang w:val="en-GB"/>
              </w:rPr>
              <w:t>000)</w:t>
            </w:r>
          </w:p>
        </w:tc>
      </w:tr>
      <w:tr w:rsidR="007E19D4" w14:paraId="088F317F"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4F880AB0" w14:textId="77777777" w:rsidR="007E19D4" w:rsidRPr="0038776E" w:rsidRDefault="007E19D4" w:rsidP="007E19D4">
            <w:pPr>
              <w:jc w:val="center"/>
              <w:rPr>
                <w:rFonts w:cstheme="minorHAnsi"/>
                <w:color w:val="auto"/>
                <w:sz w:val="18"/>
              </w:rPr>
            </w:pPr>
            <w:proofErr w:type="spellStart"/>
            <w:r w:rsidRPr="0038776E">
              <w:rPr>
                <w:rFonts w:cstheme="minorHAnsi"/>
                <w:color w:val="auto"/>
                <w:sz w:val="18"/>
              </w:rPr>
              <w:t>AntiRabbit</w:t>
            </w:r>
            <w:proofErr w:type="spellEnd"/>
            <w:r w:rsidRPr="0038776E">
              <w:rPr>
                <w:rFonts w:cstheme="minorHAnsi"/>
                <w:color w:val="auto"/>
                <w:sz w:val="18"/>
              </w:rPr>
              <w:t xml:space="preserve"> IgG-HRP</w:t>
            </w:r>
          </w:p>
        </w:tc>
        <w:tc>
          <w:tcPr>
            <w:tcW w:w="1500" w:type="dxa"/>
            <w:vAlign w:val="center"/>
          </w:tcPr>
          <w:p w14:paraId="310ED110"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38776E">
              <w:rPr>
                <w:rFonts w:cstheme="minorHAnsi"/>
                <w:sz w:val="18"/>
              </w:rPr>
              <w:t>Sigma</w:t>
            </w:r>
          </w:p>
          <w:p w14:paraId="20772576"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38776E">
              <w:rPr>
                <w:rFonts w:cstheme="minorHAnsi"/>
                <w:sz w:val="18"/>
              </w:rPr>
              <w:t>A0545</w:t>
            </w:r>
          </w:p>
        </w:tc>
        <w:tc>
          <w:tcPr>
            <w:tcW w:w="2101" w:type="dxa"/>
            <w:vAlign w:val="center"/>
          </w:tcPr>
          <w:p w14:paraId="15E4E0C2"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WB (1:10</w:t>
            </w:r>
            <w:r>
              <w:rPr>
                <w:rFonts w:cstheme="minorHAnsi"/>
                <w:sz w:val="18"/>
                <w:lang w:val="en-GB"/>
              </w:rPr>
              <w:t>,</w:t>
            </w:r>
            <w:r w:rsidRPr="0038776E">
              <w:rPr>
                <w:rFonts w:cstheme="minorHAnsi"/>
                <w:sz w:val="18"/>
                <w:lang w:val="en-GB"/>
              </w:rPr>
              <w:t>000)</w:t>
            </w:r>
          </w:p>
        </w:tc>
      </w:tr>
      <w:tr w:rsidR="007E19D4" w14:paraId="2563F161"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786A7F65" w14:textId="77777777" w:rsidR="007E19D4" w:rsidRPr="0038776E" w:rsidRDefault="007E19D4" w:rsidP="007E19D4">
            <w:pPr>
              <w:jc w:val="center"/>
              <w:rPr>
                <w:rFonts w:cstheme="minorHAnsi"/>
                <w:sz w:val="18"/>
                <w:lang w:val="en-GB"/>
              </w:rPr>
            </w:pPr>
            <w:r w:rsidRPr="0038776E">
              <w:rPr>
                <w:rFonts w:cstheme="minorHAnsi"/>
                <w:color w:val="auto"/>
                <w:sz w:val="18"/>
                <w:lang w:val="en-GB"/>
              </w:rPr>
              <w:t>Alexa 4</w:t>
            </w:r>
            <w:r>
              <w:rPr>
                <w:rFonts w:cstheme="minorHAnsi"/>
                <w:color w:val="auto"/>
                <w:sz w:val="18"/>
                <w:lang w:val="en-GB"/>
              </w:rPr>
              <w:t>05</w:t>
            </w:r>
            <w:r w:rsidRPr="0038776E">
              <w:rPr>
                <w:rFonts w:cstheme="minorHAnsi"/>
                <w:color w:val="auto"/>
                <w:sz w:val="18"/>
                <w:lang w:val="en-GB"/>
              </w:rPr>
              <w:t xml:space="preserve"> anti-</w:t>
            </w:r>
            <w:r>
              <w:rPr>
                <w:rFonts w:cstheme="minorHAnsi"/>
                <w:color w:val="auto"/>
                <w:sz w:val="18"/>
                <w:lang w:val="en-GB"/>
              </w:rPr>
              <w:t>chicken</w:t>
            </w:r>
            <w:r w:rsidRPr="0038776E">
              <w:rPr>
                <w:rFonts w:cstheme="minorHAnsi"/>
                <w:color w:val="auto"/>
                <w:sz w:val="18"/>
                <w:lang w:val="en-GB"/>
              </w:rPr>
              <w:t xml:space="preserve"> IgG</w:t>
            </w:r>
          </w:p>
        </w:tc>
        <w:tc>
          <w:tcPr>
            <w:tcW w:w="1500" w:type="dxa"/>
            <w:vAlign w:val="center"/>
          </w:tcPr>
          <w:p w14:paraId="28A6309E" w14:textId="77777777" w:rsidR="007E19D4"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rPr>
            </w:pPr>
            <w:r>
              <w:rPr>
                <w:rFonts w:cstheme="minorHAnsi"/>
                <w:sz w:val="18"/>
              </w:rPr>
              <w:t xml:space="preserve">Abcam </w:t>
            </w:r>
          </w:p>
          <w:p w14:paraId="0AA3D8AC"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rPr>
            </w:pPr>
            <w:r>
              <w:rPr>
                <w:rFonts w:cstheme="minorHAnsi"/>
                <w:sz w:val="18"/>
              </w:rPr>
              <w:t>Ab175674</w:t>
            </w:r>
          </w:p>
        </w:tc>
        <w:tc>
          <w:tcPr>
            <w:tcW w:w="2101" w:type="dxa"/>
            <w:vAlign w:val="center"/>
          </w:tcPr>
          <w:p w14:paraId="4ABBE599"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Pr>
                <w:rFonts w:cstheme="minorHAnsi"/>
                <w:sz w:val="18"/>
                <w:lang w:val="en-GB"/>
              </w:rPr>
              <w:t>IF (1:500)</w:t>
            </w:r>
          </w:p>
        </w:tc>
      </w:tr>
      <w:tr w:rsidR="007E19D4" w14:paraId="15396F87"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062FE511" w14:textId="77777777" w:rsidR="007E19D4" w:rsidRPr="0038776E" w:rsidRDefault="007E19D4" w:rsidP="007E19D4">
            <w:pPr>
              <w:jc w:val="center"/>
              <w:rPr>
                <w:rFonts w:cstheme="minorHAnsi"/>
                <w:color w:val="auto"/>
                <w:sz w:val="18"/>
              </w:rPr>
            </w:pPr>
            <w:r w:rsidRPr="0038776E">
              <w:rPr>
                <w:rFonts w:cstheme="minorHAnsi"/>
                <w:color w:val="auto"/>
                <w:sz w:val="18"/>
                <w:lang w:val="en-GB"/>
              </w:rPr>
              <w:t>Alexa 488 anti-mouse IgG</w:t>
            </w:r>
          </w:p>
        </w:tc>
        <w:tc>
          <w:tcPr>
            <w:tcW w:w="1500" w:type="dxa"/>
            <w:vAlign w:val="center"/>
          </w:tcPr>
          <w:p w14:paraId="767373F2"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38776E">
              <w:rPr>
                <w:rFonts w:cstheme="minorHAnsi"/>
                <w:sz w:val="18"/>
              </w:rPr>
              <w:t>Invitrogen</w:t>
            </w:r>
          </w:p>
          <w:p w14:paraId="463402A6"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38776E">
              <w:rPr>
                <w:rFonts w:cstheme="minorHAnsi"/>
                <w:sz w:val="18"/>
              </w:rPr>
              <w:t>A-11001</w:t>
            </w:r>
          </w:p>
        </w:tc>
        <w:tc>
          <w:tcPr>
            <w:tcW w:w="2101" w:type="dxa"/>
            <w:vAlign w:val="center"/>
          </w:tcPr>
          <w:p w14:paraId="54567E55"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IF (1:500)</w:t>
            </w:r>
          </w:p>
        </w:tc>
      </w:tr>
      <w:tr w:rsidR="007E19D4" w14:paraId="5CE184DD"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5778500E" w14:textId="77777777" w:rsidR="007E19D4" w:rsidRPr="0038776E" w:rsidRDefault="007E19D4" w:rsidP="007E19D4">
            <w:pPr>
              <w:jc w:val="center"/>
              <w:rPr>
                <w:rFonts w:cstheme="minorHAnsi"/>
                <w:color w:val="auto"/>
                <w:sz w:val="18"/>
              </w:rPr>
            </w:pPr>
            <w:r w:rsidRPr="0038776E">
              <w:rPr>
                <w:rFonts w:cstheme="minorHAnsi"/>
                <w:color w:val="auto"/>
                <w:sz w:val="18"/>
                <w:lang w:val="en-GB"/>
              </w:rPr>
              <w:t>Cy3-conjugated anti-rabbit IgG</w:t>
            </w:r>
          </w:p>
        </w:tc>
        <w:tc>
          <w:tcPr>
            <w:tcW w:w="1500" w:type="dxa"/>
            <w:vAlign w:val="center"/>
          </w:tcPr>
          <w:p w14:paraId="3DA403E6"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 xml:space="preserve">Jackson </w:t>
            </w:r>
            <w:proofErr w:type="spellStart"/>
            <w:r w:rsidRPr="0038776E">
              <w:rPr>
                <w:rFonts w:cstheme="minorHAnsi"/>
                <w:sz w:val="18"/>
                <w:lang w:val="en-GB"/>
              </w:rPr>
              <w:t>Immunoresearch</w:t>
            </w:r>
            <w:proofErr w:type="spellEnd"/>
            <w:r w:rsidRPr="0038776E">
              <w:rPr>
                <w:rFonts w:cstheme="minorHAnsi"/>
                <w:sz w:val="18"/>
                <w:lang w:val="en-GB"/>
              </w:rPr>
              <w:t xml:space="preserve"> </w:t>
            </w:r>
          </w:p>
          <w:p w14:paraId="58366E16"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rPr>
            </w:pPr>
            <w:r w:rsidRPr="0038776E">
              <w:rPr>
                <w:rFonts w:cstheme="minorHAnsi"/>
                <w:sz w:val="18"/>
                <w:lang w:val="en-GB"/>
              </w:rPr>
              <w:t>(115-165-003)</w:t>
            </w:r>
          </w:p>
        </w:tc>
        <w:tc>
          <w:tcPr>
            <w:tcW w:w="2101" w:type="dxa"/>
            <w:vAlign w:val="center"/>
          </w:tcPr>
          <w:p w14:paraId="3B2A3289"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rPr>
            </w:pPr>
            <w:r w:rsidRPr="0038776E">
              <w:rPr>
                <w:rFonts w:cstheme="minorHAnsi"/>
                <w:sz w:val="18"/>
                <w:lang w:val="en-GB"/>
              </w:rPr>
              <w:t>IF (1:500)</w:t>
            </w:r>
          </w:p>
        </w:tc>
      </w:tr>
      <w:tr w:rsidR="007E19D4" w14:paraId="08C53EDA"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52B2FCFB" w14:textId="77777777" w:rsidR="007E19D4" w:rsidRPr="0038776E" w:rsidRDefault="007E19D4" w:rsidP="007E19D4">
            <w:pPr>
              <w:jc w:val="center"/>
              <w:rPr>
                <w:rFonts w:cstheme="minorHAnsi"/>
                <w:sz w:val="18"/>
              </w:rPr>
            </w:pPr>
            <w:r w:rsidRPr="0038776E">
              <w:rPr>
                <w:rFonts w:cstheme="minorHAnsi"/>
                <w:color w:val="auto"/>
                <w:sz w:val="18"/>
                <w:lang w:val="en-GB"/>
              </w:rPr>
              <w:t>Cy5-conjugated anti-rabbit IgG</w:t>
            </w:r>
          </w:p>
        </w:tc>
        <w:tc>
          <w:tcPr>
            <w:tcW w:w="1500" w:type="dxa"/>
            <w:vAlign w:val="center"/>
          </w:tcPr>
          <w:p w14:paraId="37A01C33"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r w:rsidRPr="0038776E">
              <w:rPr>
                <w:rFonts w:cstheme="minorHAnsi"/>
                <w:sz w:val="18"/>
                <w:lang w:val="en-GB"/>
              </w:rPr>
              <w:t xml:space="preserve">Jackson </w:t>
            </w:r>
            <w:proofErr w:type="spellStart"/>
            <w:r w:rsidRPr="0038776E">
              <w:rPr>
                <w:rFonts w:cstheme="minorHAnsi"/>
                <w:sz w:val="18"/>
                <w:lang w:val="en-GB"/>
              </w:rPr>
              <w:t>Immunoresearch</w:t>
            </w:r>
            <w:proofErr w:type="spellEnd"/>
            <w:r w:rsidRPr="0038776E">
              <w:rPr>
                <w:rFonts w:cstheme="minorHAnsi"/>
                <w:sz w:val="18"/>
                <w:lang w:val="en-GB"/>
              </w:rPr>
              <w:t xml:space="preserve"> </w:t>
            </w:r>
          </w:p>
          <w:p w14:paraId="1466A367"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38776E">
              <w:rPr>
                <w:rFonts w:cstheme="minorHAnsi"/>
                <w:sz w:val="18"/>
                <w:lang w:val="en-GB"/>
              </w:rPr>
              <w:t>(115-175-144)</w:t>
            </w:r>
          </w:p>
        </w:tc>
        <w:tc>
          <w:tcPr>
            <w:tcW w:w="2101" w:type="dxa"/>
            <w:vAlign w:val="center"/>
          </w:tcPr>
          <w:p w14:paraId="409755D9"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rPr>
            </w:pPr>
            <w:r w:rsidRPr="0038776E">
              <w:rPr>
                <w:rFonts w:cstheme="minorHAnsi"/>
                <w:sz w:val="18"/>
                <w:lang w:val="en-GB"/>
              </w:rPr>
              <w:t>IF (1:500)</w:t>
            </w:r>
          </w:p>
        </w:tc>
      </w:tr>
      <w:tr w:rsidR="007E19D4" w14:paraId="2D403725" w14:textId="77777777" w:rsidTr="007E19D4">
        <w:tc>
          <w:tcPr>
            <w:cnfStyle w:val="001000000000" w:firstRow="0" w:lastRow="0" w:firstColumn="1" w:lastColumn="0" w:oddVBand="0" w:evenVBand="0" w:oddHBand="0" w:evenHBand="0" w:firstRowFirstColumn="0" w:firstRowLastColumn="0" w:lastRowFirstColumn="0" w:lastRowLastColumn="0"/>
            <w:tcW w:w="2792" w:type="dxa"/>
            <w:vAlign w:val="center"/>
          </w:tcPr>
          <w:p w14:paraId="1208DC95" w14:textId="77777777" w:rsidR="007E19D4" w:rsidRPr="0038776E" w:rsidRDefault="007E19D4" w:rsidP="007E19D4">
            <w:pPr>
              <w:jc w:val="center"/>
              <w:rPr>
                <w:rFonts w:cstheme="minorHAnsi"/>
                <w:sz w:val="18"/>
              </w:rPr>
            </w:pPr>
            <w:r w:rsidRPr="0038776E">
              <w:rPr>
                <w:rFonts w:cstheme="minorHAnsi"/>
                <w:color w:val="auto"/>
                <w:sz w:val="18"/>
                <w:lang w:val="en-GB"/>
              </w:rPr>
              <w:t>Biotin-conjugated anti-mouse IgG</w:t>
            </w:r>
          </w:p>
        </w:tc>
        <w:tc>
          <w:tcPr>
            <w:tcW w:w="1500" w:type="dxa"/>
            <w:vAlign w:val="center"/>
          </w:tcPr>
          <w:p w14:paraId="7902FA1F"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lang w:val="en-GB"/>
              </w:rPr>
            </w:pPr>
            <w:r w:rsidRPr="0038776E">
              <w:rPr>
                <w:rFonts w:cstheme="minorHAnsi"/>
                <w:sz w:val="18"/>
                <w:lang w:val="en-GB"/>
              </w:rPr>
              <w:t xml:space="preserve">Jackson </w:t>
            </w:r>
            <w:proofErr w:type="spellStart"/>
            <w:r w:rsidRPr="0038776E">
              <w:rPr>
                <w:rFonts w:cstheme="minorHAnsi"/>
                <w:sz w:val="18"/>
                <w:lang w:val="en-GB"/>
              </w:rPr>
              <w:t>Immunoresearch</w:t>
            </w:r>
            <w:proofErr w:type="spellEnd"/>
            <w:r w:rsidRPr="0038776E">
              <w:rPr>
                <w:rFonts w:cstheme="minorHAnsi"/>
                <w:sz w:val="18"/>
                <w:lang w:val="en-GB"/>
              </w:rPr>
              <w:t xml:space="preserve"> </w:t>
            </w:r>
          </w:p>
          <w:p w14:paraId="024267BC"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rPr>
            </w:pPr>
            <w:r w:rsidRPr="0038776E">
              <w:rPr>
                <w:rFonts w:cstheme="minorHAnsi"/>
                <w:sz w:val="18"/>
                <w:lang w:val="en-GB"/>
              </w:rPr>
              <w:t>(115-065-003)</w:t>
            </w:r>
          </w:p>
        </w:tc>
        <w:tc>
          <w:tcPr>
            <w:tcW w:w="2101" w:type="dxa"/>
            <w:vAlign w:val="center"/>
          </w:tcPr>
          <w:p w14:paraId="48923D23" w14:textId="77777777" w:rsidR="007E19D4" w:rsidRPr="0038776E" w:rsidRDefault="007E19D4" w:rsidP="007E19D4">
            <w:pPr>
              <w:jc w:val="center"/>
              <w:cnfStyle w:val="000000000000" w:firstRow="0" w:lastRow="0" w:firstColumn="0" w:lastColumn="0" w:oddVBand="0" w:evenVBand="0" w:oddHBand="0" w:evenHBand="0" w:firstRowFirstColumn="0" w:firstRowLastColumn="0" w:lastRowFirstColumn="0" w:lastRowLastColumn="0"/>
              <w:rPr>
                <w:rFonts w:cstheme="minorHAnsi"/>
                <w:sz w:val="18"/>
              </w:rPr>
            </w:pPr>
            <w:r w:rsidRPr="0038776E">
              <w:rPr>
                <w:rFonts w:cstheme="minorHAnsi"/>
                <w:sz w:val="18"/>
                <w:lang w:val="en-GB"/>
              </w:rPr>
              <w:t>IF (1:500)</w:t>
            </w:r>
          </w:p>
        </w:tc>
      </w:tr>
      <w:tr w:rsidR="007E19D4" w14:paraId="10193397" w14:textId="77777777" w:rsidTr="007E19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2" w:type="dxa"/>
            <w:vAlign w:val="center"/>
          </w:tcPr>
          <w:p w14:paraId="13903F3D" w14:textId="77777777" w:rsidR="007E19D4" w:rsidRPr="0038776E" w:rsidRDefault="007E19D4" w:rsidP="007E19D4">
            <w:pPr>
              <w:jc w:val="center"/>
              <w:rPr>
                <w:rFonts w:cstheme="minorHAnsi"/>
                <w:color w:val="auto"/>
                <w:sz w:val="18"/>
                <w:lang w:val="en-GB"/>
              </w:rPr>
            </w:pPr>
          </w:p>
        </w:tc>
        <w:tc>
          <w:tcPr>
            <w:tcW w:w="1500" w:type="dxa"/>
            <w:vAlign w:val="center"/>
          </w:tcPr>
          <w:p w14:paraId="1FD6D4DD"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p>
        </w:tc>
        <w:tc>
          <w:tcPr>
            <w:tcW w:w="2101" w:type="dxa"/>
            <w:vAlign w:val="center"/>
          </w:tcPr>
          <w:p w14:paraId="0FB0E3A0" w14:textId="77777777" w:rsidR="007E19D4" w:rsidRPr="0038776E" w:rsidRDefault="007E19D4" w:rsidP="007E19D4">
            <w:pPr>
              <w:jc w:val="center"/>
              <w:cnfStyle w:val="000000100000" w:firstRow="0" w:lastRow="0" w:firstColumn="0" w:lastColumn="0" w:oddVBand="0" w:evenVBand="0" w:oddHBand="1" w:evenHBand="0" w:firstRowFirstColumn="0" w:firstRowLastColumn="0" w:lastRowFirstColumn="0" w:lastRowLastColumn="0"/>
              <w:rPr>
                <w:rFonts w:cstheme="minorHAnsi"/>
                <w:sz w:val="18"/>
                <w:lang w:val="en-GB"/>
              </w:rPr>
            </w:pPr>
          </w:p>
        </w:tc>
      </w:tr>
    </w:tbl>
    <w:p w14:paraId="31DCDFC1" w14:textId="77777777" w:rsidR="007E19D4" w:rsidRDefault="007E19D4" w:rsidP="007E19D4">
      <w:r>
        <w:rPr>
          <w:rFonts w:cstheme="minorHAnsi"/>
          <w:sz w:val="18"/>
          <w:lang w:val="en-GB"/>
        </w:rPr>
        <w:t>WB: western blot. IF: immunofluorescence. IHC: Immunohistochemistry.</w:t>
      </w:r>
    </w:p>
    <w:bookmarkEnd w:id="4"/>
    <w:p w14:paraId="18EF4EA9" w14:textId="77777777" w:rsidR="002D7C57" w:rsidRDefault="002D7C57" w:rsidP="007E19D4"/>
    <w:p w14:paraId="1EAD4A75" w14:textId="66E5CCD1" w:rsidR="007E19D4" w:rsidRDefault="007E19D4" w:rsidP="007E19D4">
      <w:r w:rsidRPr="008D07C0">
        <w:tab/>
      </w:r>
      <w:r w:rsidRPr="008D07C0">
        <w:tab/>
      </w:r>
      <w:bookmarkEnd w:id="1"/>
      <w:r w:rsidRPr="008D07C0">
        <w:tab/>
      </w:r>
      <w:r w:rsidRPr="008D07C0">
        <w:tab/>
      </w:r>
      <w:r w:rsidRPr="008D07C0">
        <w:tab/>
      </w:r>
      <w:r w:rsidRPr="008D07C0">
        <w:tab/>
      </w:r>
      <w:r w:rsidRPr="008D07C0">
        <w:tab/>
      </w:r>
    </w:p>
    <w:p w14:paraId="690C5930" w14:textId="11DCA1C4" w:rsidR="009A5F6C" w:rsidRDefault="009A5F6C" w:rsidP="009A5F6C">
      <w:pPr>
        <w:pStyle w:val="Heading2"/>
        <w:rPr>
          <w:sz w:val="36"/>
          <w:szCs w:val="36"/>
        </w:rPr>
      </w:pPr>
      <w:r>
        <w:rPr>
          <w:sz w:val="36"/>
          <w:szCs w:val="36"/>
        </w:rPr>
        <w:t>References</w:t>
      </w:r>
    </w:p>
    <w:p w14:paraId="58368A82" w14:textId="3F6C80CE" w:rsidR="009A5F6C" w:rsidRDefault="009A5F6C" w:rsidP="009A5F6C"/>
    <w:sdt>
      <w:sdtPr>
        <w:tag w:val="MENDELEY_BIBLIOGRAPHY"/>
        <w:id w:val="-938521039"/>
        <w:placeholder>
          <w:docPart w:val="DefaultPlaceholder_-1854013440"/>
        </w:placeholder>
      </w:sdtPr>
      <w:sdtEndPr/>
      <w:sdtContent>
        <w:p w14:paraId="6F81AD4E" w14:textId="77777777" w:rsidR="009A5F6C" w:rsidRDefault="009A5F6C">
          <w:pPr>
            <w:autoSpaceDE w:val="0"/>
            <w:autoSpaceDN w:val="0"/>
            <w:ind w:hanging="640"/>
            <w:divId w:val="395057309"/>
            <w:rPr>
              <w:rFonts w:eastAsia="Times New Roman"/>
              <w:sz w:val="24"/>
              <w:szCs w:val="24"/>
            </w:rPr>
          </w:pPr>
          <w:r>
            <w:rPr>
              <w:rFonts w:eastAsia="Times New Roman"/>
            </w:rPr>
            <w:t>[1]</w:t>
          </w:r>
          <w:r>
            <w:rPr>
              <w:rFonts w:eastAsia="Times New Roman"/>
            </w:rPr>
            <w:tab/>
            <w:t xml:space="preserve">M. E. Gurney </w:t>
          </w:r>
          <w:r>
            <w:rPr>
              <w:rFonts w:eastAsia="Times New Roman"/>
              <w:i/>
              <w:iCs/>
            </w:rPr>
            <w:t>et al.</w:t>
          </w:r>
          <w:r>
            <w:rPr>
              <w:rFonts w:eastAsia="Times New Roman"/>
            </w:rPr>
            <w:t xml:space="preserve">, “Motor neuron degeneration in mice that express a human </w:t>
          </w:r>
          <w:proofErr w:type="spellStart"/>
          <w:r>
            <w:rPr>
              <w:rFonts w:eastAsia="Times New Roman"/>
            </w:rPr>
            <w:t>Cu,Zn</w:t>
          </w:r>
          <w:proofErr w:type="spellEnd"/>
          <w:r>
            <w:rPr>
              <w:rFonts w:eastAsia="Times New Roman"/>
            </w:rPr>
            <w:t xml:space="preserve"> superoxide dismutase mutation,” </w:t>
          </w:r>
          <w:r>
            <w:rPr>
              <w:rFonts w:eastAsia="Times New Roman"/>
              <w:i/>
              <w:iCs/>
            </w:rPr>
            <w:t>Science (1979)</w:t>
          </w:r>
          <w:r>
            <w:rPr>
              <w:rFonts w:eastAsia="Times New Roman"/>
            </w:rPr>
            <w:t>, vol. 264, no. 5166, pp. 1772–1775, 1994, [Online]. Available: http://www.ncbi.nlm.nih.gov/entrez/query.fcgi?cmd=Retrieve&amp;db=PubMed&amp;dopt=Citation&amp;list_uids=8209258</w:t>
          </w:r>
        </w:p>
        <w:p w14:paraId="5CE2730F" w14:textId="77777777" w:rsidR="009A5F6C" w:rsidRDefault="009A5F6C">
          <w:pPr>
            <w:autoSpaceDE w:val="0"/>
            <w:autoSpaceDN w:val="0"/>
            <w:ind w:hanging="640"/>
            <w:divId w:val="1037700019"/>
            <w:rPr>
              <w:rFonts w:eastAsia="Times New Roman"/>
            </w:rPr>
          </w:pPr>
          <w:r>
            <w:rPr>
              <w:rFonts w:eastAsia="Times New Roman"/>
            </w:rPr>
            <w:t>[2]</w:t>
          </w:r>
          <w:r>
            <w:rPr>
              <w:rFonts w:eastAsia="Times New Roman"/>
            </w:rPr>
            <w:tab/>
            <w:t xml:space="preserve">E. Marlin </w:t>
          </w:r>
          <w:r>
            <w:rPr>
              <w:rFonts w:eastAsia="Times New Roman"/>
              <w:i/>
              <w:iCs/>
            </w:rPr>
            <w:t>et al.</w:t>
          </w:r>
          <w:r>
            <w:rPr>
              <w:rFonts w:eastAsia="Times New Roman"/>
            </w:rPr>
            <w:t xml:space="preserve">, “Pharmacological inhibition of the integrated stress response accelerates disease progression in an amyotrophic lateral sclerosis mouse model.,” </w:t>
          </w:r>
          <w:r>
            <w:rPr>
              <w:rFonts w:eastAsia="Times New Roman"/>
              <w:i/>
              <w:iCs/>
            </w:rPr>
            <w:t xml:space="preserve">Br J </w:t>
          </w:r>
          <w:proofErr w:type="spellStart"/>
          <w:r>
            <w:rPr>
              <w:rFonts w:eastAsia="Times New Roman"/>
              <w:i/>
              <w:iCs/>
            </w:rPr>
            <w:t>Pharmacol</w:t>
          </w:r>
          <w:proofErr w:type="spellEnd"/>
          <w:r>
            <w:rPr>
              <w:rFonts w:eastAsia="Times New Roman"/>
            </w:rPr>
            <w:t xml:space="preserve">, Oct. 2023, </w:t>
          </w:r>
          <w:proofErr w:type="spellStart"/>
          <w:r>
            <w:rPr>
              <w:rFonts w:eastAsia="Times New Roman"/>
            </w:rPr>
            <w:t>doi</w:t>
          </w:r>
          <w:proofErr w:type="spellEnd"/>
          <w:r>
            <w:rPr>
              <w:rFonts w:eastAsia="Times New Roman"/>
            </w:rPr>
            <w:t>: 10.1111/bph.16260.</w:t>
          </w:r>
        </w:p>
        <w:p w14:paraId="7664EBAD" w14:textId="77777777" w:rsidR="009A5F6C" w:rsidRDefault="009A5F6C">
          <w:pPr>
            <w:autoSpaceDE w:val="0"/>
            <w:autoSpaceDN w:val="0"/>
            <w:ind w:hanging="640"/>
            <w:divId w:val="1718550675"/>
            <w:rPr>
              <w:rFonts w:eastAsia="Times New Roman"/>
            </w:rPr>
          </w:pPr>
          <w:r>
            <w:rPr>
              <w:rFonts w:eastAsia="Times New Roman"/>
            </w:rPr>
            <w:t>[3]</w:t>
          </w:r>
          <w:r>
            <w:rPr>
              <w:rFonts w:eastAsia="Times New Roman"/>
            </w:rPr>
            <w:tab/>
            <w:t xml:space="preserve">C. Zhou, C.-P. Zhao, C. Zhang, G.-Y. Wu, F. </w:t>
          </w:r>
          <w:proofErr w:type="spellStart"/>
          <w:r>
            <w:rPr>
              <w:rFonts w:eastAsia="Times New Roman"/>
            </w:rPr>
            <w:t>Xiong</w:t>
          </w:r>
          <w:proofErr w:type="spellEnd"/>
          <w:r>
            <w:rPr>
              <w:rFonts w:eastAsia="Times New Roman"/>
            </w:rPr>
            <w:t xml:space="preserve">, and C. Zhang, “A method comparison in monitoring disease progression of G93A mouse model of ALS.,” </w:t>
          </w:r>
          <w:proofErr w:type="spellStart"/>
          <w:r>
            <w:rPr>
              <w:rFonts w:eastAsia="Times New Roman"/>
              <w:i/>
              <w:iCs/>
            </w:rPr>
            <w:t>Amyotroph</w:t>
          </w:r>
          <w:proofErr w:type="spellEnd"/>
          <w:r>
            <w:rPr>
              <w:rFonts w:eastAsia="Times New Roman"/>
              <w:i/>
              <w:iCs/>
            </w:rPr>
            <w:t xml:space="preserve"> Lateral </w:t>
          </w:r>
          <w:proofErr w:type="spellStart"/>
          <w:r>
            <w:rPr>
              <w:rFonts w:eastAsia="Times New Roman"/>
              <w:i/>
              <w:iCs/>
            </w:rPr>
            <w:t>Scler</w:t>
          </w:r>
          <w:proofErr w:type="spellEnd"/>
          <w:r>
            <w:rPr>
              <w:rFonts w:eastAsia="Times New Roman"/>
            </w:rPr>
            <w:t xml:space="preserve">, vol. 8, no. 6, pp. 366–372, Dec. 2007, </w:t>
          </w:r>
          <w:proofErr w:type="spellStart"/>
          <w:r>
            <w:rPr>
              <w:rFonts w:eastAsia="Times New Roman"/>
            </w:rPr>
            <w:t>doi</w:t>
          </w:r>
          <w:proofErr w:type="spellEnd"/>
          <w:r>
            <w:rPr>
              <w:rFonts w:eastAsia="Times New Roman"/>
            </w:rPr>
            <w:t>: 10.1080/17482960701538759.</w:t>
          </w:r>
        </w:p>
        <w:p w14:paraId="18B234E6" w14:textId="77777777" w:rsidR="009A5F6C" w:rsidRDefault="009A5F6C">
          <w:pPr>
            <w:autoSpaceDE w:val="0"/>
            <w:autoSpaceDN w:val="0"/>
            <w:ind w:hanging="640"/>
            <w:divId w:val="505559574"/>
            <w:rPr>
              <w:rFonts w:eastAsia="Times New Roman"/>
            </w:rPr>
          </w:pPr>
          <w:r>
            <w:rPr>
              <w:rFonts w:eastAsia="Times New Roman"/>
            </w:rPr>
            <w:t>[4]</w:t>
          </w:r>
          <w:r>
            <w:rPr>
              <w:rFonts w:eastAsia="Times New Roman"/>
            </w:rPr>
            <w:tab/>
            <w:t xml:space="preserve">R. </w:t>
          </w:r>
          <w:proofErr w:type="spellStart"/>
          <w:r>
            <w:rPr>
              <w:rFonts w:eastAsia="Times New Roman"/>
            </w:rPr>
            <w:t>Bugallo</w:t>
          </w:r>
          <w:proofErr w:type="spellEnd"/>
          <w:r>
            <w:rPr>
              <w:rFonts w:eastAsia="Times New Roman"/>
            </w:rPr>
            <w:t xml:space="preserve"> </w:t>
          </w:r>
          <w:r>
            <w:rPr>
              <w:rFonts w:eastAsia="Times New Roman"/>
              <w:i/>
              <w:iCs/>
            </w:rPr>
            <w:t>et al.</w:t>
          </w:r>
          <w:r>
            <w:rPr>
              <w:rFonts w:eastAsia="Times New Roman"/>
            </w:rPr>
            <w:t xml:space="preserve">, “Fine tuning of the unfolded protein response by ISRIB improves neuronal survival in  a model of amyotrophic lateral sclerosis.,” </w:t>
          </w:r>
          <w:r>
            <w:rPr>
              <w:rFonts w:eastAsia="Times New Roman"/>
              <w:i/>
              <w:iCs/>
            </w:rPr>
            <w:t>Cell Death Dis</w:t>
          </w:r>
          <w:r>
            <w:rPr>
              <w:rFonts w:eastAsia="Times New Roman"/>
            </w:rPr>
            <w:t xml:space="preserve">, vol. 11, no. 5, p. 397, May 2020, </w:t>
          </w:r>
          <w:proofErr w:type="spellStart"/>
          <w:r>
            <w:rPr>
              <w:rFonts w:eastAsia="Times New Roman"/>
            </w:rPr>
            <w:t>doi</w:t>
          </w:r>
          <w:proofErr w:type="spellEnd"/>
          <w:r>
            <w:rPr>
              <w:rFonts w:eastAsia="Times New Roman"/>
            </w:rPr>
            <w:t>: 10.1038/s41419-020-2601-2.</w:t>
          </w:r>
        </w:p>
        <w:p w14:paraId="07A42883" w14:textId="77777777" w:rsidR="009A5F6C" w:rsidRDefault="009A5F6C">
          <w:pPr>
            <w:autoSpaceDE w:val="0"/>
            <w:autoSpaceDN w:val="0"/>
            <w:ind w:hanging="640"/>
            <w:divId w:val="1768960575"/>
            <w:rPr>
              <w:rFonts w:eastAsia="Times New Roman"/>
            </w:rPr>
          </w:pPr>
          <w:r>
            <w:rPr>
              <w:rFonts w:eastAsia="Times New Roman"/>
            </w:rPr>
            <w:t>[5]</w:t>
          </w:r>
          <w:r>
            <w:rPr>
              <w:rFonts w:eastAsia="Times New Roman"/>
            </w:rPr>
            <w:tab/>
            <w:t xml:space="preserve">I. </w:t>
          </w:r>
          <w:proofErr w:type="spellStart"/>
          <w:r>
            <w:rPr>
              <w:rFonts w:eastAsia="Times New Roman"/>
            </w:rPr>
            <w:t>Íñigo</w:t>
          </w:r>
          <w:proofErr w:type="spellEnd"/>
          <w:r>
            <w:rPr>
              <w:rFonts w:eastAsia="Times New Roman"/>
            </w:rPr>
            <w:t xml:space="preserve">-Marco </w:t>
          </w:r>
          <w:r>
            <w:rPr>
              <w:rFonts w:eastAsia="Times New Roman"/>
              <w:i/>
              <w:iCs/>
            </w:rPr>
            <w:t>et al.</w:t>
          </w:r>
          <w:r>
            <w:rPr>
              <w:rFonts w:eastAsia="Times New Roman"/>
            </w:rPr>
            <w:t xml:space="preserve">, “E46K α-synuclein pathological mutation causes cell-autonomous toxicity without altering protein turnover or aggregation,” </w:t>
          </w:r>
          <w:r>
            <w:rPr>
              <w:rFonts w:eastAsia="Times New Roman"/>
              <w:i/>
              <w:iCs/>
            </w:rPr>
            <w:t xml:space="preserve">Proc Natl </w:t>
          </w:r>
          <w:proofErr w:type="spellStart"/>
          <w:r>
            <w:rPr>
              <w:rFonts w:eastAsia="Times New Roman"/>
              <w:i/>
              <w:iCs/>
            </w:rPr>
            <w:t>Acad</w:t>
          </w:r>
          <w:proofErr w:type="spellEnd"/>
          <w:r>
            <w:rPr>
              <w:rFonts w:eastAsia="Times New Roman"/>
              <w:i/>
              <w:iCs/>
            </w:rPr>
            <w:t xml:space="preserve"> Sci U S A</w:t>
          </w:r>
          <w:r>
            <w:rPr>
              <w:rFonts w:eastAsia="Times New Roman"/>
            </w:rPr>
            <w:t xml:space="preserve">, vol. 114, no. 39, pp. E8274–E8283, 2017, </w:t>
          </w:r>
          <w:proofErr w:type="spellStart"/>
          <w:r>
            <w:rPr>
              <w:rFonts w:eastAsia="Times New Roman"/>
            </w:rPr>
            <w:t>doi</w:t>
          </w:r>
          <w:proofErr w:type="spellEnd"/>
          <w:r>
            <w:rPr>
              <w:rFonts w:eastAsia="Times New Roman"/>
            </w:rPr>
            <w:t>: 10.1073/pnas.1703420114.</w:t>
          </w:r>
        </w:p>
        <w:p w14:paraId="3FB2CB9C" w14:textId="77777777" w:rsidR="009A5F6C" w:rsidRDefault="009A5F6C">
          <w:pPr>
            <w:autoSpaceDE w:val="0"/>
            <w:autoSpaceDN w:val="0"/>
            <w:ind w:hanging="640"/>
            <w:divId w:val="685642701"/>
            <w:rPr>
              <w:rFonts w:eastAsia="Times New Roman"/>
            </w:rPr>
          </w:pPr>
          <w:r>
            <w:rPr>
              <w:rFonts w:eastAsia="Times New Roman"/>
            </w:rPr>
            <w:lastRenderedPageBreak/>
            <w:t>[6]</w:t>
          </w:r>
          <w:r>
            <w:rPr>
              <w:rFonts w:eastAsia="Times New Roman"/>
            </w:rPr>
            <w:tab/>
            <w:t xml:space="preserve">R. </w:t>
          </w:r>
          <w:proofErr w:type="spellStart"/>
          <w:r>
            <w:rPr>
              <w:rFonts w:eastAsia="Times New Roman"/>
            </w:rPr>
            <w:t>Vinueza</w:t>
          </w:r>
          <w:proofErr w:type="spellEnd"/>
          <w:r>
            <w:rPr>
              <w:rFonts w:eastAsia="Times New Roman"/>
            </w:rPr>
            <w:t xml:space="preserve">-Gavilanes </w:t>
          </w:r>
          <w:r>
            <w:rPr>
              <w:rFonts w:eastAsia="Times New Roman"/>
              <w:i/>
              <w:iCs/>
            </w:rPr>
            <w:t>et al.</w:t>
          </w:r>
          <w:r>
            <w:rPr>
              <w:rFonts w:eastAsia="Times New Roman"/>
            </w:rPr>
            <w:t xml:space="preserve">, “N-terminal acetylation mutants affect alpha-synuclein stability, protein levels and neuronal toxicity,” </w:t>
          </w:r>
          <w:proofErr w:type="spellStart"/>
          <w:r>
            <w:rPr>
              <w:rFonts w:eastAsia="Times New Roman"/>
              <w:i/>
              <w:iCs/>
            </w:rPr>
            <w:t>Neurobiol</w:t>
          </w:r>
          <w:proofErr w:type="spellEnd"/>
          <w:r>
            <w:rPr>
              <w:rFonts w:eastAsia="Times New Roman"/>
              <w:i/>
              <w:iCs/>
            </w:rPr>
            <w:t xml:space="preserve"> Dis</w:t>
          </w:r>
          <w:r>
            <w:rPr>
              <w:rFonts w:eastAsia="Times New Roman"/>
            </w:rPr>
            <w:t xml:space="preserve">, vol. 137, p. 104781, Apr. 2020, </w:t>
          </w:r>
          <w:proofErr w:type="spellStart"/>
          <w:r>
            <w:rPr>
              <w:rFonts w:eastAsia="Times New Roman"/>
            </w:rPr>
            <w:t>doi</w:t>
          </w:r>
          <w:proofErr w:type="spellEnd"/>
          <w:r>
            <w:rPr>
              <w:rFonts w:eastAsia="Times New Roman"/>
            </w:rPr>
            <w:t>: 10.1016/j.nbd.2020.104781.</w:t>
          </w:r>
        </w:p>
        <w:p w14:paraId="4939E4FB" w14:textId="77777777" w:rsidR="009A5F6C" w:rsidRDefault="009A5F6C">
          <w:pPr>
            <w:autoSpaceDE w:val="0"/>
            <w:autoSpaceDN w:val="0"/>
            <w:ind w:hanging="640"/>
            <w:divId w:val="537201630"/>
            <w:rPr>
              <w:rFonts w:eastAsia="Times New Roman"/>
            </w:rPr>
          </w:pPr>
          <w:r>
            <w:rPr>
              <w:rFonts w:eastAsia="Times New Roman"/>
            </w:rPr>
            <w:t>[7]</w:t>
          </w:r>
          <w:r>
            <w:rPr>
              <w:rFonts w:eastAsia="Times New Roman"/>
            </w:rPr>
            <w:tab/>
            <w:t xml:space="preserve">J. M. </w:t>
          </w:r>
          <w:proofErr w:type="spellStart"/>
          <w:r>
            <w:rPr>
              <w:rFonts w:eastAsia="Times New Roman"/>
            </w:rPr>
            <w:t>Axten</w:t>
          </w:r>
          <w:proofErr w:type="spellEnd"/>
          <w:r>
            <w:rPr>
              <w:rFonts w:eastAsia="Times New Roman"/>
            </w:rPr>
            <w:t xml:space="preserve"> </w:t>
          </w:r>
          <w:r>
            <w:rPr>
              <w:rFonts w:eastAsia="Times New Roman"/>
              <w:i/>
              <w:iCs/>
            </w:rPr>
            <w:t>et al.</w:t>
          </w:r>
          <w:r>
            <w:rPr>
              <w:rFonts w:eastAsia="Times New Roman"/>
            </w:rPr>
            <w:t xml:space="preserve">, “Discovery of 7-methyl-5-(1-{[3-(trifluoromethyl)phenyl]acetyl}-2,3-dihydro-1H-indol-5-yl)-7H-p </w:t>
          </w:r>
          <w:proofErr w:type="spellStart"/>
          <w:r>
            <w:rPr>
              <w:rFonts w:eastAsia="Times New Roman"/>
            </w:rPr>
            <w:t>yrrolo</w:t>
          </w:r>
          <w:proofErr w:type="spellEnd"/>
          <w:r>
            <w:rPr>
              <w:rFonts w:eastAsia="Times New Roman"/>
            </w:rPr>
            <w:t xml:space="preserve">[2,3-d]pyrimidin-4-amine (GSK2606414), a potent and selective first-in-class inhibitor of protein kinase R (PKR)-like endoplasmic reticulum kinase (PERK),” </w:t>
          </w:r>
          <w:r>
            <w:rPr>
              <w:rFonts w:eastAsia="Times New Roman"/>
              <w:i/>
              <w:iCs/>
            </w:rPr>
            <w:t>J Med Chem</w:t>
          </w:r>
          <w:r>
            <w:rPr>
              <w:rFonts w:eastAsia="Times New Roman"/>
            </w:rPr>
            <w:t xml:space="preserve">, vol. 55, no. 16, pp. 7193–7207, 2012, </w:t>
          </w:r>
          <w:proofErr w:type="spellStart"/>
          <w:r>
            <w:rPr>
              <w:rFonts w:eastAsia="Times New Roman"/>
            </w:rPr>
            <w:t>doi</w:t>
          </w:r>
          <w:proofErr w:type="spellEnd"/>
          <w:r>
            <w:rPr>
              <w:rFonts w:eastAsia="Times New Roman"/>
            </w:rPr>
            <w:t>: 10.1021/jm300713s.</w:t>
          </w:r>
        </w:p>
        <w:p w14:paraId="4D124BB2" w14:textId="77777777" w:rsidR="009A5F6C" w:rsidRDefault="009A5F6C">
          <w:pPr>
            <w:autoSpaceDE w:val="0"/>
            <w:autoSpaceDN w:val="0"/>
            <w:ind w:hanging="640"/>
            <w:divId w:val="1573464404"/>
            <w:rPr>
              <w:rFonts w:eastAsia="Times New Roman"/>
            </w:rPr>
          </w:pPr>
          <w:r>
            <w:rPr>
              <w:rFonts w:eastAsia="Times New Roman"/>
            </w:rPr>
            <w:t>[8]</w:t>
          </w:r>
          <w:r>
            <w:rPr>
              <w:rFonts w:eastAsia="Times New Roman"/>
            </w:rPr>
            <w:tab/>
            <w:t xml:space="preserve">A. Nakamura </w:t>
          </w:r>
          <w:r>
            <w:rPr>
              <w:rFonts w:eastAsia="Times New Roman"/>
              <w:i/>
              <w:iCs/>
            </w:rPr>
            <w:t>et al.</w:t>
          </w:r>
          <w:r>
            <w:rPr>
              <w:rFonts w:eastAsia="Times New Roman"/>
            </w:rPr>
            <w:t xml:space="preserve">, “Inhibition of GCN2 sensitizes ASNS-low cancer cells to asparaginase by disrupting the amino acid response,” </w:t>
          </w:r>
          <w:r>
            <w:rPr>
              <w:rFonts w:eastAsia="Times New Roman"/>
              <w:i/>
              <w:iCs/>
            </w:rPr>
            <w:t xml:space="preserve">Proc Natl </w:t>
          </w:r>
          <w:proofErr w:type="spellStart"/>
          <w:r>
            <w:rPr>
              <w:rFonts w:eastAsia="Times New Roman"/>
              <w:i/>
              <w:iCs/>
            </w:rPr>
            <w:t>Acad</w:t>
          </w:r>
          <w:proofErr w:type="spellEnd"/>
          <w:r>
            <w:rPr>
              <w:rFonts w:eastAsia="Times New Roman"/>
              <w:i/>
              <w:iCs/>
            </w:rPr>
            <w:t xml:space="preserve"> Sci U S A</w:t>
          </w:r>
          <w:r>
            <w:rPr>
              <w:rFonts w:eastAsia="Times New Roman"/>
            </w:rPr>
            <w:t xml:space="preserve">, vol. 115, no. 33, pp. E7776–E7785, 2018, </w:t>
          </w:r>
          <w:proofErr w:type="spellStart"/>
          <w:r>
            <w:rPr>
              <w:rFonts w:eastAsia="Times New Roman"/>
            </w:rPr>
            <w:t>doi</w:t>
          </w:r>
          <w:proofErr w:type="spellEnd"/>
          <w:r>
            <w:rPr>
              <w:rFonts w:eastAsia="Times New Roman"/>
            </w:rPr>
            <w:t>: 10.1073/pnas.1805523115.</w:t>
          </w:r>
        </w:p>
        <w:p w14:paraId="51EED5B0" w14:textId="77777777" w:rsidR="009A5F6C" w:rsidRDefault="009A5F6C">
          <w:pPr>
            <w:autoSpaceDE w:val="0"/>
            <w:autoSpaceDN w:val="0"/>
            <w:ind w:hanging="640"/>
            <w:divId w:val="233509940"/>
            <w:rPr>
              <w:rFonts w:eastAsia="Times New Roman"/>
            </w:rPr>
          </w:pPr>
          <w:r>
            <w:rPr>
              <w:rFonts w:eastAsia="Times New Roman"/>
            </w:rPr>
            <w:t>[9]</w:t>
          </w:r>
          <w:r>
            <w:rPr>
              <w:rFonts w:eastAsia="Times New Roman"/>
            </w:rPr>
            <w:tab/>
            <w:t xml:space="preserve">E. L. Spaulding </w:t>
          </w:r>
          <w:r>
            <w:rPr>
              <w:rFonts w:eastAsia="Times New Roman"/>
              <w:i/>
              <w:iCs/>
            </w:rPr>
            <w:t>et al.</w:t>
          </w:r>
          <w:r>
            <w:rPr>
              <w:rFonts w:eastAsia="Times New Roman"/>
            </w:rPr>
            <w:t xml:space="preserve">, “The integrated stress response contributes to tRNA synthetase-associated  peripheral neuropathy.,” </w:t>
          </w:r>
          <w:r>
            <w:rPr>
              <w:rFonts w:eastAsia="Times New Roman"/>
              <w:i/>
              <w:iCs/>
            </w:rPr>
            <w:t>Science</w:t>
          </w:r>
          <w:r>
            <w:rPr>
              <w:rFonts w:eastAsia="Times New Roman"/>
            </w:rPr>
            <w:t xml:space="preserve">, vol. 373, no. 6559, pp. 1156–1161, Sep. 2021, </w:t>
          </w:r>
          <w:proofErr w:type="spellStart"/>
          <w:r>
            <w:rPr>
              <w:rFonts w:eastAsia="Times New Roman"/>
            </w:rPr>
            <w:t>doi</w:t>
          </w:r>
          <w:proofErr w:type="spellEnd"/>
          <w:r>
            <w:rPr>
              <w:rFonts w:eastAsia="Times New Roman"/>
            </w:rPr>
            <w:t>: 10.1126/science.abb3414.</w:t>
          </w:r>
        </w:p>
        <w:p w14:paraId="40964809" w14:textId="52889B9A" w:rsidR="009A5F6C" w:rsidRPr="009A5F6C" w:rsidRDefault="009A5F6C" w:rsidP="009A5F6C">
          <w:r>
            <w:rPr>
              <w:rFonts w:eastAsia="Times New Roman"/>
            </w:rPr>
            <w:t> </w:t>
          </w:r>
        </w:p>
      </w:sdtContent>
    </w:sdt>
    <w:p w14:paraId="56D142AE" w14:textId="34F803AC" w:rsidR="007E19D4" w:rsidRDefault="007E19D4"/>
    <w:p w14:paraId="29B1BDFE" w14:textId="22D29151" w:rsidR="007E19D4" w:rsidRDefault="007E19D4"/>
    <w:p w14:paraId="031D9451" w14:textId="20CF8A45" w:rsidR="007E19D4" w:rsidRDefault="007E19D4"/>
    <w:p w14:paraId="54F83E4D" w14:textId="77777777" w:rsidR="007E19D4" w:rsidRDefault="007E19D4"/>
    <w:sectPr w:rsidR="007E19D4" w:rsidSect="00DC7845">
      <w:footerReference w:type="default" r:id="rId17"/>
      <w:pgSz w:w="11906" w:h="16838"/>
      <w:pgMar w:top="127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1901A1" w14:textId="77777777" w:rsidR="008C39C8" w:rsidRDefault="008C39C8">
      <w:pPr>
        <w:spacing w:after="0" w:line="240" w:lineRule="auto"/>
      </w:pPr>
      <w:r>
        <w:separator/>
      </w:r>
    </w:p>
  </w:endnote>
  <w:endnote w:type="continuationSeparator" w:id="0">
    <w:p w14:paraId="10E6447C" w14:textId="77777777" w:rsidR="008C39C8" w:rsidRDefault="008C39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9112781"/>
      <w:docPartObj>
        <w:docPartGallery w:val="Page Numbers (Bottom of Page)"/>
        <w:docPartUnique/>
      </w:docPartObj>
    </w:sdtPr>
    <w:sdtEndPr/>
    <w:sdtContent>
      <w:p w14:paraId="2E451368" w14:textId="77777777" w:rsidR="00B05303" w:rsidRDefault="00B05303">
        <w:pPr>
          <w:pStyle w:val="Footer"/>
          <w:jc w:val="center"/>
        </w:pPr>
        <w:r>
          <w:fldChar w:fldCharType="begin"/>
        </w:r>
        <w:r>
          <w:instrText>PAGE   \* MERGEFORMAT</w:instrText>
        </w:r>
        <w:r>
          <w:fldChar w:fldCharType="separate"/>
        </w:r>
        <w:r>
          <w:rPr>
            <w:lang w:val="es-ES"/>
          </w:rPr>
          <w:t>2</w:t>
        </w:r>
        <w:r>
          <w:fldChar w:fldCharType="end"/>
        </w:r>
      </w:p>
    </w:sdtContent>
  </w:sdt>
  <w:p w14:paraId="2B063654" w14:textId="77777777" w:rsidR="00B05303" w:rsidRDefault="00B053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8B168" w14:textId="77777777" w:rsidR="008C39C8" w:rsidRDefault="008C39C8">
      <w:pPr>
        <w:spacing w:after="0" w:line="240" w:lineRule="auto"/>
      </w:pPr>
      <w:r>
        <w:separator/>
      </w:r>
    </w:p>
  </w:footnote>
  <w:footnote w:type="continuationSeparator" w:id="0">
    <w:p w14:paraId="5CFA3B31" w14:textId="77777777" w:rsidR="008C39C8" w:rsidRDefault="008C39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D066B"/>
    <w:multiLevelType w:val="hybridMultilevel"/>
    <w:tmpl w:val="D28004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1E35358"/>
    <w:multiLevelType w:val="hybridMultilevel"/>
    <w:tmpl w:val="244A8D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4E0F49A3"/>
    <w:multiLevelType w:val="hybridMultilevel"/>
    <w:tmpl w:val="8E92ECFC"/>
    <w:lvl w:ilvl="0" w:tplc="DA9AD63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4FAD6E77"/>
    <w:multiLevelType w:val="hybridMultilevel"/>
    <w:tmpl w:val="360CE3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5ABD56AF"/>
    <w:multiLevelType w:val="hybridMultilevel"/>
    <w:tmpl w:val="A066D1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3224E45"/>
    <w:multiLevelType w:val="hybridMultilevel"/>
    <w:tmpl w:val="3EFE1CB4"/>
    <w:lvl w:ilvl="0" w:tplc="4B021A4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672C5478"/>
    <w:multiLevelType w:val="hybridMultilevel"/>
    <w:tmpl w:val="8D8254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E1E342C"/>
    <w:multiLevelType w:val="hybridMultilevel"/>
    <w:tmpl w:val="5DC60BB4"/>
    <w:lvl w:ilvl="0" w:tplc="0C0A000F">
      <w:start w:val="1"/>
      <w:numFmt w:val="decimal"/>
      <w:lvlText w:val="%1."/>
      <w:lvlJc w:val="left"/>
      <w:pPr>
        <w:ind w:left="780" w:hanging="360"/>
      </w:p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num w:numId="1">
    <w:abstractNumId w:val="0"/>
  </w:num>
  <w:num w:numId="2">
    <w:abstractNumId w:val="2"/>
  </w:num>
  <w:num w:numId="3">
    <w:abstractNumId w:val="5"/>
  </w:num>
  <w:num w:numId="4">
    <w:abstractNumId w:val="6"/>
  </w:num>
  <w:num w:numId="5">
    <w:abstractNumId w:val="1"/>
  </w:num>
  <w:num w:numId="6">
    <w:abstractNumId w:val="4"/>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1C0"/>
    <w:rsid w:val="00045658"/>
    <w:rsid w:val="00047B02"/>
    <w:rsid w:val="000D34CD"/>
    <w:rsid w:val="001F780F"/>
    <w:rsid w:val="0021432D"/>
    <w:rsid w:val="002346F9"/>
    <w:rsid w:val="0024098F"/>
    <w:rsid w:val="00245A80"/>
    <w:rsid w:val="002829B0"/>
    <w:rsid w:val="002D7C57"/>
    <w:rsid w:val="003355B0"/>
    <w:rsid w:val="00395E99"/>
    <w:rsid w:val="003D4EA9"/>
    <w:rsid w:val="00400D50"/>
    <w:rsid w:val="004645E8"/>
    <w:rsid w:val="004E01ED"/>
    <w:rsid w:val="005D47DC"/>
    <w:rsid w:val="006C7387"/>
    <w:rsid w:val="006D7B53"/>
    <w:rsid w:val="0076423F"/>
    <w:rsid w:val="00780372"/>
    <w:rsid w:val="007E19D4"/>
    <w:rsid w:val="00835077"/>
    <w:rsid w:val="008C39C8"/>
    <w:rsid w:val="008D038C"/>
    <w:rsid w:val="0091053E"/>
    <w:rsid w:val="009261C0"/>
    <w:rsid w:val="00942B14"/>
    <w:rsid w:val="00944DB7"/>
    <w:rsid w:val="009A5F6C"/>
    <w:rsid w:val="00A86E53"/>
    <w:rsid w:val="00B05303"/>
    <w:rsid w:val="00BD782B"/>
    <w:rsid w:val="00BF07F2"/>
    <w:rsid w:val="00BF18FD"/>
    <w:rsid w:val="00C16355"/>
    <w:rsid w:val="00CE19AF"/>
    <w:rsid w:val="00D20477"/>
    <w:rsid w:val="00D323C8"/>
    <w:rsid w:val="00D73F09"/>
    <w:rsid w:val="00DC7845"/>
    <w:rsid w:val="00E00C8B"/>
    <w:rsid w:val="00E83A5E"/>
    <w:rsid w:val="00EC6097"/>
    <w:rsid w:val="00EF46E3"/>
    <w:rsid w:val="00F07375"/>
    <w:rsid w:val="00FA6F94"/>
    <w:rsid w:val="00FD31A2"/>
    <w:rsid w:val="00FE08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3DBD3"/>
  <w15:chartTrackingRefBased/>
  <w15:docId w15:val="{3A81D5AE-62D7-4987-B4CD-AD9AA821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32D"/>
    <w:rPr>
      <w:lang w:val="en-US"/>
    </w:rPr>
  </w:style>
  <w:style w:type="paragraph" w:styleId="Heading1">
    <w:name w:val="heading 1"/>
    <w:basedOn w:val="Normal"/>
    <w:next w:val="Normal"/>
    <w:link w:val="Heading1Char"/>
    <w:uiPriority w:val="9"/>
    <w:qFormat/>
    <w:rsid w:val="009261C0"/>
    <w:pPr>
      <w:keepNext/>
      <w:keepLines/>
      <w:spacing w:before="240" w:after="0"/>
      <w:outlineLvl w:val="0"/>
    </w:pPr>
    <w:rPr>
      <w:rFonts w:asciiTheme="majorHAnsi" w:eastAsiaTheme="majorEastAsia" w:hAnsiTheme="majorHAnsi"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9261C0"/>
    <w:pPr>
      <w:keepNext/>
      <w:keepLines/>
      <w:spacing w:before="40" w:after="0"/>
      <w:outlineLvl w:val="1"/>
    </w:pPr>
    <w:rPr>
      <w:rFonts w:asciiTheme="majorHAnsi" w:eastAsiaTheme="majorEastAsia" w:hAnsiTheme="majorHAnsi"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9261C0"/>
    <w:pPr>
      <w:keepNext/>
      <w:keepLines/>
      <w:spacing w:before="40" w:after="0"/>
      <w:outlineLvl w:val="2"/>
    </w:pPr>
    <w:rPr>
      <w:rFonts w:asciiTheme="majorHAnsi" w:eastAsiaTheme="majorEastAsia" w:hAnsiTheme="majorHAnsi" w:cstheme="majorBidi"/>
      <w:b/>
      <w:color w:val="1F3763" w:themeColor="accent1" w:themeShade="7F"/>
      <w:sz w:val="24"/>
      <w:szCs w:val="24"/>
    </w:rPr>
  </w:style>
  <w:style w:type="paragraph" w:styleId="Heading4">
    <w:name w:val="heading 4"/>
    <w:basedOn w:val="Normal"/>
    <w:next w:val="Normal"/>
    <w:link w:val="Heading4Char"/>
    <w:uiPriority w:val="9"/>
    <w:unhideWhenUsed/>
    <w:qFormat/>
    <w:rsid w:val="009261C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261C0"/>
    <w:pPr>
      <w:keepNext/>
      <w:keepLines/>
      <w:spacing w:before="80" w:after="40"/>
      <w:outlineLvl w:val="4"/>
    </w:pPr>
    <w:rPr>
      <w:rFonts w:eastAsiaTheme="majorEastAsia" w:cstheme="majorBidi"/>
      <w:color w:val="2F5496" w:themeColor="accent1" w:themeShade="BF"/>
      <w:kern w:val="2"/>
      <w:lang w:val="es-ES"/>
      <w14:ligatures w14:val="standardContextual"/>
    </w:rPr>
  </w:style>
  <w:style w:type="paragraph" w:styleId="Heading6">
    <w:name w:val="heading 6"/>
    <w:basedOn w:val="Normal"/>
    <w:next w:val="Normal"/>
    <w:link w:val="Heading6Char"/>
    <w:uiPriority w:val="9"/>
    <w:semiHidden/>
    <w:unhideWhenUsed/>
    <w:qFormat/>
    <w:rsid w:val="009261C0"/>
    <w:pPr>
      <w:keepNext/>
      <w:keepLines/>
      <w:spacing w:before="40" w:after="0"/>
      <w:outlineLvl w:val="5"/>
    </w:pPr>
    <w:rPr>
      <w:rFonts w:eastAsiaTheme="majorEastAsia" w:cstheme="majorBidi"/>
      <w:i/>
      <w:iCs/>
      <w:color w:val="595959" w:themeColor="text1" w:themeTint="A6"/>
      <w:kern w:val="2"/>
      <w:lang w:val="es-ES"/>
      <w14:ligatures w14:val="standardContextual"/>
    </w:rPr>
  </w:style>
  <w:style w:type="paragraph" w:styleId="Heading7">
    <w:name w:val="heading 7"/>
    <w:basedOn w:val="Normal"/>
    <w:next w:val="Normal"/>
    <w:link w:val="Heading7Char"/>
    <w:uiPriority w:val="9"/>
    <w:semiHidden/>
    <w:unhideWhenUsed/>
    <w:qFormat/>
    <w:rsid w:val="009261C0"/>
    <w:pPr>
      <w:keepNext/>
      <w:keepLines/>
      <w:spacing w:before="40" w:after="0"/>
      <w:outlineLvl w:val="6"/>
    </w:pPr>
    <w:rPr>
      <w:rFonts w:eastAsiaTheme="majorEastAsia" w:cstheme="majorBidi"/>
      <w:color w:val="595959" w:themeColor="text1" w:themeTint="A6"/>
      <w:kern w:val="2"/>
      <w:lang w:val="es-ES"/>
      <w14:ligatures w14:val="standardContextual"/>
    </w:rPr>
  </w:style>
  <w:style w:type="paragraph" w:styleId="Heading8">
    <w:name w:val="heading 8"/>
    <w:basedOn w:val="Normal"/>
    <w:next w:val="Normal"/>
    <w:link w:val="Heading8Char"/>
    <w:uiPriority w:val="9"/>
    <w:semiHidden/>
    <w:unhideWhenUsed/>
    <w:qFormat/>
    <w:rsid w:val="009261C0"/>
    <w:pPr>
      <w:keepNext/>
      <w:keepLines/>
      <w:spacing w:after="0"/>
      <w:outlineLvl w:val="7"/>
    </w:pPr>
    <w:rPr>
      <w:rFonts w:eastAsiaTheme="majorEastAsia" w:cstheme="majorBidi"/>
      <w:i/>
      <w:iCs/>
      <w:color w:val="272727" w:themeColor="text1" w:themeTint="D8"/>
      <w:kern w:val="2"/>
      <w:lang w:val="es-ES"/>
      <w14:ligatures w14:val="standardContextual"/>
    </w:rPr>
  </w:style>
  <w:style w:type="paragraph" w:styleId="Heading9">
    <w:name w:val="heading 9"/>
    <w:basedOn w:val="Normal"/>
    <w:next w:val="Normal"/>
    <w:link w:val="Heading9Char"/>
    <w:uiPriority w:val="9"/>
    <w:semiHidden/>
    <w:unhideWhenUsed/>
    <w:qFormat/>
    <w:rsid w:val="009261C0"/>
    <w:pPr>
      <w:keepNext/>
      <w:keepLines/>
      <w:spacing w:after="0"/>
      <w:outlineLvl w:val="8"/>
    </w:pPr>
    <w:rPr>
      <w:rFonts w:eastAsiaTheme="majorEastAsia" w:cstheme="majorBidi"/>
      <w:color w:val="272727" w:themeColor="text1" w:themeTint="D8"/>
      <w:kern w:val="2"/>
      <w:lang w:val="es-E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1C0"/>
    <w:rPr>
      <w:rFonts w:asciiTheme="majorHAnsi" w:eastAsiaTheme="majorEastAsia" w:hAnsiTheme="majorHAnsi" w:cstheme="majorBidi"/>
      <w:b/>
      <w:color w:val="2F5496" w:themeColor="accent1" w:themeShade="BF"/>
      <w:sz w:val="32"/>
      <w:szCs w:val="32"/>
      <w:lang w:val="en-US"/>
    </w:rPr>
  </w:style>
  <w:style w:type="character" w:customStyle="1" w:styleId="Heading2Char">
    <w:name w:val="Heading 2 Char"/>
    <w:basedOn w:val="DefaultParagraphFont"/>
    <w:link w:val="Heading2"/>
    <w:uiPriority w:val="9"/>
    <w:rsid w:val="009261C0"/>
    <w:rPr>
      <w:rFonts w:asciiTheme="majorHAnsi" w:eastAsiaTheme="majorEastAsia" w:hAnsiTheme="majorHAnsi" w:cstheme="majorBidi"/>
      <w:b/>
      <w:color w:val="2F5496" w:themeColor="accent1" w:themeShade="BF"/>
      <w:sz w:val="26"/>
      <w:szCs w:val="26"/>
      <w:lang w:val="en-US"/>
    </w:rPr>
  </w:style>
  <w:style w:type="character" w:customStyle="1" w:styleId="Heading3Char">
    <w:name w:val="Heading 3 Char"/>
    <w:basedOn w:val="DefaultParagraphFont"/>
    <w:link w:val="Heading3"/>
    <w:uiPriority w:val="9"/>
    <w:rsid w:val="009261C0"/>
    <w:rPr>
      <w:rFonts w:asciiTheme="majorHAnsi" w:eastAsiaTheme="majorEastAsia" w:hAnsiTheme="majorHAnsi" w:cstheme="majorBidi"/>
      <w:b/>
      <w:color w:val="1F3763" w:themeColor="accent1" w:themeShade="7F"/>
      <w:sz w:val="24"/>
      <w:szCs w:val="24"/>
      <w:lang w:val="en-US"/>
    </w:rPr>
  </w:style>
  <w:style w:type="character" w:customStyle="1" w:styleId="Heading4Char">
    <w:name w:val="Heading 4 Char"/>
    <w:basedOn w:val="DefaultParagraphFont"/>
    <w:link w:val="Heading4"/>
    <w:uiPriority w:val="9"/>
    <w:rsid w:val="009261C0"/>
    <w:rPr>
      <w:rFonts w:asciiTheme="majorHAnsi" w:eastAsiaTheme="majorEastAsia" w:hAnsiTheme="majorHAnsi"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9261C0"/>
    <w:rPr>
      <w:rFonts w:eastAsiaTheme="majorEastAsia" w:cstheme="majorBidi"/>
      <w:color w:val="2F5496" w:themeColor="accent1" w:themeShade="BF"/>
      <w:kern w:val="2"/>
      <w14:ligatures w14:val="standardContextual"/>
    </w:rPr>
  </w:style>
  <w:style w:type="character" w:customStyle="1" w:styleId="Heading6Char">
    <w:name w:val="Heading 6 Char"/>
    <w:basedOn w:val="DefaultParagraphFont"/>
    <w:link w:val="Heading6"/>
    <w:uiPriority w:val="9"/>
    <w:semiHidden/>
    <w:rsid w:val="009261C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9261C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9261C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9261C0"/>
    <w:rPr>
      <w:rFonts w:eastAsiaTheme="majorEastAsia" w:cstheme="majorBidi"/>
      <w:color w:val="272727" w:themeColor="text1" w:themeTint="D8"/>
      <w:kern w:val="2"/>
      <w14:ligatures w14:val="standardContextual"/>
    </w:rPr>
  </w:style>
  <w:style w:type="paragraph" w:styleId="ListParagraph">
    <w:name w:val="List Paragraph"/>
    <w:basedOn w:val="Normal"/>
    <w:uiPriority w:val="34"/>
    <w:qFormat/>
    <w:rsid w:val="009261C0"/>
    <w:pPr>
      <w:ind w:left="720"/>
      <w:contextualSpacing/>
    </w:pPr>
  </w:style>
  <w:style w:type="character" w:styleId="Emphasis">
    <w:name w:val="Emphasis"/>
    <w:basedOn w:val="DefaultParagraphFont"/>
    <w:uiPriority w:val="20"/>
    <w:qFormat/>
    <w:rsid w:val="009261C0"/>
    <w:rPr>
      <w:i/>
      <w:iCs/>
    </w:rPr>
  </w:style>
  <w:style w:type="paragraph" w:customStyle="1" w:styleId="Standard">
    <w:name w:val="Standard"/>
    <w:rsid w:val="009261C0"/>
    <w:pPr>
      <w:widowControl w:val="0"/>
      <w:suppressAutoHyphens/>
      <w:spacing w:after="0" w:line="240" w:lineRule="auto"/>
      <w:textAlignment w:val="baseline"/>
    </w:pPr>
    <w:rPr>
      <w:rFonts w:ascii="Times New Roman" w:eastAsia="SimSun" w:hAnsi="Times New Roman" w:cs="Times New Roman"/>
      <w:kern w:val="1"/>
      <w:sz w:val="24"/>
      <w:szCs w:val="24"/>
      <w:lang w:eastAsia="ar-SA"/>
    </w:rPr>
  </w:style>
  <w:style w:type="character" w:styleId="Hyperlink">
    <w:name w:val="Hyperlink"/>
    <w:basedOn w:val="DefaultParagraphFont"/>
    <w:uiPriority w:val="99"/>
    <w:unhideWhenUsed/>
    <w:rsid w:val="009261C0"/>
    <w:rPr>
      <w:color w:val="0563C1" w:themeColor="hyperlink"/>
      <w:u w:val="single"/>
    </w:rPr>
  </w:style>
  <w:style w:type="paragraph" w:styleId="Header">
    <w:name w:val="header"/>
    <w:basedOn w:val="Normal"/>
    <w:link w:val="HeaderChar"/>
    <w:uiPriority w:val="99"/>
    <w:unhideWhenUsed/>
    <w:rsid w:val="009261C0"/>
    <w:pPr>
      <w:tabs>
        <w:tab w:val="center" w:pos="4252"/>
        <w:tab w:val="right" w:pos="8504"/>
      </w:tabs>
      <w:spacing w:after="0" w:line="240" w:lineRule="auto"/>
    </w:pPr>
  </w:style>
  <w:style w:type="character" w:customStyle="1" w:styleId="HeaderChar">
    <w:name w:val="Header Char"/>
    <w:basedOn w:val="DefaultParagraphFont"/>
    <w:link w:val="Header"/>
    <w:uiPriority w:val="99"/>
    <w:rsid w:val="009261C0"/>
    <w:rPr>
      <w:lang w:val="en-US"/>
    </w:rPr>
  </w:style>
  <w:style w:type="paragraph" w:styleId="Footer">
    <w:name w:val="footer"/>
    <w:basedOn w:val="Normal"/>
    <w:link w:val="FooterChar"/>
    <w:uiPriority w:val="99"/>
    <w:unhideWhenUsed/>
    <w:rsid w:val="009261C0"/>
    <w:pPr>
      <w:tabs>
        <w:tab w:val="center" w:pos="4252"/>
        <w:tab w:val="right" w:pos="8504"/>
      </w:tabs>
      <w:spacing w:after="0" w:line="240" w:lineRule="auto"/>
    </w:pPr>
  </w:style>
  <w:style w:type="character" w:customStyle="1" w:styleId="FooterChar">
    <w:name w:val="Footer Char"/>
    <w:basedOn w:val="DefaultParagraphFont"/>
    <w:link w:val="Footer"/>
    <w:uiPriority w:val="99"/>
    <w:rsid w:val="009261C0"/>
    <w:rPr>
      <w:lang w:val="en-US"/>
    </w:rPr>
  </w:style>
  <w:style w:type="character" w:customStyle="1" w:styleId="CommentTextChar">
    <w:name w:val="Comment Text Char"/>
    <w:basedOn w:val="DefaultParagraphFont"/>
    <w:link w:val="CommentText"/>
    <w:uiPriority w:val="99"/>
    <w:semiHidden/>
    <w:rsid w:val="009261C0"/>
    <w:rPr>
      <w:sz w:val="20"/>
      <w:szCs w:val="20"/>
      <w:lang w:val="en-US"/>
    </w:rPr>
  </w:style>
  <w:style w:type="paragraph" w:styleId="CommentText">
    <w:name w:val="annotation text"/>
    <w:basedOn w:val="Normal"/>
    <w:link w:val="CommentTextChar"/>
    <w:uiPriority w:val="99"/>
    <w:semiHidden/>
    <w:unhideWhenUsed/>
    <w:rsid w:val="009261C0"/>
    <w:pPr>
      <w:spacing w:line="240" w:lineRule="auto"/>
    </w:pPr>
    <w:rPr>
      <w:sz w:val="20"/>
      <w:szCs w:val="20"/>
    </w:rPr>
  </w:style>
  <w:style w:type="character" w:customStyle="1" w:styleId="CommentSubjectChar">
    <w:name w:val="Comment Subject Char"/>
    <w:basedOn w:val="CommentTextChar"/>
    <w:link w:val="CommentSubject"/>
    <w:uiPriority w:val="99"/>
    <w:semiHidden/>
    <w:rsid w:val="009261C0"/>
    <w:rPr>
      <w:b/>
      <w:bCs/>
      <w:sz w:val="20"/>
      <w:szCs w:val="20"/>
      <w:lang w:val="en-US"/>
    </w:rPr>
  </w:style>
  <w:style w:type="paragraph" w:styleId="CommentSubject">
    <w:name w:val="annotation subject"/>
    <w:basedOn w:val="CommentText"/>
    <w:next w:val="CommentText"/>
    <w:link w:val="CommentSubjectChar"/>
    <w:uiPriority w:val="99"/>
    <w:semiHidden/>
    <w:unhideWhenUsed/>
    <w:rsid w:val="009261C0"/>
    <w:rPr>
      <w:b/>
      <w:bCs/>
    </w:rPr>
  </w:style>
  <w:style w:type="character" w:customStyle="1" w:styleId="BalloonTextChar">
    <w:name w:val="Balloon Text Char"/>
    <w:basedOn w:val="DefaultParagraphFont"/>
    <w:link w:val="BalloonText"/>
    <w:uiPriority w:val="99"/>
    <w:semiHidden/>
    <w:rsid w:val="009261C0"/>
    <w:rPr>
      <w:rFonts w:ascii="Segoe UI" w:hAnsi="Segoe UI" w:cs="Segoe UI"/>
      <w:sz w:val="18"/>
      <w:szCs w:val="18"/>
      <w:lang w:val="en-US"/>
    </w:rPr>
  </w:style>
  <w:style w:type="paragraph" w:styleId="BalloonText">
    <w:name w:val="Balloon Text"/>
    <w:basedOn w:val="Normal"/>
    <w:link w:val="BalloonTextChar"/>
    <w:uiPriority w:val="99"/>
    <w:semiHidden/>
    <w:unhideWhenUsed/>
    <w:rsid w:val="009261C0"/>
    <w:pPr>
      <w:spacing w:after="0" w:line="240" w:lineRule="auto"/>
    </w:pPr>
    <w:rPr>
      <w:rFonts w:ascii="Segoe UI" w:hAnsi="Segoe UI" w:cs="Segoe UI"/>
      <w:sz w:val="18"/>
      <w:szCs w:val="18"/>
    </w:rPr>
  </w:style>
  <w:style w:type="paragraph" w:styleId="Title">
    <w:name w:val="Title"/>
    <w:basedOn w:val="Normal"/>
    <w:next w:val="Normal"/>
    <w:link w:val="TitleChar"/>
    <w:uiPriority w:val="10"/>
    <w:qFormat/>
    <w:rsid w:val="009261C0"/>
    <w:pPr>
      <w:spacing w:after="80" w:line="240" w:lineRule="auto"/>
      <w:contextualSpacing/>
    </w:pPr>
    <w:rPr>
      <w:rFonts w:asciiTheme="majorHAnsi" w:eastAsiaTheme="majorEastAsia" w:hAnsiTheme="majorHAnsi" w:cstheme="majorBidi"/>
      <w:spacing w:val="-10"/>
      <w:kern w:val="28"/>
      <w:sz w:val="56"/>
      <w:szCs w:val="56"/>
      <w:lang w:val="es-ES"/>
      <w14:ligatures w14:val="standardContextual"/>
    </w:rPr>
  </w:style>
  <w:style w:type="character" w:customStyle="1" w:styleId="TitleChar">
    <w:name w:val="Title Char"/>
    <w:basedOn w:val="DefaultParagraphFont"/>
    <w:link w:val="Title"/>
    <w:uiPriority w:val="10"/>
    <w:rsid w:val="009261C0"/>
    <w:rPr>
      <w:rFonts w:asciiTheme="majorHAnsi" w:eastAsiaTheme="majorEastAsia" w:hAnsiTheme="majorHAnsi" w:cstheme="majorBidi"/>
      <w:spacing w:val="-10"/>
      <w:kern w:val="28"/>
      <w:sz w:val="56"/>
      <w:szCs w:val="56"/>
      <w14:ligatures w14:val="standardContextual"/>
    </w:rPr>
  </w:style>
  <w:style w:type="paragraph" w:styleId="Subtitle">
    <w:name w:val="Subtitle"/>
    <w:basedOn w:val="Normal"/>
    <w:next w:val="Normal"/>
    <w:link w:val="SubtitleChar"/>
    <w:uiPriority w:val="11"/>
    <w:qFormat/>
    <w:rsid w:val="009261C0"/>
    <w:pPr>
      <w:numPr>
        <w:ilvl w:val="1"/>
      </w:numPr>
    </w:pPr>
    <w:rPr>
      <w:rFonts w:eastAsiaTheme="majorEastAsia" w:cstheme="majorBidi"/>
      <w:color w:val="595959" w:themeColor="text1" w:themeTint="A6"/>
      <w:spacing w:val="15"/>
      <w:kern w:val="2"/>
      <w:sz w:val="28"/>
      <w:szCs w:val="28"/>
      <w:lang w:val="es-ES"/>
      <w14:ligatures w14:val="standardContextual"/>
    </w:rPr>
  </w:style>
  <w:style w:type="character" w:customStyle="1" w:styleId="SubtitleChar">
    <w:name w:val="Subtitle Char"/>
    <w:basedOn w:val="DefaultParagraphFont"/>
    <w:link w:val="Subtitle"/>
    <w:uiPriority w:val="11"/>
    <w:rsid w:val="009261C0"/>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9261C0"/>
    <w:pPr>
      <w:spacing w:before="160"/>
      <w:jc w:val="center"/>
    </w:pPr>
    <w:rPr>
      <w:i/>
      <w:iCs/>
      <w:color w:val="404040" w:themeColor="text1" w:themeTint="BF"/>
      <w:kern w:val="2"/>
      <w:lang w:val="es-ES"/>
      <w14:ligatures w14:val="standardContextual"/>
    </w:rPr>
  </w:style>
  <w:style w:type="character" w:customStyle="1" w:styleId="QuoteChar">
    <w:name w:val="Quote Char"/>
    <w:basedOn w:val="DefaultParagraphFont"/>
    <w:link w:val="Quote"/>
    <w:uiPriority w:val="29"/>
    <w:rsid w:val="009261C0"/>
    <w:rPr>
      <w:i/>
      <w:iCs/>
      <w:color w:val="404040" w:themeColor="text1" w:themeTint="BF"/>
      <w:kern w:val="2"/>
      <w14:ligatures w14:val="standardContextual"/>
    </w:rPr>
  </w:style>
  <w:style w:type="character" w:styleId="IntenseEmphasis">
    <w:name w:val="Intense Emphasis"/>
    <w:basedOn w:val="DefaultParagraphFont"/>
    <w:uiPriority w:val="21"/>
    <w:qFormat/>
    <w:rsid w:val="009261C0"/>
    <w:rPr>
      <w:i/>
      <w:iCs/>
      <w:color w:val="2F5496" w:themeColor="accent1" w:themeShade="BF"/>
    </w:rPr>
  </w:style>
  <w:style w:type="paragraph" w:styleId="IntenseQuote">
    <w:name w:val="Intense Quote"/>
    <w:basedOn w:val="Normal"/>
    <w:next w:val="Normal"/>
    <w:link w:val="IntenseQuoteChar"/>
    <w:uiPriority w:val="30"/>
    <w:qFormat/>
    <w:rsid w:val="009261C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lang w:val="es-ES"/>
      <w14:ligatures w14:val="standardContextual"/>
    </w:rPr>
  </w:style>
  <w:style w:type="character" w:customStyle="1" w:styleId="IntenseQuoteChar">
    <w:name w:val="Intense Quote Char"/>
    <w:basedOn w:val="DefaultParagraphFont"/>
    <w:link w:val="IntenseQuote"/>
    <w:uiPriority w:val="30"/>
    <w:rsid w:val="009261C0"/>
    <w:rPr>
      <w:i/>
      <w:iCs/>
      <w:color w:val="2F5496" w:themeColor="accent1" w:themeShade="BF"/>
      <w:kern w:val="2"/>
      <w14:ligatures w14:val="standardContextual"/>
    </w:rPr>
  </w:style>
  <w:style w:type="character" w:styleId="IntenseReference">
    <w:name w:val="Intense Reference"/>
    <w:basedOn w:val="DefaultParagraphFont"/>
    <w:uiPriority w:val="32"/>
    <w:qFormat/>
    <w:rsid w:val="009261C0"/>
    <w:rPr>
      <w:b/>
      <w:bCs/>
      <w:smallCaps/>
      <w:color w:val="2F5496" w:themeColor="accent1" w:themeShade="BF"/>
      <w:spacing w:val="5"/>
    </w:rPr>
  </w:style>
  <w:style w:type="paragraph" w:customStyle="1" w:styleId="msonormal0">
    <w:name w:val="msonormal"/>
    <w:basedOn w:val="Normal"/>
    <w:rsid w:val="009261C0"/>
    <w:pPr>
      <w:spacing w:before="240" w:after="240" w:line="240" w:lineRule="auto"/>
    </w:pPr>
    <w:rPr>
      <w:rFonts w:ascii="Times New Roman" w:eastAsia="Times New Roman" w:hAnsi="Times New Roman" w:cs="Times New Roman"/>
      <w:sz w:val="24"/>
      <w:szCs w:val="24"/>
      <w:lang w:val="es-ES" w:eastAsia="es-ES"/>
    </w:rPr>
  </w:style>
  <w:style w:type="character" w:customStyle="1" w:styleId="in-toolbar">
    <w:name w:val="in-toolbar"/>
    <w:basedOn w:val="DefaultParagraphFont"/>
    <w:rsid w:val="009261C0"/>
  </w:style>
  <w:style w:type="character" w:customStyle="1" w:styleId="HTMLPreformattedChar">
    <w:name w:val="HTML Preformatted Char"/>
    <w:basedOn w:val="DefaultParagraphFont"/>
    <w:link w:val="HTMLPreformatted"/>
    <w:uiPriority w:val="99"/>
    <w:semiHidden/>
    <w:rsid w:val="009261C0"/>
    <w:rPr>
      <w:rFonts w:ascii="Courier New" w:eastAsia="Times New Roman" w:hAnsi="Courier New" w:cs="Courier New"/>
      <w:sz w:val="20"/>
      <w:szCs w:val="20"/>
      <w:lang w:eastAsia="es-ES"/>
    </w:rPr>
  </w:style>
  <w:style w:type="paragraph" w:styleId="HTMLPreformatted">
    <w:name w:val="HTML Preformatted"/>
    <w:basedOn w:val="Normal"/>
    <w:link w:val="HTMLPreformattedChar"/>
    <w:uiPriority w:val="99"/>
    <w:semiHidden/>
    <w:unhideWhenUsed/>
    <w:rsid w:val="009261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y2iqfc">
    <w:name w:val="y2iqfc"/>
    <w:basedOn w:val="DefaultParagraphFont"/>
    <w:rsid w:val="009261C0"/>
  </w:style>
  <w:style w:type="character" w:styleId="UnresolvedMention">
    <w:name w:val="Unresolved Mention"/>
    <w:basedOn w:val="DefaultParagraphFont"/>
    <w:uiPriority w:val="99"/>
    <w:semiHidden/>
    <w:unhideWhenUsed/>
    <w:rsid w:val="007E19D4"/>
    <w:rPr>
      <w:color w:val="605E5C"/>
      <w:shd w:val="clear" w:color="auto" w:fill="E1DFDD"/>
    </w:rPr>
  </w:style>
  <w:style w:type="table" w:styleId="GridTable5Dark-Accent3">
    <w:name w:val="Grid Table 5 Dark Accent 3"/>
    <w:basedOn w:val="TableNormal"/>
    <w:uiPriority w:val="50"/>
    <w:rsid w:val="007E19D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9A5F6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937271">
      <w:bodyDiv w:val="1"/>
      <w:marLeft w:val="0"/>
      <w:marRight w:val="0"/>
      <w:marTop w:val="0"/>
      <w:marBottom w:val="0"/>
      <w:divBdr>
        <w:top w:val="none" w:sz="0" w:space="0" w:color="auto"/>
        <w:left w:val="none" w:sz="0" w:space="0" w:color="auto"/>
        <w:bottom w:val="none" w:sz="0" w:space="0" w:color="auto"/>
        <w:right w:val="none" w:sz="0" w:space="0" w:color="auto"/>
      </w:divBdr>
      <w:divsChild>
        <w:div w:id="395057309">
          <w:marLeft w:val="640"/>
          <w:marRight w:val="0"/>
          <w:marTop w:val="0"/>
          <w:marBottom w:val="0"/>
          <w:divBdr>
            <w:top w:val="none" w:sz="0" w:space="0" w:color="auto"/>
            <w:left w:val="none" w:sz="0" w:space="0" w:color="auto"/>
            <w:bottom w:val="none" w:sz="0" w:space="0" w:color="auto"/>
            <w:right w:val="none" w:sz="0" w:space="0" w:color="auto"/>
          </w:divBdr>
        </w:div>
        <w:div w:id="1037700019">
          <w:marLeft w:val="640"/>
          <w:marRight w:val="0"/>
          <w:marTop w:val="0"/>
          <w:marBottom w:val="0"/>
          <w:divBdr>
            <w:top w:val="none" w:sz="0" w:space="0" w:color="auto"/>
            <w:left w:val="none" w:sz="0" w:space="0" w:color="auto"/>
            <w:bottom w:val="none" w:sz="0" w:space="0" w:color="auto"/>
            <w:right w:val="none" w:sz="0" w:space="0" w:color="auto"/>
          </w:divBdr>
        </w:div>
        <w:div w:id="1718550675">
          <w:marLeft w:val="640"/>
          <w:marRight w:val="0"/>
          <w:marTop w:val="0"/>
          <w:marBottom w:val="0"/>
          <w:divBdr>
            <w:top w:val="none" w:sz="0" w:space="0" w:color="auto"/>
            <w:left w:val="none" w:sz="0" w:space="0" w:color="auto"/>
            <w:bottom w:val="none" w:sz="0" w:space="0" w:color="auto"/>
            <w:right w:val="none" w:sz="0" w:space="0" w:color="auto"/>
          </w:divBdr>
        </w:div>
        <w:div w:id="505559574">
          <w:marLeft w:val="640"/>
          <w:marRight w:val="0"/>
          <w:marTop w:val="0"/>
          <w:marBottom w:val="0"/>
          <w:divBdr>
            <w:top w:val="none" w:sz="0" w:space="0" w:color="auto"/>
            <w:left w:val="none" w:sz="0" w:space="0" w:color="auto"/>
            <w:bottom w:val="none" w:sz="0" w:space="0" w:color="auto"/>
            <w:right w:val="none" w:sz="0" w:space="0" w:color="auto"/>
          </w:divBdr>
        </w:div>
        <w:div w:id="1768960575">
          <w:marLeft w:val="640"/>
          <w:marRight w:val="0"/>
          <w:marTop w:val="0"/>
          <w:marBottom w:val="0"/>
          <w:divBdr>
            <w:top w:val="none" w:sz="0" w:space="0" w:color="auto"/>
            <w:left w:val="none" w:sz="0" w:space="0" w:color="auto"/>
            <w:bottom w:val="none" w:sz="0" w:space="0" w:color="auto"/>
            <w:right w:val="none" w:sz="0" w:space="0" w:color="auto"/>
          </w:divBdr>
        </w:div>
        <w:div w:id="685642701">
          <w:marLeft w:val="640"/>
          <w:marRight w:val="0"/>
          <w:marTop w:val="0"/>
          <w:marBottom w:val="0"/>
          <w:divBdr>
            <w:top w:val="none" w:sz="0" w:space="0" w:color="auto"/>
            <w:left w:val="none" w:sz="0" w:space="0" w:color="auto"/>
            <w:bottom w:val="none" w:sz="0" w:space="0" w:color="auto"/>
            <w:right w:val="none" w:sz="0" w:space="0" w:color="auto"/>
          </w:divBdr>
        </w:div>
        <w:div w:id="537201630">
          <w:marLeft w:val="640"/>
          <w:marRight w:val="0"/>
          <w:marTop w:val="0"/>
          <w:marBottom w:val="0"/>
          <w:divBdr>
            <w:top w:val="none" w:sz="0" w:space="0" w:color="auto"/>
            <w:left w:val="none" w:sz="0" w:space="0" w:color="auto"/>
            <w:bottom w:val="none" w:sz="0" w:space="0" w:color="auto"/>
            <w:right w:val="none" w:sz="0" w:space="0" w:color="auto"/>
          </w:divBdr>
        </w:div>
        <w:div w:id="1573464404">
          <w:marLeft w:val="640"/>
          <w:marRight w:val="0"/>
          <w:marTop w:val="0"/>
          <w:marBottom w:val="0"/>
          <w:divBdr>
            <w:top w:val="none" w:sz="0" w:space="0" w:color="auto"/>
            <w:left w:val="none" w:sz="0" w:space="0" w:color="auto"/>
            <w:bottom w:val="none" w:sz="0" w:space="0" w:color="auto"/>
            <w:right w:val="none" w:sz="0" w:space="0" w:color="auto"/>
          </w:divBdr>
        </w:div>
        <w:div w:id="23350994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rasatei@unav.es"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taragon@unav.es" TargetMode="External"/><Relationship Id="rId14" Type="http://schemas.openxmlformats.org/officeDocument/2006/relationships/image" Target="media/image5.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68109C7266D48CE904B2C12C0318B48"/>
        <w:category>
          <w:name w:val="General"/>
          <w:gallery w:val="placeholder"/>
        </w:category>
        <w:types>
          <w:type w:val="bbPlcHdr"/>
        </w:types>
        <w:behaviors>
          <w:behavior w:val="content"/>
        </w:behaviors>
        <w:guid w:val="{7F19237D-B12D-4845-BF52-446C58A31705}"/>
      </w:docPartPr>
      <w:docPartBody>
        <w:p w:rsidR="00754216" w:rsidRDefault="00754216" w:rsidP="00754216">
          <w:pPr>
            <w:pStyle w:val="768109C7266D48CE904B2C12C0318B48"/>
          </w:pPr>
          <w:r w:rsidRPr="00A31A32">
            <w:rPr>
              <w:rStyle w:val="PlaceholderText"/>
            </w:rPr>
            <w:t>Haga clic o pulse aquí para escribir texto.</w:t>
          </w:r>
        </w:p>
      </w:docPartBody>
    </w:docPart>
    <w:docPart>
      <w:docPartPr>
        <w:name w:val="91C5DD49E736477C9C7A7074A6C847AE"/>
        <w:category>
          <w:name w:val="General"/>
          <w:gallery w:val="placeholder"/>
        </w:category>
        <w:types>
          <w:type w:val="bbPlcHdr"/>
        </w:types>
        <w:behaviors>
          <w:behavior w:val="content"/>
        </w:behaviors>
        <w:guid w:val="{9693C5BD-1C41-4187-8E51-7A2D160477DF}"/>
      </w:docPartPr>
      <w:docPartBody>
        <w:p w:rsidR="00754216" w:rsidRDefault="00754216" w:rsidP="00754216">
          <w:pPr>
            <w:pStyle w:val="91C5DD49E736477C9C7A7074A6C847AE"/>
          </w:pPr>
          <w:r w:rsidRPr="000A7502">
            <w:rPr>
              <w:rStyle w:val="PlaceholderText"/>
            </w:rPr>
            <w:t>Haga clic o pulse aquí para escribir texto.</w:t>
          </w:r>
        </w:p>
      </w:docPartBody>
    </w:docPart>
    <w:docPart>
      <w:docPartPr>
        <w:name w:val="5E5F07E493374238862B0856D94D89E1"/>
        <w:category>
          <w:name w:val="General"/>
          <w:gallery w:val="placeholder"/>
        </w:category>
        <w:types>
          <w:type w:val="bbPlcHdr"/>
        </w:types>
        <w:behaviors>
          <w:behavior w:val="content"/>
        </w:behaviors>
        <w:guid w:val="{37A93B35-2E78-4B24-A43D-E73EB87082E7}"/>
      </w:docPartPr>
      <w:docPartBody>
        <w:p w:rsidR="00754216" w:rsidRDefault="00754216" w:rsidP="00754216">
          <w:pPr>
            <w:pStyle w:val="5E5F07E493374238862B0856D94D89E1"/>
          </w:pPr>
          <w:r w:rsidRPr="00A31A32">
            <w:rPr>
              <w:rStyle w:val="PlaceholderText"/>
            </w:rPr>
            <w:t>Haga clic o pulse aquí para escribir texto.</w:t>
          </w:r>
        </w:p>
      </w:docPartBody>
    </w:docPart>
    <w:docPart>
      <w:docPartPr>
        <w:name w:val="DBD6502FC1644047AAE65E1996BED833"/>
        <w:category>
          <w:name w:val="General"/>
          <w:gallery w:val="placeholder"/>
        </w:category>
        <w:types>
          <w:type w:val="bbPlcHdr"/>
        </w:types>
        <w:behaviors>
          <w:behavior w:val="content"/>
        </w:behaviors>
        <w:guid w:val="{FDD968A9-5DE8-468C-8AB6-340D2C969D07}"/>
      </w:docPartPr>
      <w:docPartBody>
        <w:p w:rsidR="00754216" w:rsidRDefault="00754216" w:rsidP="00754216">
          <w:pPr>
            <w:pStyle w:val="DBD6502FC1644047AAE65E1996BED833"/>
          </w:pPr>
          <w:r w:rsidRPr="00A31A32">
            <w:rPr>
              <w:rStyle w:val="PlaceholderText"/>
            </w:rPr>
            <w:t>Haga clic o pulse aquí para escribir texto.</w:t>
          </w:r>
        </w:p>
      </w:docPartBody>
    </w:docPart>
    <w:docPart>
      <w:docPartPr>
        <w:name w:val="C634F6A31CF3435CBEFACD3CDA31AF3C"/>
        <w:category>
          <w:name w:val="General"/>
          <w:gallery w:val="placeholder"/>
        </w:category>
        <w:types>
          <w:type w:val="bbPlcHdr"/>
        </w:types>
        <w:behaviors>
          <w:behavior w:val="content"/>
        </w:behaviors>
        <w:guid w:val="{167E1BC4-8E25-4A50-A96C-68D6FDF331B3}"/>
      </w:docPartPr>
      <w:docPartBody>
        <w:p w:rsidR="00754216" w:rsidRDefault="00754216" w:rsidP="00754216">
          <w:pPr>
            <w:pStyle w:val="C634F6A31CF3435CBEFACD3CDA31AF3C"/>
          </w:pPr>
          <w:r w:rsidRPr="00A31A32">
            <w:rPr>
              <w:rStyle w:val="PlaceholderText"/>
            </w:rPr>
            <w:t>Haga clic o pulse aquí para escribir texto.</w:t>
          </w:r>
        </w:p>
      </w:docPartBody>
    </w:docPart>
    <w:docPart>
      <w:docPartPr>
        <w:name w:val="152D30B2F3414EBCB4E61FA7D9E15D4D"/>
        <w:category>
          <w:name w:val="General"/>
          <w:gallery w:val="placeholder"/>
        </w:category>
        <w:types>
          <w:type w:val="bbPlcHdr"/>
        </w:types>
        <w:behaviors>
          <w:behavior w:val="content"/>
        </w:behaviors>
        <w:guid w:val="{2E85D5FA-DF8B-4A17-8880-E9D64ED23FA0}"/>
      </w:docPartPr>
      <w:docPartBody>
        <w:p w:rsidR="00754216" w:rsidRDefault="00754216" w:rsidP="00754216">
          <w:pPr>
            <w:pStyle w:val="152D30B2F3414EBCB4E61FA7D9E15D4D"/>
          </w:pPr>
          <w:r w:rsidRPr="00A31A32">
            <w:rPr>
              <w:rStyle w:val="PlaceholderText"/>
            </w:rPr>
            <w:t>Haga clic o pulse aquí para escribir texto.</w:t>
          </w:r>
        </w:p>
      </w:docPartBody>
    </w:docPart>
    <w:docPart>
      <w:docPartPr>
        <w:name w:val="88859A411B8246289FE0D0F2A2A722F4"/>
        <w:category>
          <w:name w:val="General"/>
          <w:gallery w:val="placeholder"/>
        </w:category>
        <w:types>
          <w:type w:val="bbPlcHdr"/>
        </w:types>
        <w:behaviors>
          <w:behavior w:val="content"/>
        </w:behaviors>
        <w:guid w:val="{36F3DA22-CABF-4CE7-9177-47DC05D5B025}"/>
      </w:docPartPr>
      <w:docPartBody>
        <w:p w:rsidR="00754216" w:rsidRDefault="00754216" w:rsidP="00754216">
          <w:pPr>
            <w:pStyle w:val="88859A411B8246289FE0D0F2A2A722F4"/>
          </w:pPr>
          <w:r w:rsidRPr="00A31A32">
            <w:rPr>
              <w:rStyle w:val="PlaceholderText"/>
            </w:rPr>
            <w:t>Haga clic o pulse aquí para escribir texto.</w:t>
          </w:r>
        </w:p>
      </w:docPartBody>
    </w:docPart>
    <w:docPart>
      <w:docPartPr>
        <w:name w:val="DefaultPlaceholder_-1854013440"/>
        <w:category>
          <w:name w:val="General"/>
          <w:gallery w:val="placeholder"/>
        </w:category>
        <w:types>
          <w:type w:val="bbPlcHdr"/>
        </w:types>
        <w:behaviors>
          <w:behavior w:val="content"/>
        </w:behaviors>
        <w:guid w:val="{EDB46A2F-70AF-469F-8CDC-9DB4395D67C5}"/>
      </w:docPartPr>
      <w:docPartBody>
        <w:p w:rsidR="00C94F85" w:rsidRDefault="00C15E3F">
          <w:r w:rsidRPr="001B117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216"/>
    <w:rsid w:val="001A467D"/>
    <w:rsid w:val="00323CCB"/>
    <w:rsid w:val="00542C4E"/>
    <w:rsid w:val="006C3467"/>
    <w:rsid w:val="00754216"/>
    <w:rsid w:val="009377B9"/>
    <w:rsid w:val="00C15E3F"/>
    <w:rsid w:val="00C94F85"/>
    <w:rsid w:val="00DD1B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15E3F"/>
    <w:rPr>
      <w:color w:val="808080"/>
    </w:rPr>
  </w:style>
  <w:style w:type="paragraph" w:customStyle="1" w:styleId="768109C7266D48CE904B2C12C0318B48">
    <w:name w:val="768109C7266D48CE904B2C12C0318B48"/>
    <w:rsid w:val="00754216"/>
  </w:style>
  <w:style w:type="paragraph" w:customStyle="1" w:styleId="91C5DD49E736477C9C7A7074A6C847AE">
    <w:name w:val="91C5DD49E736477C9C7A7074A6C847AE"/>
    <w:rsid w:val="00754216"/>
  </w:style>
  <w:style w:type="paragraph" w:customStyle="1" w:styleId="5E5F07E493374238862B0856D94D89E1">
    <w:name w:val="5E5F07E493374238862B0856D94D89E1"/>
    <w:rsid w:val="00754216"/>
  </w:style>
  <w:style w:type="paragraph" w:customStyle="1" w:styleId="DBD6502FC1644047AAE65E1996BED833">
    <w:name w:val="DBD6502FC1644047AAE65E1996BED833"/>
    <w:rsid w:val="00754216"/>
  </w:style>
  <w:style w:type="paragraph" w:customStyle="1" w:styleId="C634F6A31CF3435CBEFACD3CDA31AF3C">
    <w:name w:val="C634F6A31CF3435CBEFACD3CDA31AF3C"/>
    <w:rsid w:val="00754216"/>
  </w:style>
  <w:style w:type="paragraph" w:customStyle="1" w:styleId="152D30B2F3414EBCB4E61FA7D9E15D4D">
    <w:name w:val="152D30B2F3414EBCB4E61FA7D9E15D4D"/>
    <w:rsid w:val="00754216"/>
  </w:style>
  <w:style w:type="paragraph" w:customStyle="1" w:styleId="88859A411B8246289FE0D0F2A2A722F4">
    <w:name w:val="88859A411B8246289FE0D0F2A2A722F4"/>
    <w:rsid w:val="007542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B0813D2-DFEB-41CE-B368-727740C5F9E1}">
  <we:reference id="wa104382081" version="1.55.1.0" store="es-ES" storeType="OMEX"/>
  <we:alternateReferences>
    <we:reference id="wa104382081" version="1.55.1.0" store="es-ES" storeType="OMEX"/>
  </we:alternateReferences>
  <we:properties>
    <we:property name="MENDELEY_CITATIONS" value="[{&quot;citationID&quot;:&quot;MENDELEY_CITATION_c782694b-f5fd-447e-b3bf-1e3a33f5b721&quot;,&quot;properties&quot;:{&quot;noteIndex&quot;:0},&quot;isEdited&quot;:false,&quot;manualOverride&quot;:{&quot;isManuallyOverridden&quot;:false,&quot;citeprocText&quot;:&quot;[1]&quot;,&quot;manualOverrideText&quot;:&quot;&quot;},&quot;citationTag&quot;:&quot;MENDELEY_CITATION_v3_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&quot;,&quot;citationItems&quot;:[{&quot;id&quot;:&quot;4e6a0993-ca76-36b9-9787-4e224e349ed7&quot;,&quot;itemData&quot;:{&quot;type&quot;:&quot;article-journal&quot;,&quot;id&quot;:&quot;4e6a0993-ca76-36b9-9787-4e224e349ed7&quot;,&quot;title&quot;:&quot;Motor neuron degeneration in mice that express a human Cu,Zn superoxide dismutase mutation&quot;,&quot;author&quot;:[{&quot;family&quot;:&quot;Gurney&quot;,&quot;given&quot;:&quot;M E&quot;,&quot;parse-names&quot;:false,&quot;dropping-particle&quot;:&quot;&quot;,&quot;non-dropping-particle&quot;:&quot;&quot;},{&quot;family&quot;:&quot;Pu&quot;,&quot;given&quot;:&quot;H&quot;,&quot;parse-names&quot;:false,&quot;dropping-particle&quot;:&quot;&quot;,&quot;non-dropping-particle&quot;:&quot;&quot;},{&quot;family&quot;:&quot;Chiu&quot;,&quot;given&quot;:&quot;A Y&quot;,&quot;parse-names&quot;:false,&quot;dropping-particle&quot;:&quot;&quot;,&quot;non-dropping-particle&quot;:&quot;&quot;},{&quot;family&quot;:&quot;Dal Canto&quot;,&quot;given&quot;:&quot;M C&quot;,&quot;parse-names&quot;:false,&quot;dropping-particle&quot;:&quot;&quot;,&quot;non-dropping-particle&quot;:&quot;&quot;},{&quot;family&quot;:&quot;Polchow&quot;,&quot;given&quot;:&quot;C Y&quot;,&quot;parse-names&quot;:false,&quot;dropping-particle&quot;:&quot;&quot;,&quot;non-dropping-particle&quot;:&quot;&quot;},{&quot;family&quot;:&quot;Alexander&quot;,&quot;given&quot;:&quot;D D&quot;,&quot;parse-names&quot;:false,&quot;dropping-particle&quot;:&quot;&quot;,&quot;non-dropping-particle&quot;:&quot;&quot;},{&quot;family&quot;:&quot;Caliendo&quot;,&quot;given&quot;:&quot;J&quot;,&quot;parse-names&quot;:false,&quot;dropping-particle&quot;:&quot;&quot;,&quot;non-dropping-particle&quot;:&quot;&quot;},{&quot;family&quot;:&quot;Hentati&quot;,&quot;given&quot;:&quot;A&quot;,&quot;parse-names&quot;:false,&quot;dropping-particle&quot;:&quot;&quot;,&quot;non-dropping-particle&quot;:&quot;&quot;},{&quot;family&quot;:&quot;Kwon&quot;,&quot;given&quot;:&quot;Y W&quot;,&quot;parse-names&quot;:false,&quot;dropping-particle&quot;:&quot;&quot;,&quot;non-dropping-particle&quot;:&quot;&quot;},{&quot;family&quot;:&quot;Deng&quot;,&quot;given&quot;:&quot;H X&quot;,&quot;parse-names&quot;:false,&quot;dropping-particle&quot;:&quot;&quot;,&quot;non-dropping-particle&quot;:&quot;&quot;},{&quot;family&quot;:&quot;et al.&quot;,&quot;given&quot;:&quot;&quot;,&quot;parse-names&quot;:false,&quot;dropping-particle&quot;:&quot;&quot;,&quot;non-dropping-particle&quot;:&quot;&quot;}],&quot;container-title&quot;:&quot;Science&quot;,&quot;container-title-short&quot;:&quot;Science (1979)&quot;,&quot;ISBN&quot;:&quot;0036-8075 (Print)\r0036-8075 (Linking)&quot;,&quot;PMID&quot;:&quot;8209258&quot;,&quot;URL&quot;:&quot;http://www.ncbi.nlm.nih.gov/entrez/query.fcgi?cmd=Retrieve&amp;db=PubMed&amp;dopt=Citation&amp;list_uids=8209258&quot;,&quot;issued&quot;:{&quot;date-parts&quot;:[[1994]]},&quot;page&quot;:&quot;1772-1775&quot;,&quot;language&quot;:&quot;eng&quot;,&quot;abstract&quot;:&quot;Mutations of human Cu,Zn superoxide dismutase (SOD) are found in about 20 percent of patients with familial amyotrophic lateral sclerosis (ALS). Expression of high levels of human SOD containing a substitution of glycine to alanine at position 93--a change that has little effect on enzyme activity--caused motor neuron disease in transgenic mice. The mice became paralyzed in one or more limbs as a result of motor neuron loss from the spinal cord and died by 5 to 6 months of age. The results show that dominant, gain-of-function mutations in SOD contribute to the pathogenesis of familial ALS.&quot;,&quot;edition&quot;:&quot;1994/06/17&quot;,&quot;issue&quot;:&quot;5166&quot;,&quot;volume&quot;:&quot;264&quot;},&quot;isTemporary&quot;:false}]},{&quot;citationID&quot;:&quot;MENDELEY_CITATION_733b7a50-2f1a-48d6-870b-426da10bd058&quot;,&quot;properties&quot;:{&quot;noteIndex&quot;:0},&quot;isEdited&quot;:false,&quot;manualOverride&quot;:{&quot;isManuallyOverridden&quot;:false,&quot;citeprocText&quot;:&quot;[2]&quot;,&quot;manualOverrideText&quot;:&quot;&quot;},&quot;citationTag&quot;:&quot;MENDELEY_CITATION_v3_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&quot;,&quot;citationItems&quot;:[{&quot;id&quot;:&quot;e2142b88-e424-3006-a94f-c91145a6c546&quot;,&quot;itemData&quot;:{&quot;type&quot;:&quot;article-journal&quot;,&quot;id&quot;:&quot;e2142b88-e424-3006-a94f-c91145a6c546&quot;,&quot;title&quot;:&quot;Pharmacological inhibition of the integrated stress response accelerates disease progression in an amyotrophic lateral sclerosis mouse model.&quot;,&quot;author&quot;:[{&quot;family&quot;:&quot;Marlin&quot;,&quot;given&quot;:&quot;Elías&quot;,&quot;parse-names&quot;:false,&quot;dropping-particle&quot;:&quot;&quot;,&quot;non-dropping-particle&quot;:&quot;&quot;},{&quot;family&quot;:&quot;Valencia&quot;,&quot;given&quot;:&quot;Miguel&quot;,&quot;parse-names&quot;:false,&quot;dropping-particle&quot;:&quot;&quot;,&quot;non-dropping-particle&quot;:&quot;&quot;},{&quot;family&quot;:&quot;Peregrín&quot;,&quot;given&quot;:&quot;Nuria&quot;,&quot;parse-names&quot;:false,&quot;dropping-particle&quot;:&quot;&quot;,&quot;non-dropping-particle&quot;:&quot;&quot;},{&quot;family&quot;:&quot;Ferrero&quot;,&quot;given&quot;:&quot;Roberto&quot;,&quot;parse-names&quot;:false,&quot;dropping-particle&quot;:&quot;&quot;,&quot;non-dropping-particle&quot;:&quot;&quot;},{&quot;family&quot;:&quot;Nicolás&quot;,&quot;given&quot;:&quot;María Jesús&quot;,&quot;parse-names&quot;:false,&quot;dropping-particle&quot;:&quot;&quot;,&quot;non-dropping-particle&quot;:&quot;&quot;},{&quot;family&quot;:&quot;Vinueza‐Gavilanes&quot;,&quot;given&quot;:&quot;Rodrigo&quot;,&quot;parse-names&quot;:false,&quot;dropping-particle&quot;:&quot;&quot;,&quot;non-dropping-particle&quot;:&quot;&quot;},{&quot;family&quot;:&quot;Pineda‐Lucena&quot;,&quot;given&quot;:&quot;Antonio&quot;,&quot;parse-names&quot;:false,&quot;dropping-particle&quot;:&quot;&quot;,&quot;non-dropping-particle&quot;:&quot;&quot;},{&quot;family&quot;:&quot;Artieda&quot;,&quot;given&quot;:&quot;Julio&quot;,&quot;parse-names&quot;:false,&quot;dropping-particle&quot;:&quot;&quot;,&quot;non-dropping-particle&quot;:&quot;&quot;},{&quot;family&quot;:&quot;Arrasate&quot;,&quot;given&quot;:&quot;Montserrat&quot;,&quot;parse-names&quot;:false,&quot;dropping-particle&quot;:&quot;&quot;,&quot;non-dropping-particle&quot;:&quot;&quot;},{&quot;family&quot;:&quot;Aragón&quot;,&quot;given&quot;:&quot;Tomás&quot;,&quot;parse-names&quot;:false,&quot;dropping-particle&quot;:&quot;&quot;,&quot;non-dropping-particle&quot;:&quot;&quot;}],&quot;container-title&quot;:&quot;British Journal of Pharmacology&quot;,&quot;DOI&quot;:&quot;10.1111/bph.16260&quot;,&quot;ISSN&quot;:&quot;0007-1188&quot;,&quot;URL&quot;:&quot;https://bpspubs.onlinelibrary.wiley.com/doi/10.1111/bph.16260&quot;,&quot;issued&quot;:{&quot;date-parts&quot;:[[2023,10,12]]},&quot;container-title-short&quot;:&quot;Br J Pharmacol&quot;},&quot;isTemporary&quot;:false}]},{&quot;citationID&quot;:&quot;MENDELEY_CITATION_d50a6772-83bb-45c6-89b9-d127351989c3&quot;,&quot;properties&quot;:{&quot;noteIndex&quot;:0},&quot;isEdited&quot;:false,&quot;manualOverride&quot;:{&quot;isManuallyOverridden&quot;:false,&quot;citeprocText&quot;:&quot;[2]&quot;,&quot;manualOverrideText&quot;:&quot;&quot;},&quot;citationTag&quot;:&quot;MENDELEY_CITATION_v3_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&quot;,&quot;citationItems&quot;:[{&quot;id&quot;:&quot;e2142b88-e424-3006-a94f-c91145a6c546&quot;,&quot;itemData&quot;:{&quot;type&quot;:&quot;article-journal&quot;,&quot;id&quot;:&quot;e2142b88-e424-3006-a94f-c91145a6c546&quot;,&quot;title&quot;:&quot;Pharmacological inhibition of the integrated stress response accelerates disease progression in an amyotrophic lateral sclerosis mouse model.&quot;,&quot;author&quot;:[{&quot;family&quot;:&quot;Marlin&quot;,&quot;given&quot;:&quot;Elías&quot;,&quot;parse-names&quot;:false,&quot;dropping-particle&quot;:&quot;&quot;,&quot;non-dropping-particle&quot;:&quot;&quot;},{&quot;family&quot;:&quot;Valencia&quot;,&quot;given&quot;:&quot;Miguel&quot;,&quot;parse-names&quot;:false,&quot;dropping-particle&quot;:&quot;&quot;,&quot;non-dropping-particle&quot;:&quot;&quot;},{&quot;family&quot;:&quot;Peregrín&quot;,&quot;given&quot;:&quot;Nuria&quot;,&quot;parse-names&quot;:false,&quot;dropping-particle&quot;:&quot;&quot;,&quot;non-dropping-particle&quot;:&quot;&quot;},{&quot;family&quot;:&quot;Ferrero&quot;,&quot;given&quot;:&quot;Roberto&quot;,&quot;parse-names&quot;:false,&quot;dropping-particle&quot;:&quot;&quot;,&quot;non-dropping-particle&quot;:&quot;&quot;},{&quot;family&quot;:&quot;Nicolás&quot;,&quot;given&quot;:&quot;María Jesús&quot;,&quot;parse-names&quot;:false,&quot;dropping-particle&quot;:&quot;&quot;,&quot;non-dropping-particle&quot;:&quot;&quot;},{&quot;family&quot;:&quot;Vinueza‐Gavilanes&quot;,&quot;given&quot;:&quot;Rodrigo&quot;,&quot;parse-names&quot;:false,&quot;dropping-particle&quot;:&quot;&quot;,&quot;non-dropping-particle&quot;:&quot;&quot;},{&quot;family&quot;:&quot;Pineda‐Lucena&quot;,&quot;given&quot;:&quot;Antonio&quot;,&quot;parse-names&quot;:false,&quot;dropping-particle&quot;:&quot;&quot;,&quot;non-dropping-particle&quot;:&quot;&quot;},{&quot;family&quot;:&quot;Artieda&quot;,&quot;given&quot;:&quot;Julio&quot;,&quot;parse-names&quot;:false,&quot;dropping-particle&quot;:&quot;&quot;,&quot;non-dropping-particle&quot;:&quot;&quot;},{&quot;family&quot;:&quot;Arrasate&quot;,&quot;given&quot;:&quot;Montserrat&quot;,&quot;parse-names&quot;:false,&quot;dropping-particle&quot;:&quot;&quot;,&quot;non-dropping-particle&quot;:&quot;&quot;},{&quot;family&quot;:&quot;Aragón&quot;,&quot;given&quot;:&quot;Tomás&quot;,&quot;parse-names&quot;:false,&quot;dropping-particle&quot;:&quot;&quot;,&quot;non-dropping-particle&quot;:&quot;&quot;}],&quot;container-title&quot;:&quot;British Journal of Pharmacology&quot;,&quot;DOI&quot;:&quot;10.1111/bph.16260&quot;,&quot;ISSN&quot;:&quot;0007-1188&quot;,&quot;URL&quot;:&quot;https://bpspubs.onlinelibrary.wiley.com/doi/10.1111/bph.16260&quot;,&quot;issued&quot;:{&quot;date-parts&quot;:[[2023,10,12]]},&quot;container-title-short&quot;:&quot;Br J Pharmacol&quot;},&quot;isTemporary&quot;:false}]},{&quot;citationID&quot;:&quot;MENDELEY_CITATION_52b475e1-3105-4394-b156-e4010a131fa2&quot;,&quot;properties&quot;:{&quot;noteIndex&quot;:0},&quot;isEdited&quot;:false,&quot;manualOverride&quot;:{&quot;isManuallyOverridden&quot;:false,&quot;citeprocText&quot;:&quot;[3]&quot;,&quot;manualOverrideText&quot;:&quot;&quot;},&quot;citationTag&quot;:&quot;MENDELEY_CITATION_v3_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&quot;,&quot;citationItems&quot;:[{&quot;id&quot;:&quot;56fdc1eb-455f-3da2-a2d5-fc3b71e225ba&quot;,&quot;itemData&quot;:{&quot;type&quot;:&quot;article-journal&quot;,&quot;id&quot;:&quot;56fdc1eb-455f-3da2-a2d5-fc3b71e225ba&quot;,&quot;title&quot;:&quot;A method comparison in monitoring disease progression of G93A mouse model of ALS.&quot;,&quot;author&quot;:[{&quot;family&quot;:&quot;Zhou&quot;,&quot;given&quot;:&quot;Chang&quot;,&quot;parse-names&quot;:false,&quot;dropping-particle&quot;:&quot;&quot;,&quot;non-dropping-particle&quot;:&quot;&quot;},{&quot;family&quot;:&quot;Zhao&quot;,&quot;given&quot;:&quot;Cui-Ping&quot;,&quot;parse-names&quot;:false,&quot;dropping-particle&quot;:&quot;&quot;,&quot;non-dropping-particle&quot;:&quot;&quot;},{&quot;family&quot;:&quot;Zhang&quot;,&quot;given&quot;:&quot;Chen&quot;,&quot;parse-names&quot;:false,&quot;dropping-particle&quot;:&quot;&quot;,&quot;non-dropping-particle&quot;:&quot;&quot;},{&quot;family&quot;:&quot;Wu&quot;,&quot;given&quot;:&quot;Guo-Yong&quot;,&quot;parse-names&quot;:false,&quot;dropping-particle&quot;:&quot;&quot;,&quot;non-dropping-particle&quot;:&quot;&quot;},{&quot;family&quot;:&quot;Xiong&quot;,&quot;given&quot;:&quot;Fu&quot;,&quot;parse-names&quot;:false,&quot;dropping-particle&quot;:&quot;&quot;,&quot;non-dropping-particle&quot;:&quot;&quot;},{&quot;family&quot;:&quot;Zhang&quot;,&quot;given&quot;:&quot;Cheng&quot;,&quot;parse-names&quot;:false,&quot;dropping-particle&quot;:&quot;&quot;,&quot;non-dropping-particle&quot;:&quot;&quot;}],&quot;container-title&quot;:&quot;Amyotrophic lateral sclerosis : official publication of the World Federation of  Neurology Research Group on Motor Neuron Diseases&quot;,&quot;DOI&quot;:&quot;10.1080/17482960701538759&quot;,&quot;ISSN&quot;:&quot;1471-180X (Electronic)&quot;,&quot;PMID&quot;:&quot;17852023&quot;,&quot;issued&quot;:{&quot;date-parts&quot;:[[2007,12]]},&quot;publisher-place&quot;:&quot;England&quot;,&quot;page&quot;:&quot;366-372&quot;,&quot;language&quot;:&quot;eng&quot;,&quot;abstract&quot;:&quot;Our aim was to find an optimal method for monitoring disease progression and  assessing the effectiveness of new agents in SOD1 mice. We compared six testing methods including clinical grading, weighing, hanging wire test, rotarod test, motor neuron counting and motor unit number estimation (MUNE) in SOD1 mice and control animals. The six methods were all able to differentiate between control animals and SOD1 transgenic mice at some time points; of them motor neuron counting, weighing and MUNE could detect abnormalities in presymptomatic stage in SOD1 mice; The number of functional motor units precisely correlated with motor neuron counts (r = 0.894, p&lt;0.01). We concluded that MUNE is the better testing measure for monitoring disease and evaluating pharmacological therapies in SOD1 mice, which not only can reflect a meaningful biological effect of the agents used, but also is a sensitive, accurate and practical method.&quot;,&quot;issue&quot;:&quot;6&quot;,&quot;volume&quot;:&quot;8&quot;,&quot;container-title-short&quot;:&quot;Amyotroph Lateral Scler&quot;},&quot;isTemporary&quot;:false}]},{&quot;citationID&quot;:&quot;MENDELEY_CITATION_38a8b348-db66-4441-9549-455815f66294&quot;,&quot;properties&quot;:{&quot;noteIndex&quot;:0},&quot;isEdited&quot;:false,&quot;manualOverride&quot;:{&quot;isManuallyOverridden&quot;:false,&quot;citeprocText&quot;:&quot;[2]&quot;,&quot;manualOverrideText&quot;:&quot;&quot;},&quot;citationTag&quot;:&quot;MENDELEY_CITATION_v3_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&quot;,&quot;citationItems&quot;:[{&quot;id&quot;:&quot;e2142b88-e424-3006-a94f-c91145a6c546&quot;,&quot;itemData&quot;:{&quot;type&quot;:&quot;article-journal&quot;,&quot;id&quot;:&quot;e2142b88-e424-3006-a94f-c91145a6c546&quot;,&quot;title&quot;:&quot;Pharmacological inhibition of the integrated stress response accelerates disease progression in an amyotrophic lateral sclerosis mouse model.&quot;,&quot;author&quot;:[{&quot;family&quot;:&quot;Marlin&quot;,&quot;given&quot;:&quot;Elías&quot;,&quot;parse-names&quot;:false,&quot;dropping-particle&quot;:&quot;&quot;,&quot;non-dropping-particle&quot;:&quot;&quot;},{&quot;family&quot;:&quot;Valencia&quot;,&quot;given&quot;:&quot;Miguel&quot;,&quot;parse-names&quot;:false,&quot;dropping-particle&quot;:&quot;&quot;,&quot;non-dropping-particle&quot;:&quot;&quot;},{&quot;family&quot;:&quot;Peregrín&quot;,&quot;given&quot;:&quot;Nuria&quot;,&quot;parse-names&quot;:false,&quot;dropping-particle&quot;:&quot;&quot;,&quot;non-dropping-particle&quot;:&quot;&quot;},{&quot;family&quot;:&quot;Ferrero&quot;,&quot;given&quot;:&quot;Roberto&quot;,&quot;parse-names&quot;:false,&quot;dropping-particle&quot;:&quot;&quot;,&quot;non-dropping-particle&quot;:&quot;&quot;},{&quot;family&quot;:&quot;Nicolás&quot;,&quot;given&quot;:&quot;María Jesús&quot;,&quot;parse-names&quot;:false,&quot;dropping-particle&quot;:&quot;&quot;,&quot;non-dropping-particle&quot;:&quot;&quot;},{&quot;family&quot;:&quot;Vinueza‐Gavilanes&quot;,&quot;given&quot;:&quot;Rodrigo&quot;,&quot;parse-names&quot;:false,&quot;dropping-particle&quot;:&quot;&quot;,&quot;non-dropping-particle&quot;:&quot;&quot;},{&quot;family&quot;:&quot;Pineda‐Lucena&quot;,&quot;given&quot;:&quot;Antonio&quot;,&quot;parse-names&quot;:false,&quot;dropping-particle&quot;:&quot;&quot;,&quot;non-dropping-particle&quot;:&quot;&quot;},{&quot;family&quot;:&quot;Artieda&quot;,&quot;given&quot;:&quot;Julio&quot;,&quot;parse-names&quot;:false,&quot;dropping-particle&quot;:&quot;&quot;,&quot;non-dropping-particle&quot;:&quot;&quot;},{&quot;family&quot;:&quot;Arrasate&quot;,&quot;given&quot;:&quot;Montserrat&quot;,&quot;parse-names&quot;:false,&quot;dropping-particle&quot;:&quot;&quot;,&quot;non-dropping-particle&quot;:&quot;&quot;},{&quot;family&quot;:&quot;Aragón&quot;,&quot;given&quot;:&quot;Tomás&quot;,&quot;parse-names&quot;:false,&quot;dropping-particle&quot;:&quot;&quot;,&quot;non-dropping-particle&quot;:&quot;&quot;}],&quot;container-title&quot;:&quot;British Journal of Pharmacology&quot;,&quot;DOI&quot;:&quot;10.1111/bph.16260&quot;,&quot;ISSN&quot;:&quot;0007-1188&quot;,&quot;URL&quot;:&quot;https://bpspubs.onlinelibrary.wiley.com/doi/10.1111/bph.16260&quot;,&quot;issued&quot;:{&quot;date-parts&quot;:[[2023,10,12]]},&quot;container-title-short&quot;:&quot;Br J Pharmacol&quot;},&quot;isTemporary&quot;:false}]},{&quot;citationID&quot;:&quot;MENDELEY_CITATION_6c8d9819-5143-46ab-8075-f767bb2444e4&quot;,&quot;properties&quot;:{&quot;noteIndex&quot;:0},&quot;isEdited&quot;:false,&quot;manualOverride&quot;:{&quot;isManuallyOverridden&quot;:false,&quot;citeprocText&quot;:&quot;[4]&quot;,&quot;manualOverrideText&quot;:&quot;&quot;},&quot;citationTag&quot;:&quot;MENDELEY_CITATION_v3_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&quot;,&quot;citationItems&quot;:[{&quot;id&quot;:&quot;3e2b8aa4-7bab-3a03-8013-1cff3f3b69f7&quot;,&quot;itemData&quot;:{&quot;type&quot;:&quot;article-journal&quot;,&quot;id&quot;:&quot;3e2b8aa4-7bab-3a03-8013-1cff3f3b69f7&quot;,&quot;title&quot;:&quot;Fine tuning of the unfolded protein response by ISRIB improves neuronal survival in  a model of amyotrophic lateral sclerosis.&quot;,&quot;author&quot;:[{&quot;family&quot;:&quot;Bugallo&quot;,&quot;given&quot;:&quot;Ricardo&quot;,&quot;parse-names&quot;:false,&quot;dropping-particle&quot;:&quot;&quot;,&quot;non-dropping-particle&quot;:&quot;&quot;},{&quot;family&quot;:&quot;Marlin&quot;,&quot;given&quot;:&quot;Elías&quot;,&quot;parse-names&quot;:false,&quot;dropping-particle&quot;:&quot;&quot;,&quot;non-dropping-particle&quot;:&quot;&quot;},{&quot;family&quot;:&quot;Baltanás&quot;,&quot;given&quot;:&quot;Ana&quot;,&quot;parse-names&quot;:false,&quot;dropping-particle&quot;:&quot;&quot;,&quot;non-dropping-particle&quot;:&quot;&quot;},{&quot;family&quot;:&quot;Toledo&quot;,&quot;given&quot;:&quot;Estefanía&quot;,&quot;parse-names&quot;:false,&quot;dropping-particle&quot;:&quot;&quot;,&quot;non-dropping-particle&quot;:&quot;&quot;},{&quot;family&quot;:&quot;Ferrero&quot;,&quot;given&quot;:&quot;Roberto&quot;,&quot;parse-names&quot;:false,&quot;dropping-particle&quot;:&quot;&quot;,&quot;non-dropping-particle&quot;:&quot;&quot;},{&quot;family&quot;:&quot;Vinueza-Gavilanes&quot;,&quot;given&quot;:&quot;Rodrigo&quot;,&quot;parse-names&quot;:false,&quot;dropping-particle&quot;:&quot;&quot;,&quot;non-dropping-particle&quot;:&quot;&quot;},{&quot;family&quot;:&quot;Larrea&quot;,&quot;given&quot;:&quot;Laura&quot;,&quot;parse-names&quot;:false,&quot;dropping-particle&quot;:&quot;&quot;,&quot;non-dropping-particle&quot;:&quot;&quot;},{&quot;family&quot;:&quot;Arrasate&quot;,&quot;given&quot;:&quot;Montserrat&quot;,&quot;parse-names&quot;:false,&quot;dropping-particle&quot;:&quot;&quot;,&quot;non-dropping-particle&quot;:&quot;&quot;},{&quot;family&quot;:&quot;Aragón&quot;,&quot;given&quot;:&quot;Tomás&quot;,&quot;parse-names&quot;:false,&quot;dropping-particle&quot;:&quot;&quot;,&quot;non-dropping-particle&quot;:&quot;&quot;}],&quot;container-title&quot;:&quot;Cell death &amp; disease&quot;,&quot;DOI&quot;:&quot;10.1038/s41419-020-2601-2&quot;,&quot;ISSN&quot;:&quot;2041-4889 (Electronic)&quot;,&quot;PMID&quot;:&quot;32457286&quot;,&quot;issued&quot;:{&quot;date-parts&quot;:[[2020,5]]},&quot;page&quot;:&quot;397&quot;,&quot;language&quot;:&quot;eng&quot;,&quot;abstract&quot;:&quot;Loss of protein folding homeostasis features many of the most prevalent  neurodegenerative disorders. As coping mechanism to folding stress within the endoplasmic reticulum (ER), the unfolded protein response (UPR) comprises a set of signaling mechanisms that initiate a gene expression program to restore proteostasis, or when stress is chronic or overwhelming promote neuronal death. This fate-defining capacity of the UPR has been proposed to play a key role in amyotrophic lateral sclerosis (ALS). However, the several genetic or pharmacological attempts to explore the therapeutic potential of UPR modulation have produced conflicting observations. In order to establish the precise relationship between UPR signaling and neuronal death in ALS, we have developed a neuronal model where the toxicity of a familial ALS-causing allele (mutant G93A SOD1) and UPR activation can be longitudinally monitored in single neurons over the process of neurodegeneration by automated microscopy. Using fluorescent UPR reporters we established the temporal and causal relationship between UPR and neuronal death by Cox regression models. Pharmacological inhibition of discrete UPR processes allowed us to establish the contribution of PERK (PKR-like ER kinase) and IRE1 (inositol-requiring enzyme-1) mechanisms to neuronal fate. Importantly, inhibition of PERK signaling with its downstream inhibitor ISRIB, but not with the direct PERK kinase inhibitor GSK2606414, significantly enhanced the survival of G93A SOD1-expressing neurons. Characterization of the inhibitory properties of both drugs under ER stress revealed that in neurons (but not in glial cells) ISRIB overruled only part of the translational program imposed by PERK, relieving the general inhibition of translation, but maintaining the privileged translation of ATF4 (activating transcription factor 4) messenger RNA. Surprisingly, the fine-tuning of the PERK output in G93A SOD1-expressing neurons led to a reduction of IRE1-dependent signaling. Together, our findings identify ISRIB-mediated translational reprogramming as a new potential ALS therapy.&quot;,&quot;issue&quot;:&quot;5&quot;,&quot;volume&quot;:&quot;11&quot;,&quot;container-title-short&quot;:&quot;Cell Death Dis&quot;},&quot;isTemporary&quot;:false}]},{&quot;citationID&quot;:&quot;MENDELEY_CITATION_aec9ea1f-3bb8-467a-b648-bef3d2cb3689&quot;,&quot;properties&quot;:{&quot;noteIndex&quot;:0},&quot;isEdited&quot;:false,&quot;manualOverride&quot;:{&quot;isManuallyOverridden&quot;:false,&quot;citeprocText&quot;:&quot;[2]&quot;,&quot;manualOverrideText&quot;:&quot;&quot;},&quot;citationTag&quot;:&quot;MENDELEY_CITATION_v3_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&quot;,&quot;citationItems&quot;:[{&quot;id&quot;:&quot;e2142b88-e424-3006-a94f-c91145a6c546&quot;,&quot;itemData&quot;:{&quot;type&quot;:&quot;article-journal&quot;,&quot;id&quot;:&quot;e2142b88-e424-3006-a94f-c91145a6c546&quot;,&quot;title&quot;:&quot;Pharmacological inhibition of the integrated stress response accelerates disease progression in an amyotrophic lateral sclerosis mouse model.&quot;,&quot;author&quot;:[{&quot;family&quot;:&quot;Marlin&quot;,&quot;given&quot;:&quot;Elías&quot;,&quot;parse-names&quot;:false,&quot;dropping-particle&quot;:&quot;&quot;,&quot;non-dropping-particle&quot;:&quot;&quot;},{&quot;family&quot;:&quot;Valencia&quot;,&quot;given&quot;:&quot;Miguel&quot;,&quot;parse-names&quot;:false,&quot;dropping-particle&quot;:&quot;&quot;,&quot;non-dropping-particle&quot;:&quot;&quot;},{&quot;family&quot;:&quot;Peregrín&quot;,&quot;given&quot;:&quot;Nuria&quot;,&quot;parse-names&quot;:false,&quot;dropping-particle&quot;:&quot;&quot;,&quot;non-dropping-particle&quot;:&quot;&quot;},{&quot;family&quot;:&quot;Ferrero&quot;,&quot;given&quot;:&quot;Roberto&quot;,&quot;parse-names&quot;:false,&quot;dropping-particle&quot;:&quot;&quot;,&quot;non-dropping-particle&quot;:&quot;&quot;},{&quot;family&quot;:&quot;Nicolás&quot;,&quot;given&quot;:&quot;María Jesús&quot;,&quot;parse-names&quot;:false,&quot;dropping-particle&quot;:&quot;&quot;,&quot;non-dropping-particle&quot;:&quot;&quot;},{&quot;family&quot;:&quot;Vinueza‐Gavilanes&quot;,&quot;given&quot;:&quot;Rodrigo&quot;,&quot;parse-names&quot;:false,&quot;dropping-particle&quot;:&quot;&quot;,&quot;non-dropping-particle&quot;:&quot;&quot;},{&quot;family&quot;:&quot;Pineda‐Lucena&quot;,&quot;given&quot;:&quot;Antonio&quot;,&quot;parse-names&quot;:false,&quot;dropping-particle&quot;:&quot;&quot;,&quot;non-dropping-particle&quot;:&quot;&quot;},{&quot;family&quot;:&quot;Artieda&quot;,&quot;given&quot;:&quot;Julio&quot;,&quot;parse-names&quot;:false,&quot;dropping-particle&quot;:&quot;&quot;,&quot;non-dropping-particle&quot;:&quot;&quot;},{&quot;family&quot;:&quot;Arrasate&quot;,&quot;given&quot;:&quot;Montserrat&quot;,&quot;parse-names&quot;:false,&quot;dropping-particle&quot;:&quot;&quot;,&quot;non-dropping-particle&quot;:&quot;&quot;},{&quot;family&quot;:&quot;Aragón&quot;,&quot;given&quot;:&quot;Tomás&quot;,&quot;parse-names&quot;:false,&quot;dropping-particle&quot;:&quot;&quot;,&quot;non-dropping-particle&quot;:&quot;&quot;}],&quot;container-title&quot;:&quot;British Journal of Pharmacology&quot;,&quot;DOI&quot;:&quot;10.1111/bph.16260&quot;,&quot;ISSN&quot;:&quot;0007-1188&quot;,&quot;URL&quot;:&quot;https://bpspubs.onlinelibrary.wiley.com/doi/10.1111/bph.16260&quot;,&quot;issued&quot;:{&quot;date-parts&quot;:[[2023,10,12]]},&quot;container-title-short&quot;:&quot;Br J Pharmacol&quot;},&quot;isTemporary&quot;:false}]},{&quot;citationID&quot;:&quot;MENDELEY_CITATION_da143c8e-9268-406b-9628-f65767663a7d&quot;,&quot;properties&quot;:{&quot;noteIndex&quot;:0},&quot;isEdited&quot;:false,&quot;manualOverride&quot;:{&quot;isManuallyOverridden&quot;:false,&quot;citeprocText&quot;:&quot;[5]&quot;,&quot;manualOverrideText&quot;:&quot;&quot;},&quot;citationTag&quot;:&quot;MENDELEY_CITATION_v3_eyJjaXRhdGlvbklEIjoiTUVOREVMRVlfQ0lUQVRJT05fZGExNDNjOGUtOTI2OC00MDZiLTk2MjgtZjY1NzY3NjYzYTdk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quot;,&quot;citationItems&quot;:[{&quot;id&quot;:&quot;c6e2a002-7619-36f4-be97-c7e377eb41da&quot;,&quot;itemData&quot;:{&quot;type&quot;:&quot;article-journal&quot;,&quot;id&quot;:&quot;c6e2a002-7619-36f4-be97-c7e377eb41da&quot;,&quot;title&quot;:&quot;E46K α-synuclein pathological mutation causes cell-autonomous toxicity without altering protein turnover or aggregation&quot;,&quot;author&quot;:[{&quot;family&quot;:&quot;Íñigo-Marco&quot;,&quot;given&quot;:&quot;Ignacio&quot;,&quot;parse-names&quot;:false,&quot;dropping-particle&quot;:&quot;&quot;,&quot;non-dropping-particle&quot;:&quot;&quot;},{&quot;family&quot;:&quot;Valencia&quot;,&quot;given&quot;:&quot;Miguel&quot;,&quot;parse-names&quot;:false,&quot;dropping-particle&quot;:&quot;&quot;,&quot;non-dropping-particle&quot;:&quot;&quot;},{&quot;family&quot;:&quot;Larrea&quot;,&quot;given&quot;:&quot;Laura&quot;,&quot;parse-names&quot;:false,&quot;dropping-particle&quot;:&quot;&quot;,&quot;non-dropping-particle&quot;:&quot;&quot;},{&quot;family&quot;:&quot;Bugallo&quot;,&quot;given&quot;:&quot;Ricardo&quot;,&quot;parse-names&quot;:false,&quot;dropping-particle&quot;:&quot;&quot;,&quot;non-dropping-particle&quot;:&quot;&quot;},{&quot;family&quot;:&quot;Martínez-Goikoetxea&quot;,&quot;given&quot;:&quot;Mikel&quot;,&quot;parse-names&quot;:false,&quot;dropping-particle&quot;:&quot;&quot;,&quot;non-dropping-particle&quot;:&quot;&quot;},{&quot;family&quot;:&quot;Zuriguel&quot;,&quot;given&quot;:&quot;Iker&quot;,&quot;parse-names&quot;:false,&quot;dropping-particle&quot;:&quot;&quot;,&quot;non-dropping-particle&quot;:&quot;&quot;},{&quot;family&quot;:&quot;Arrasate&quot;,&quot;given&quot;:&quot;Montserrat&quot;,&quot;parse-names&quot;:false,&quot;dropping-particle&quot;:&quot;&quot;,&quot;non-dropping-particle&quot;:&quot;&quot;}],&quot;container-title&quot;:&quot;Proceedings of the National Academy of Sciences of the United States of America&quot;,&quot;DOI&quot;:&quot;10.1073/pnas.1703420114&quot;,&quot;ISSN&quot;:&quot;10916490&quot;,&quot;issued&quot;:{&quot;date-parts&quot;:[[2017]]},&quot;page&quot;:&quot;E8274-E8283&quot;,&quot;abstract&quot;:&quot;α-Synuclein (aSyn) is the main driver of neurodegenerative diseases known as “synucleinopathies,” but the mechanisms underlying this toxicity remain poorly understood. To investigate aSyn toxic mechanisms, we have developed a primary neuronal model in which a longitudinal survival analysis can be performed by following the overexpression of fluorescently tagged WT or pathologically mutant aSyn constructs. Most aSyn mutations linked to neurodegenerative disease hindered neuronal survival in this model; of these mutations, the E46K mutation proved to be the most toxic. While E46K induced robust PLK2-dependent aSyn phosphorylation at serine 129, inhibiting this phosphorylation did not alleviate aSyn toxicity, strongly suggesting that this pathological hallmark of synucleinopathies is an epiphenomenon. Optical pulse-chase experiments with Dendra2-tagged aSyn versions indicated that the E46K mutation does not alter aSyn protein turnover. Moreover, since the mutation did not promote overt aSyn aggregation, we conclude that E46K toxicity was driven by soluble species. Finally, we developed an assay to assess whether neurons expressing E46K aSyn affect the survival of neighboring control neurons. Although we identified a minor non–cell-autonomous component spatially restricted to proximal neurons, most E46K aSyn toxicity was cell autonomous. Thus, we have been able to recapitulate the toxicity of soluble aSyn species at a stage preceding aggregation, detecting non–cell-autonomous toxicity and evaluating how some of the main aSyn hallmarks are related to neuronal survival.&quot;,&quot;issue&quot;:&quot;39&quot;,&quot;volume&quot;:&quot;114&quot;,&quot;container-title-short&quot;:&quot;Proc Natl Acad Sci U S A&quot;},&quot;isTemporary&quot;:false}]},{&quot;citationID&quot;:&quot;MENDELEY_CITATION_d3502585-1f3a-4ca0-b689-b146f1f29141&quot;,&quot;properties&quot;:{&quot;noteIndex&quot;:0},&quot;isEdited&quot;:false,&quot;manualOverride&quot;:{&quot;isManuallyOverridden&quot;:false,&quot;citeprocText&quot;:&quot;[5]&quot;,&quot;manualOverrideText&quot;:&quot;&quot;},&quot;citationTag&quot;:&quot;MENDELEY_CITATION_v3_eyJjaXRhdGlvbklEIjoiTUVOREVMRVlfQ0lUQVRJT05fZDM1MDI1ODUtMWYzYS00Y2EwLWI2ODktYjE0NmYxZjI5MTQx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quot;,&quot;citationItems&quot;:[{&quot;id&quot;:&quot;c6e2a002-7619-36f4-be97-c7e377eb41da&quot;,&quot;itemData&quot;:{&quot;type&quot;:&quot;article-journal&quot;,&quot;id&quot;:&quot;c6e2a002-7619-36f4-be97-c7e377eb41da&quot;,&quot;title&quot;:&quot;E46K α-synuclein pathological mutation causes cell-autonomous toxicity without altering protein turnover or aggregation&quot;,&quot;author&quot;:[{&quot;family&quot;:&quot;Íñigo-Marco&quot;,&quot;given&quot;:&quot;Ignacio&quot;,&quot;parse-names&quot;:false,&quot;dropping-particle&quot;:&quot;&quot;,&quot;non-dropping-particle&quot;:&quot;&quot;},{&quot;family&quot;:&quot;Valencia&quot;,&quot;given&quot;:&quot;Miguel&quot;,&quot;parse-names&quot;:false,&quot;dropping-particle&quot;:&quot;&quot;,&quot;non-dropping-particle&quot;:&quot;&quot;},{&quot;family&quot;:&quot;Larrea&quot;,&quot;given&quot;:&quot;Laura&quot;,&quot;parse-names&quot;:false,&quot;dropping-particle&quot;:&quot;&quot;,&quot;non-dropping-particle&quot;:&quot;&quot;},{&quot;family&quot;:&quot;Bugallo&quot;,&quot;given&quot;:&quot;Ricardo&quot;,&quot;parse-names&quot;:false,&quot;dropping-particle&quot;:&quot;&quot;,&quot;non-dropping-particle&quot;:&quot;&quot;},{&quot;family&quot;:&quot;Martínez-Goikoetxea&quot;,&quot;given&quot;:&quot;Mikel&quot;,&quot;parse-names&quot;:false,&quot;dropping-particle&quot;:&quot;&quot;,&quot;non-dropping-particle&quot;:&quot;&quot;},{&quot;family&quot;:&quot;Zuriguel&quot;,&quot;given&quot;:&quot;Iker&quot;,&quot;parse-names&quot;:false,&quot;dropping-particle&quot;:&quot;&quot;,&quot;non-dropping-particle&quot;:&quot;&quot;},{&quot;family&quot;:&quot;Arrasate&quot;,&quot;given&quot;:&quot;Montserrat&quot;,&quot;parse-names&quot;:false,&quot;dropping-particle&quot;:&quot;&quot;,&quot;non-dropping-particle&quot;:&quot;&quot;}],&quot;container-title&quot;:&quot;Proceedings of the National Academy of Sciences of the United States of America&quot;,&quot;DOI&quot;:&quot;10.1073/pnas.1703420114&quot;,&quot;ISSN&quot;:&quot;10916490&quot;,&quot;issued&quot;:{&quot;date-parts&quot;:[[2017]]},&quot;page&quot;:&quot;E8274-E8283&quot;,&quot;abstract&quot;:&quot;α-Synuclein (aSyn) is the main driver of neurodegenerative diseases known as “synucleinopathies,” but the mechanisms underlying this toxicity remain poorly understood. To investigate aSyn toxic mechanisms, we have developed a primary neuronal model in which a longitudinal survival analysis can be performed by following the overexpression of fluorescently tagged WT or pathologically mutant aSyn constructs. Most aSyn mutations linked to neurodegenerative disease hindered neuronal survival in this model; of these mutations, the E46K mutation proved to be the most toxic. While E46K induced robust PLK2-dependent aSyn phosphorylation at serine 129, inhibiting this phosphorylation did not alleviate aSyn toxicity, strongly suggesting that this pathological hallmark of synucleinopathies is an epiphenomenon. Optical pulse-chase experiments with Dendra2-tagged aSyn versions indicated that the E46K mutation does not alter aSyn protein turnover. Moreover, since the mutation did not promote overt aSyn aggregation, we conclude that E46K toxicity was driven by soluble species. Finally, we developed an assay to assess whether neurons expressing E46K aSyn affect the survival of neighboring control neurons. Although we identified a minor non–cell-autonomous component spatially restricted to proximal neurons, most E46K aSyn toxicity was cell autonomous. Thus, we have been able to recapitulate the toxicity of soluble aSyn species at a stage preceding aggregation, detecting non–cell-autonomous toxicity and evaluating how some of the main aSyn hallmarks are related to neuronal survival.&quot;,&quot;issue&quot;:&quot;39&quot;,&quot;volume&quot;:&quot;114&quot;,&quot;container-title-short&quot;:&quot;Proc Natl Acad Sci U S A&quot;},&quot;isTemporary&quot;:false}]},{&quot;citationID&quot;:&quot;MENDELEY_CITATION_24c16e07-0017-40ac-a4aa-0a243dd6fe79&quot;,&quot;properties&quot;:{&quot;noteIndex&quot;:0},&quot;isEdited&quot;:false,&quot;manualOverride&quot;:{&quot;isManuallyOverridden&quot;:false,&quot;citeprocText&quot;:&quot;[5]&quot;,&quot;manualOverrideText&quot;:&quot;&quot;},&quot;citationTag&quot;:&quot;MENDELEY_CITATION_v3_eyJjaXRhdGlvbklEIjoiTUVOREVMRVlfQ0lUQVRJT05fMjRjMTZlMDctMDAxNy00MGFjLWE0YWEtMGEyNDNkZDZmZTc5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quot;,&quot;citationItems&quot;:[{&quot;id&quot;:&quot;c6e2a002-7619-36f4-be97-c7e377eb41da&quot;,&quot;itemData&quot;:{&quot;type&quot;:&quot;article-journal&quot;,&quot;id&quot;:&quot;c6e2a002-7619-36f4-be97-c7e377eb41da&quot;,&quot;title&quot;:&quot;E46K α-synuclein pathological mutation causes cell-autonomous toxicity without altering protein turnover or aggregation&quot;,&quot;author&quot;:[{&quot;family&quot;:&quot;Íñigo-Marco&quot;,&quot;given&quot;:&quot;Ignacio&quot;,&quot;parse-names&quot;:false,&quot;dropping-particle&quot;:&quot;&quot;,&quot;non-dropping-particle&quot;:&quot;&quot;},{&quot;family&quot;:&quot;Valencia&quot;,&quot;given&quot;:&quot;Miguel&quot;,&quot;parse-names&quot;:false,&quot;dropping-particle&quot;:&quot;&quot;,&quot;non-dropping-particle&quot;:&quot;&quot;},{&quot;family&quot;:&quot;Larrea&quot;,&quot;given&quot;:&quot;Laura&quot;,&quot;parse-names&quot;:false,&quot;dropping-particle&quot;:&quot;&quot;,&quot;non-dropping-particle&quot;:&quot;&quot;},{&quot;family&quot;:&quot;Bugallo&quot;,&quot;given&quot;:&quot;Ricardo&quot;,&quot;parse-names&quot;:false,&quot;dropping-particle&quot;:&quot;&quot;,&quot;non-dropping-particle&quot;:&quot;&quot;},{&quot;family&quot;:&quot;Martínez-Goikoetxea&quot;,&quot;given&quot;:&quot;Mikel&quot;,&quot;parse-names&quot;:false,&quot;dropping-particle&quot;:&quot;&quot;,&quot;non-dropping-particle&quot;:&quot;&quot;},{&quot;family&quot;:&quot;Zuriguel&quot;,&quot;given&quot;:&quot;Iker&quot;,&quot;parse-names&quot;:false,&quot;dropping-particle&quot;:&quot;&quot;,&quot;non-dropping-particle&quot;:&quot;&quot;},{&quot;family&quot;:&quot;Arrasate&quot;,&quot;given&quot;:&quot;Montserrat&quot;,&quot;parse-names&quot;:false,&quot;dropping-particle&quot;:&quot;&quot;,&quot;non-dropping-particle&quot;:&quot;&quot;}],&quot;container-title&quot;:&quot;Proceedings of the National Academy of Sciences of the United States of America&quot;,&quot;DOI&quot;:&quot;10.1073/pnas.1703420114&quot;,&quot;ISSN&quot;:&quot;10916490&quot;,&quot;issued&quot;:{&quot;date-parts&quot;:[[2017]]},&quot;page&quot;:&quot;E8274-E8283&quot;,&quot;abstract&quot;:&quot;α-Synuclein (aSyn) is the main driver of neurodegenerative diseases known as “synucleinopathies,” but the mechanisms underlying this toxicity remain poorly understood. To investigate aSyn toxic mechanisms, we have developed a primary neuronal model in which a longitudinal survival analysis can be performed by following the overexpression of fluorescently tagged WT or pathologically mutant aSyn constructs. Most aSyn mutations linked to neurodegenerative disease hindered neuronal survival in this model; of these mutations, the E46K mutation proved to be the most toxic. While E46K induced robust PLK2-dependent aSyn phosphorylation at serine 129, inhibiting this phosphorylation did not alleviate aSyn toxicity, strongly suggesting that this pathological hallmark of synucleinopathies is an epiphenomenon. Optical pulse-chase experiments with Dendra2-tagged aSyn versions indicated that the E46K mutation does not alter aSyn protein turnover. Moreover, since the mutation did not promote overt aSyn aggregation, we conclude that E46K toxicity was driven by soluble species. Finally, we developed an assay to assess whether neurons expressing E46K aSyn affect the survival of neighboring control neurons. Although we identified a minor non–cell-autonomous component spatially restricted to proximal neurons, most E46K aSyn toxicity was cell autonomous. Thus, we have been able to recapitulate the toxicity of soluble aSyn species at a stage preceding aggregation, detecting non–cell-autonomous toxicity and evaluating how some of the main aSyn hallmarks are related to neuronal survival.&quot;,&quot;issue&quot;:&quot;39&quot;,&quot;volume&quot;:&quot;114&quot;,&quot;container-title-short&quot;:&quot;Proc Natl Acad Sci U S A&quot;},&quot;isTemporary&quot;:false}]},{&quot;citationID&quot;:&quot;MENDELEY_CITATION_750b84b6-e94b-4748-954c-52950ecd09d3&quot;,&quot;properties&quot;:{&quot;noteIndex&quot;:0},&quot;isEdited&quot;:false,&quot;manualOverride&quot;:{&quot;isManuallyOverridden&quot;:false,&quot;citeprocText&quot;:&quot;[6]&quot;,&quot;manualOverrideText&quot;:&quot;&quot;},&quot;citationTag&quot;:&quot;MENDELEY_CITATION_v3_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&quot;,&quot;citationItems&quot;:[{&quot;id&quot;:&quot;075d8b17-6055-3ebf-bc04-316d5439d2cb&quot;,&quot;itemData&quot;:{&quot;type&quot;:&quot;article-journal&quot;,&quot;id&quot;:&quot;075d8b17-6055-3ebf-bc04-316d5439d2cb&quot;,&quot;title&quot;:&quot;N-terminal acetylation mutants affect alpha-synuclein stability, protein levels and neuronal toxicity&quot;,&quot;author&quot;:[{&quot;family&quot;:&quot;Vinueza-Gavilanes&quot;,&quot;given&quot;:&quot;Rodrigo&quot;,&quot;parse-names&quot;:false,&quot;dropping-particle&quot;:&quot;&quot;,&quot;non-dropping-particle&quot;:&quot;&quot;},{&quot;family&quot;:&quot;Íñigo-Marco&quot;,&quot;given&quot;:&quot;Ignacio&quot;,&quot;parse-names&quot;:false,&quot;dropping-particle&quot;:&quot;&quot;,&quot;non-dropping-particle&quot;:&quot;&quot;},{&quot;family&quot;:&quot;Larrea&quot;,&quot;given&quot;:&quot;Laura&quot;,&quot;parse-names&quot;:false,&quot;dropping-particle&quot;:&quot;&quot;,&quot;non-dropping-particle&quot;:&quot;&quot;},{&quot;family&quot;:&quot;Lasa&quot;,&quot;given&quot;:&quot;Marta&quot;,&quot;parse-names&quot;:false,&quot;dropping-particle&quot;:&quot;&quot;,&quot;non-dropping-particle&quot;:&quot;&quot;},{&quot;family&quot;:&quot;Carte&quot;,&quot;given&quot;:&quot;Beatriz&quot;,&quot;parse-names&quot;:false,&quot;dropping-particle&quot;:&quot;&quot;,&quot;non-dropping-particle&quot;:&quot;&quot;},{&quot;family&quot;:&quot;Santamaría&quot;,&quot;given&quot;:&quot;Enrique&quot;,&quot;parse-names&quot;:false,&quot;dropping-particle&quot;:&quot;&quot;,&quot;non-dropping-particle&quot;:&quot;&quot;},{&quot;family&quot;:&quot;Fernández-Irigoyen&quot;,&quot;given&quot;:&quot;Joaquín&quot;,&quot;parse-names&quot;:false,&quot;dropping-particle&quot;:&quot;&quot;,&quot;non-dropping-particle&quot;:&quot;&quot;},{&quot;family&quot;:&quot;Bugallo&quot;,&quot;given&quot;:&quot;Ricardo&quot;,&quot;parse-names&quot;:false,&quot;dropping-particle&quot;:&quot;&quot;,&quot;non-dropping-particle&quot;:&quot;&quot;},{&quot;family&quot;:&quot;Aragón&quot;,&quot;given&quot;:&quot;Tomás&quot;,&quot;parse-names&quot;:false,&quot;dropping-particle&quot;:&quot;&quot;,&quot;non-dropping-particle&quot;:&quot;&quot;},{&quot;family&quot;:&quot;Aldabe&quot;,&quot;given&quot;:&quot;Rafael&quot;,&quot;parse-names&quot;:false,&quot;dropping-particle&quot;:&quot;&quot;,&quot;non-dropping-particle&quot;:&quot;&quot;},{&quot;family&quot;:&quot;Arrasate&quot;,&quot;given&quot;:&quot;Montserrat&quot;,&quot;parse-names&quot;:false,&quot;dropping-particle&quot;:&quot;&quot;,&quot;non-dropping-particle&quot;:&quot;&quot;}],&quot;container-title&quot;:&quot;Neurobiology of Disease&quot;,&quot;DOI&quot;:&quot;10.1016/j.nbd.2020.104781&quot;,&quot;ISSN&quot;:&quot;1095953X&quot;,&quot;issued&quot;:{&quot;date-parts&quot;:[[2020,4]]},&quot;page&quot;:&quot;104781&quot;,&quot;abstract&quot;:&quot;Alpha-synuclein (aSyn) protein levels are sufficient to drive Parkinson's disease (PD) and other synucleinopathies. Despite the biomedical/therapeutic potential of aSyn protein regulation, little is known about mechanisms that limit/control aSyn levels. Here, we investigate the role of a post-translational modification, N-terminal acetylation, in aSyn neurotoxicity. N-terminal acetylation occurs in all aSyn molecules and has been proposed to determine its lipid binding and aggregation capacities; however, its effect in aSyn stability/neurotoxicity has not been evaluated. We generated N-terminal mutants that alter or block physiological aSyn N-terminal acetylation in wild-type or pathological mutant E46K aSyn versions and confirmed N-terminal acetylation status by mass spectrometry. By optical pulse-labeling in living primary neurons we documented a reduced half-life and accumulation of aSyn N-terminal mutants. To analyze the effect of N-terminal acetylation mutants in neuronal toxicity we took advantage of a neuronal model where aSyn toxicity was scored by longitudinal survival analysis. Salient features of aSyn neurotoxicity were previously investigated with this approach. aSyn-dependent neuronal death was recapitulated either by higher aSyn protein levels in the case of WT aSyn, or by the combined effect of protein levels and enhanced neurotoxicity conveyed by the E46K mutation. aSyn N-terminal mutations decreased E46K aSyn-dependent neuronal death both by reducing protein levels and, importantly, by reducing the intrinsic E46K aSyn toxicity, being the D2P mutant the least toxic. Together, our results illustrate that the N-terminus determines, most likely through its acetylation, aSyn protein levels and toxicity, identifying this modification as a potential therapeutic target.&quot;,&quot;publisher&quot;:&quot;Academic Press Inc.&quot;,&quot;volume&quot;:&quot;137&quot;,&quot;container-title-short&quot;:&quot;Neurobiol Dis&quot;},&quot;isTemporary&quot;:false}]},{&quot;citationID&quot;:&quot;MENDELEY_CITATION_79a55685-13d3-49b2-822b-12fd55f1741c&quot;,&quot;properties&quot;:{&quot;noteIndex&quot;:0},&quot;isEdited&quot;:false,&quot;manualOverride&quot;:{&quot;isManuallyOverridden&quot;:false,&quot;citeprocText&quot;:&quot;[7]&quot;,&quot;manualOverrideText&quot;:&quot;&quot;},&quot;citationTag&quot;:&quot;MENDELEY_CITATION_v3_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&quot;,&quot;citationItems&quot;:[{&quot;id&quot;:&quot;e52d4b60-5374-3554-8808-97897a1dce8f&quot;,&quot;itemData&quot;:{&quot;type&quot;:&quot;article-journal&quot;,&quot;id&quot;:&quot;e52d4b60-5374-3554-8808-97897a1dce8f&quot;,&quot;title&quot;:&quot;Discovery of 7-methyl-5-(1-{[3-(trifluoromethyl)phenyl]acetyl}-2,3-dihydro-1H-indol-5-yl)-7H-p yrrolo[2,3-d]pyrimidin-4-amine (GSK2606414), a potent and selective first-in-class inhibitor of protein kinase R (PKR)-like endoplasmic reticulum kinase (PERK)&quot;,&quot;author&quot;:[{&quot;family&quot;:&quot;Axten&quot;,&quot;given&quot;:&quot;J M&quot;,&quot;parse-names&quot;:false,&quot;dropping-particle&quot;:&quot;&quot;,&quot;non-dropping-particle&quot;:&quot;&quot;},{&quot;family&quot;:&quot;Medina&quot;,&quot;given&quot;:&quot;J R&quot;,&quot;parse-names&quot;:false,&quot;dropping-particle&quot;:&quot;&quot;,&quot;non-dropping-particle&quot;:&quot;&quot;},{&quot;family&quot;:&quot;Feng&quot;,&quot;given&quot;:&quot;Y&quot;,&quot;parse-names&quot;:false,&quot;dropping-particle&quot;:&quot;&quot;,&quot;non-dropping-particle&quot;:&quot;&quot;},{&quot;family&quot;:&quot;Shu&quot;,&quot;given&quot;:&quot;A&quot;,&quot;parse-names&quot;:false,&quot;dropping-particle&quot;:&quot;&quot;,&quot;non-dropping-particle&quot;:&quot;&quot;},{&quot;family&quot;:&quot;Romeril&quot;,&quot;given&quot;:&quot;S P&quot;,&quot;parse-names&quot;:false,&quot;dropping-particle&quot;:&quot;&quot;,&quot;non-dropping-particle&quot;:&quot;&quot;},{&quot;family&quot;:&quot;Grant&quot;,&quot;given&quot;:&quot;S W&quot;,&quot;parse-names&quot;:false,&quot;dropping-particle&quot;:&quot;&quot;,&quot;non-dropping-particle&quot;:&quot;&quot;},{&quot;family&quot;:&quot;Li&quot;,&quot;given&quot;:&quot;W H&quot;,&quot;parse-names&quot;:false,&quot;dropping-particle&quot;:&quot;&quot;,&quot;non-dropping-particle&quot;:&quot;&quot;},{&quot;family&quot;:&quot;Heerding&quot;,&quot;given&quot;:&quot;D A&quot;,&quot;parse-names&quot;:false,&quot;dropping-particle&quot;:&quot;&quot;,&quot;non-dropping-particle&quot;:&quot;&quot;},{&quot;family&quot;:&quot;Minthorn&quot;,&quot;given&quot;:&quot;E&quot;,&quot;parse-names&quot;:false,&quot;dropping-particle&quot;:&quot;&quot;,&quot;non-dropping-particle&quot;:&quot;&quot;},{&quot;family&quot;:&quot;Mencken&quot;,&quot;given&quot;:&quot;T&quot;,&quot;parse-names&quot;:false,&quot;dropping-particle&quot;:&quot;&quot;,&quot;non-dropping-particle&quot;:&quot;&quot;},{&quot;family&quot;:&quot;Atkins&quot;,&quot;given&quot;:&quot;C&quot;,&quot;parse-names&quot;:false,&quot;dropping-particle&quot;:&quot;&quot;,&quot;non-dropping-particle&quot;:&quot;&quot;},{&quot;family&quot;:&quot;Liu&quot;,&quot;given&quot;:&quot;Q&quot;,&quot;parse-names&quot;:false,&quot;dropping-particle&quot;:&quot;&quot;,&quot;non-dropping-particle&quot;:&quot;&quot;},{&quot;family&quot;:&quot;Rabindran&quot;,&quot;given&quot;:&quot;S&quot;,&quot;parse-names&quot;:false,&quot;dropping-particle&quot;:&quot;&quot;,&quot;non-dropping-particle&quot;:&quot;&quot;},{&quot;family&quot;:&quot;Kumar&quot;,&quot;given&quot;:&quot;R&quot;,&quot;parse-names&quot;:false,&quot;dropping-particle&quot;:&quot;&quot;,&quot;non-dropping-particle&quot;:&quot;&quot;},{&quot;family&quot;:&quot;Hong&quot;,&quot;given&quot;:&quot;X&quot;,&quot;parse-names&quot;:false,&quot;dropping-particle&quot;:&quot;&quot;,&quot;non-dropping-particle&quot;:&quot;&quot;},{&quot;family&quot;:&quot;Goetz&quot;,&quot;given&quot;:&quot;A&quot;,&quot;parse-names&quot;:false,&quot;dropping-particle&quot;:&quot;&quot;,&quot;non-dropping-particle&quot;:&quot;&quot;},{&quot;family&quot;:&quot;Stanley&quot;,&quot;given&quot;:&quot;T&quot;,&quot;parse-names&quot;:false,&quot;dropping-particle&quot;:&quot;&quot;,&quot;non-dropping-particle&quot;:&quot;&quot;},{&quot;family&quot;:&quot;Taylor&quot;,&quot;given&quot;:&quot;J D&quot;,&quot;parse-names&quot;:false,&quot;dropping-particle&quot;:&quot;&quot;,&quot;non-dropping-particle&quot;:&quot;&quot;},{&quot;family&quot;:&quot;Sigethy&quot;,&quot;given&quot;:&quot;S D&quot;,&quot;parse-names&quot;:false,&quot;dropping-particle&quot;:&quot;&quot;,&quot;non-dropping-particle&quot;:&quot;&quot;},{&quot;family&quot;:&quot;Tomberlin&quot;,&quot;given&quot;:&quot;G H&quot;,&quot;parse-names&quot;:false,&quot;dropping-particle&quot;:&quot;&quot;,&quot;non-dropping-particle&quot;:&quot;&quot;},{&quot;family&quot;:&quot;Hassell&quot;,&quot;given&quot;:&quot;A M&quot;,&quot;parse-names&quot;:false,&quot;dropping-particle&quot;:&quot;&quot;,&quot;non-dropping-particle&quot;:&quot;&quot;},{&quot;family&quot;:&quot;Kahler&quot;,&quot;given&quot;:&quot;K M&quot;,&quot;parse-names&quot;:false,&quot;dropping-particle&quot;:&quot;&quot;,&quot;non-dropping-particle&quot;:&quot;&quot;},{&quot;family&quot;:&quot;Shewchuk&quot;,&quot;given&quot;:&quot;L M&quot;,&quot;parse-names&quot;:false,&quot;dropping-particle&quot;:&quot;&quot;,&quot;non-dropping-particle&quot;:&quot;&quot;},{&quot;family&quot;:&quot;Gampe&quot;,&quot;given&quot;:&quot;R T&quot;,&quot;parse-names&quot;:false,&quot;dropping-particle&quot;:&quot;&quot;,&quot;non-dropping-particle&quot;:&quot;&quot;}],&quot;container-title&quot;:&quot;J Med Chem&quot;,&quot;DOI&quot;:&quot;10.1021/jm300713s&quot;,&quot;ISBN&quot;:&quot;1520-4804 (Electronic)\r0022-2623 (Linking)&quot;,&quot;PMID&quot;:&quot;22827572&quot;,&quot;URL&quot;:&quot;http://www.ncbi.nlm.nih.gov/entrez/query.fcgi?cmd=Retrieve&amp;db=PubMed&amp;dopt=Citation&amp;list_uids=22827572&quot;,&quot;issued&quot;:{&quot;date-parts&quot;:[[2012]]},&quot;page&quot;:&quot;7193-7207&quot;,&quot;language&quot;:&quot;eng&quot;,&quot;abstract&quot;:&quot;Protein kinase R (PKR)-like endoplasmic reticulum kinase (PERK) is activated in response to a variety of endoplasmic reticulum stresses implicated in numerous disease states. Evidence that PERK is implicated in tumorigenesis and cancer cell survival stimulated our search for small molecule inhibitors. Through screening and lead optimization using the human PERK crystal structure, we discovered compound 38 (GSK2606414), an orally available, potent, and selective PERK inhibitor. Compound 38 inhibits PERK activation in cells and inhibits the growth of a human tumor xenograft in mice.&quot;,&quot;edition&quot;:&quot;2012/07/26&quot;,&quot;issue&quot;:&quot;16&quot;,&quot;volume&quot;:&quot;55&quot;,&quot;container-title-short&quot;:&quot;&quot;},&quot;isTemporary&quot;:false}]},{&quot;citationID&quot;:&quot;MENDELEY_CITATION_fe39be53-ea3e-4e9d-8078-2658c8d04793&quot;,&quot;properties&quot;:{&quot;noteIndex&quot;:0},&quot;isEdited&quot;:false,&quot;manualOverride&quot;:{&quot;isManuallyOverridden&quot;:false,&quot;citeprocText&quot;:&quot;[8]&quot;,&quot;manualOverrideText&quot;:&quot;&quot;},&quot;citationTag&quot;:&quot;MENDELEY_CITATION_v3_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&quot;,&quot;citationItems&quot;:[{&quot;id&quot;:&quot;3bd21c12-7a5c-34ae-a4d2-3723174c2921&quot;,&quot;itemData&quot;:{&quot;type&quot;:&quot;article-journal&quot;,&quot;id&quot;:&quot;3bd21c12-7a5c-34ae-a4d2-3723174c2921&quot;,&quot;title&quot;:&quot;Inhibition of GCN2 sensitizes ASNS-low cancer cells to asparaginase by disrupting the amino acid response&quot;,&quot;author&quot;:[{&quot;family&quot;:&quot;Nakamura&quot;,&quot;given&quot;:&quot;Akito&quot;,&quot;parse-names&quot;:false,&quot;dropping-particle&quot;:&quot;&quot;,&quot;non-dropping-particle&quot;:&quot;&quot;},{&quot;family&quot;:&quot;Nambu&quot;,&quot;given&quot;:&quot;Tadahiro&quot;,&quot;parse-names&quot;:false,&quot;dropping-particle&quot;:&quot;&quot;,&quot;non-dropping-particle&quot;:&quot;&quot;},{&quot;family&quot;:&quot;Ebara&quot;,&quot;given&quot;:&quot;Shunsuke&quot;,&quot;parse-names&quot;:false,&quot;dropping-particle&quot;:&quot;&quot;,&quot;non-dropping-particle&quot;:&quot;&quot;},{&quot;family&quot;:&quot;Hasegawa&quot;,&quot;given&quot;:&quot;Yuka&quot;,&quot;parse-names&quot;:false,&quot;dropping-particle&quot;:&quot;&quot;,&quot;non-dropping-particle&quot;:&quot;&quot;},{&quot;family&quot;:&quot;Toyoshima&quot;,&quot;given&quot;:&quot;Kosei&quot;,&quot;parse-names&quot;:false,&quot;dropping-particle&quot;:&quot;&quot;,&quot;non-dropping-particle&quot;:&quot;&quot;},{&quot;family&quot;:&quot;Tsuchiya&quot;,&quot;given&quot;:&quot;Yasuko&quot;,&quot;parse-names&quot;:false,&quot;dropping-particle&quot;:&quot;&quot;,&quot;non-dropping-particle&quot;:&quot;&quot;},{&quot;family&quot;:&quot;Tomita&quot;,&quot;given&quot;:&quot;Daisuke&quot;,&quot;parse-names&quot;:false,&quot;dropping-particle&quot;:&quot;&quot;,&quot;non-dropping-particle&quot;:&quot;&quot;},{&quot;family&quot;:&quot;Fujimoto&quot;,&quot;given&quot;:&quot;Jun&quot;,&quot;parse-names&quot;:false,&quot;dropping-particle&quot;:&quot;&quot;,&quot;non-dropping-particle&quot;:&quot;&quot;},{&quot;family&quot;:&quot;Kurasawa&quot;,&quot;given&quot;:&quot;Osamu&quot;,&quot;parse-names&quot;:false,&quot;dropping-particle&quot;:&quot;&quot;,&quot;non-dropping-particle&quot;:&quot;&quot;},{&quot;family&quot;:&quot;Takahara&quot;,&quot;given&quot;:&quot;Chisato&quot;,&quot;parse-names&quot;:false,&quot;dropping-particle&quot;:&quot;&quot;,&quot;non-dropping-particle&quot;:&quot;&quot;},{&quot;family&quot;:&quot;Ando&quot;,&quot;given&quot;:&quot;Ayumi&quot;,&quot;parse-names&quot;:false,&quot;dropping-particle&quot;:&quot;&quot;,&quot;non-dropping-particle&quot;:&quot;&quot;},{&quot;family&quot;:&quot;Nishigaki&quot;,&quot;given&quot;:&quot;Ryuichi&quot;,&quot;parse-names&quot;:false,&quot;dropping-particle&quot;:&quot;&quot;,&quot;non-dropping-particle&quot;:&quot;&quot;},{&quot;family&quot;:&quot;Satomi&quot;,&quot;given&quot;:&quot;Yoshinori&quot;,&quot;parse-names&quot;:false,&quot;dropping-particle&quot;:&quot;&quot;,&quot;non-dropping-particle&quot;:&quot;&quot;},{&quot;family&quot;:&quot;Hata&quot;,&quot;given&quot;:&quot;Akito&quot;,&quot;parse-names&quot;:false,&quot;dropping-particle&quot;:&quot;&quot;,&quot;non-dropping-particle&quot;:&quot;&quot;},{&quot;family&quot;:&quot;Hara&quot;,&quot;given&quot;:&quot;Takahito&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805523115&quot;,&quot;ISSN&quot;:&quot;10916490&quot;,&quot;PMID&quot;:&quot;30061420&quot;,&quot;issued&quot;:{&quot;date-parts&quot;:[[2018]]},&quot;page&quot;:&quot;E7776-E7785&quot;,&quot;abstract&quot;:&quot;General control nonderepressible 2 (GCN2) plays a major role in the cellular response to amino acid limitation. Although maintenance of amino acid homeostasis is critical for tumor growth, the contribution of GCN2 to cancer cell survival and proliferation is poorly understood. In this study, we generated GCN2 inhibitors and demonstrated that inhibition of GCN2 sensitizes cancer cells with low basal-level expression of asparagine synthetase (ASNS) to the antileukemic agent L-asparaginase (ASNase) in vitro and in vivo. We first tested acute lymphoblastic leukemia (ALL) cells and showed that treatment with GCN2 inhibitors rendered ALL cells sensitive to ASNase by preventing the induction of ASNS, resulting in reduced levels of de novo protein synthesis. Comprehensive gene-expression profiling revealed that combined treatment with ASNase and GCN2 inhibitors induced the stress-activated MAPK pathway, thereby triggering apoptosis. By using cell-panel analyses, we also showed that acute myelogenous leukemia and pancreatic cancer cells were highly sensitive to the combined treatment. Notably, basal ASNS expression at protein levels was significantly correlated with sensitivity to combined treatment. These results provide mechanistic insights into the role of GCN2 in the amino acid response and a rationale for further investigation of GCN2 inhibitors for the treatment of cancer.&quot;,&quot;issue&quot;:&quot;33&quot;,&quot;volume&quot;:&quot;115&quot;},&quot;isTemporary&quot;:false}]},{&quot;citationID&quot;:&quot;MENDELEY_CITATION_00c113c7-38cd-4a20-a407-98e9368b2cee&quot;,&quot;properties&quot;:{&quot;noteIndex&quot;:0},&quot;isEdited&quot;:false,&quot;manualOverride&quot;:{&quot;isManuallyOverridden&quot;:false,&quot;citeprocText&quot;:&quot;[9]&quot;,&quot;manualOverrideText&quot;:&quot;&quot;},&quot;citationTag&quot;:&quot;MENDELEY_CITATION_v3_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&quot;,&quot;citationItems&quot;:[{&quot;id&quot;:&quot;d05d795d-1e8c-3929-8d6d-95614458d120&quot;,&quot;itemData&quot;:{&quot;type&quot;:&quot;article-journal&quot;,&quot;id&quot;:&quot;d05d795d-1e8c-3929-8d6d-95614458d120&quot;,&quot;title&quot;:&quot;The integrated stress response contributes to tRNA synthetase-associated  peripheral neuropathy.&quot;,&quot;author&quot;:[{&quot;family&quot;:&quot;Spaulding&quot;,&quot;given&quot;:&quot;E L&quot;,&quot;parse-names&quot;:false,&quot;dropping-particle&quot;:&quot;&quot;,&quot;non-dropping-particle&quot;:&quot;&quot;},{&quot;family&quot;:&quot;Hines&quot;,&quot;given&quot;:&quot;T J&quot;,&quot;parse-names&quot;:false,&quot;dropping-particle&quot;:&quot;&quot;,&quot;non-dropping-particle&quot;:&quot;&quot;},{&quot;family&quot;:&quot;Bais&quot;,&quot;given&quot;:&quot;P&quot;,&quot;parse-names&quot;:false,&quot;dropping-particle&quot;:&quot;&quot;,&quot;non-dropping-particle&quot;:&quot;&quot;},{&quot;family&quot;:&quot;Tadenev&quot;,&quot;given&quot;:&quot;A L D&quot;,&quot;parse-names&quot;:false,&quot;dropping-particle&quot;:&quot;&quot;,&quot;non-dropping-particle&quot;:&quot;&quot;},{&quot;family&quot;:&quot;Schneider&quot;,&quot;given&quot;:&quot;R&quot;,&quot;parse-names&quot;:false,&quot;dropping-particle&quot;:&quot;&quot;,&quot;non-dropping-particle&quot;:&quot;&quot;},{&quot;family&quot;:&quot;Jewett&quot;,&quot;given&quot;:&quot;D&quot;,&quot;parse-names&quot;:false,&quot;dropping-particle&quot;:&quot;&quot;,&quot;non-dropping-particle&quot;:&quot;&quot;},{&quot;family&quot;:&quot;Pattavina&quot;,&quot;given&quot;:&quot;B&quot;,&quot;parse-names&quot;:false,&quot;dropping-particle&quot;:&quot;&quot;,&quot;non-dropping-particle&quot;:&quot;&quot;},{&quot;family&quot;:&quot;Pratt&quot;,&quot;given&quot;:&quot;S L&quot;,&quot;parse-names&quot;:false,&quot;dropping-particle&quot;:&quot;&quot;,&quot;non-dropping-particle&quot;:&quot;&quot;},{&quot;family&quot;:&quot;Morelli&quot;,&quot;given&quot;:&quot;K H&quot;,&quot;parse-names&quot;:false,&quot;dropping-particle&quot;:&quot;&quot;,&quot;non-dropping-particle&quot;:&quot;&quot;},{&quot;family&quot;:&quot;Stum&quot;,&quot;given&quot;:&quot;M G&quot;,&quot;parse-names&quot;:false,&quot;dropping-particle&quot;:&quot;&quot;,&quot;non-dropping-particle&quot;:&quot;&quot;},{&quot;family&quot;:&quot;Hill&quot;,&quot;given&quot;:&quot;D P&quot;,&quot;parse-names&quot;:false,&quot;dropping-particle&quot;:&quot;&quot;,&quot;non-dropping-particle&quot;:&quot;&quot;},{&quot;family&quot;:&quot;Gobet&quot;,&quot;given&quot;:&quot;C&quot;,&quot;parse-names&quot;:false,&quot;dropping-particle&quot;:&quot;&quot;,&quot;non-dropping-particle&quot;:&quot;&quot;},{&quot;family&quot;:&quot;Pipis&quot;,&quot;given&quot;:&quot;M&quot;,&quot;parse-names&quot;:false,&quot;dropping-particle&quot;:&quot;&quot;,&quot;non-dropping-particle&quot;:&quot;&quot;},{&quot;family&quot;:&quot;Reilly&quot;,&quot;given&quot;:&quot;M M&quot;,&quot;parse-names&quot;:false,&quot;dropping-particle&quot;:&quot;&quot;,&quot;non-dropping-particle&quot;:&quot;&quot;},{&quot;family&quot;:&quot;Jennings&quot;,&quot;given&quot;:&quot;M J&quot;,&quot;parse-names&quot;:false,&quot;dropping-particle&quot;:&quot;&quot;,&quot;non-dropping-particle&quot;:&quot;&quot;},{&quot;family&quot;:&quot;Horvath&quot;,&quot;given&quot;:&quot;R&quot;,&quot;parse-names&quot;:false,&quot;dropping-particle&quot;:&quot;&quot;,&quot;non-dropping-particle&quot;:&quot;&quot;},{&quot;family&quot;:&quot;Bai&quot;,&quot;given&quot;:&quot;Y&quot;,&quot;parse-names&quot;:false,&quot;dropping-particle&quot;:&quot;&quot;,&quot;non-dropping-particle&quot;:&quot;&quot;},{&quot;family&quot;:&quot;Shy&quot;,&quot;given&quot;:&quot;M E&quot;,&quot;parse-names&quot;:false,&quot;dropping-particle&quot;:&quot;&quot;,&quot;non-dropping-particle&quot;:&quot;&quot;},{&quot;family&quot;:&quot;Alvarez-Castelao&quot;,&quot;given&quot;:&quot;B&quot;,&quot;parse-names&quot;:false,&quot;dropping-particle&quot;:&quot;&quot;,&quot;non-dropping-particle&quot;:&quot;&quot;},{&quot;family&quot;:&quot;Schuman&quot;,&quot;given&quot;:&quot;E M&quot;,&quot;parse-names&quot;:false,&quot;dropping-particle&quot;:&quot;&quot;,&quot;non-dropping-particle&quot;:&quot;&quot;},{&quot;family&quot;:&quot;Bogdanik&quot;,&quot;given&quot;:&quot;L P&quot;,&quot;parse-names&quot;:false,&quot;dropping-particle&quot;:&quot;&quot;,&quot;non-dropping-particle&quot;:&quot;&quot;},{&quot;family&quot;:&quot;Storkebaum&quot;,&quot;given&quot;:&quot;E&quot;,&quot;parse-names&quot;:false,&quot;dropping-particle&quot;:&quot;&quot;,&quot;non-dropping-particle&quot;:&quot;&quot;},{&quot;family&quot;:&quot;Burgess&quot;,&quot;given&quot;:&quot;R W&quot;,&quot;parse-names&quot;:false,&quot;dropping-particle&quot;:&quot;&quot;,&quot;non-dropping-particle&quot;:&quot;&quot;}],&quot;container-title&quot;:&quot;Science (New York, N.Y.)&quot;,&quot;container-title-short&quot;:&quot;Science&quot;,&quot;DOI&quot;:&quot;10.1126/science.abb3414&quot;,&quot;ISSN&quot;:&quot;1095-9203 (Electronic)&quot;,&quot;PMID&quot;:&quot;34516839&quot;,&quot;issued&quot;:{&quot;date-parts&quot;:[[2021,9]]},&quot;page&quot;:&quot;1156-1161&quot;,&quot;language&quot;:&quot;eng&quot;,&quot;abstract&quot;:&quot;Dominant mutations in ubiquitously expressed transfer RNA (tRNA) synthetase genes  cause axonal peripheral neuropathy, accounting for at least six forms of Charcot-Marie-Tooth (CMT) disease. Genetic evidence in mouse and Drosophila models suggests a gain-of-function mechanism. In this study, we used in vivo, cell type–specific transcriptional and translational profiling to show that mutant tRNA synthetases activate the integrated stress response (ISR) through the sensor kinase GCN2 (general control nonderepressible 2). The chronic activation of the ISR contributed to the pathophysiology, and genetic deletion or pharmacological inhibition of Gcn2 alleviated the peripheral neuropathy. The activation of GCN2 suggests that the aberrant activity of the mutant tRNA synthetases is still related to translation and that inhibiting GCN2 or the ISR may represent a therapeutic strategy in CMT.&quot;,&quot;issue&quot;:&quot;6559&quot;,&quot;volume&quot;:&quot;373&quot;},&quot;isTemporary&quot;:false}]},{&quot;citationID&quot;:&quot;MENDELEY_CITATION_d8e37b19-e3a2-4a85-8a34-c5c5ec1a1d86&quot;,&quot;properties&quot;:{&quot;noteIndex&quot;:0},&quot;isEdited&quot;:false,&quot;manualOverride&quot;:{&quot;isManuallyOverridden&quot;:false,&quot;citeprocText&quot;:&quot;[5]&quot;,&quot;manualOverrideText&quot;:&quot;&quot;},&quot;citationTag&quot;:&quot;MENDELEY_CITATION_v3_eyJjaXRhdGlvbklEIjoiTUVOREVMRVlfQ0lUQVRJT05fZDhlMzdiMTktZTNhMi00YTg1LThhMzQtYzVjNWVjMWExZDg2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quot;,&quot;citationItems&quot;:[{&quot;id&quot;:&quot;c6e2a002-7619-36f4-be97-c7e377eb41da&quot;,&quot;itemData&quot;:{&quot;type&quot;:&quot;article-journal&quot;,&quot;id&quot;:&quot;c6e2a002-7619-36f4-be97-c7e377eb41da&quot;,&quot;title&quot;:&quot;E46K α-synuclein pathological mutation causes cell-autonomous toxicity without altering protein turnover or aggregation&quot;,&quot;author&quot;:[{&quot;family&quot;:&quot;Íñigo-Marco&quot;,&quot;given&quot;:&quot;Ignacio&quot;,&quot;parse-names&quot;:false,&quot;dropping-particle&quot;:&quot;&quot;,&quot;non-dropping-particle&quot;:&quot;&quot;},{&quot;family&quot;:&quot;Valencia&quot;,&quot;given&quot;:&quot;Miguel&quot;,&quot;parse-names&quot;:false,&quot;dropping-particle&quot;:&quot;&quot;,&quot;non-dropping-particle&quot;:&quot;&quot;},{&quot;family&quot;:&quot;Larrea&quot;,&quot;given&quot;:&quot;Laura&quot;,&quot;parse-names&quot;:false,&quot;dropping-particle&quot;:&quot;&quot;,&quot;non-dropping-particle&quot;:&quot;&quot;},{&quot;family&quot;:&quot;Bugallo&quot;,&quot;given&quot;:&quot;Ricardo&quot;,&quot;parse-names&quot;:false,&quot;dropping-particle&quot;:&quot;&quot;,&quot;non-dropping-particle&quot;:&quot;&quot;},{&quot;family&quot;:&quot;Martínez-Goikoetxea&quot;,&quot;given&quot;:&quot;Mikel&quot;,&quot;parse-names&quot;:false,&quot;dropping-particle&quot;:&quot;&quot;,&quot;non-dropping-particle&quot;:&quot;&quot;},{&quot;family&quot;:&quot;Zuriguel&quot;,&quot;given&quot;:&quot;Iker&quot;,&quot;parse-names&quot;:false,&quot;dropping-particle&quot;:&quot;&quot;,&quot;non-dropping-particle&quot;:&quot;&quot;},{&quot;family&quot;:&quot;Arrasate&quot;,&quot;given&quot;:&quot;Montserrat&quot;,&quot;parse-names&quot;:false,&quot;dropping-particle&quot;:&quot;&quot;,&quot;non-dropping-particle&quot;:&quot;&quot;}],&quot;container-title&quot;:&quot;Proceedings of the National Academy of Sciences of the United States of America&quot;,&quot;DOI&quot;:&quot;10.1073/pnas.1703420114&quot;,&quot;ISSN&quot;:&quot;10916490&quot;,&quot;issued&quot;:{&quot;date-parts&quot;:[[2017]]},&quot;page&quot;:&quot;E8274-E8283&quot;,&quot;abstract&quot;:&quot;α-Synuclein (aSyn) is the main driver of neurodegenerative diseases known as “synucleinopathies,” but the mechanisms underlying this toxicity remain poorly understood. To investigate aSyn toxic mechanisms, we have developed a primary neuronal model in which a longitudinal survival analysis can be performed by following the overexpression of fluorescently tagged WT or pathologically mutant aSyn constructs. Most aSyn mutations linked to neurodegenerative disease hindered neuronal survival in this model; of these mutations, the E46K mutation proved to be the most toxic. While E46K induced robust PLK2-dependent aSyn phosphorylation at serine 129, inhibiting this phosphorylation did not alleviate aSyn toxicity, strongly suggesting that this pathological hallmark of synucleinopathies is an epiphenomenon. Optical pulse-chase experiments with Dendra2-tagged aSyn versions indicated that the E46K mutation does not alter aSyn protein turnover. Moreover, since the mutation did not promote overt aSyn aggregation, we conclude that E46K toxicity was driven by soluble species. Finally, we developed an assay to assess whether neurons expressing E46K aSyn affect the survival of neighboring control neurons. Although we identified a minor non–cell-autonomous component spatially restricted to proximal neurons, most E46K aSyn toxicity was cell autonomous. Thus, we have been able to recapitulate the toxicity of soluble aSyn species at a stage preceding aggregation, detecting non–cell-autonomous toxicity and evaluating how some of the main aSyn hallmarks are related to neuronal survival.&quot;,&quot;issue&quot;:&quot;39&quot;,&quot;volume&quot;:&quot;114&quot;,&quot;container-title-short&quot;:&quot;Proc Natl Acad Sci U S A&quot;},&quot;isTemporary&quot;:false}]},{&quot;citationID&quot;:&quot;MENDELEY_CITATION_a1b4d54b-8845-46f6-b152-b0625dba5e42&quot;,&quot;properties&quot;:{&quot;noteIndex&quot;:0},&quot;isEdited&quot;:false,&quot;manualOverride&quot;:{&quot;isManuallyOverridden&quot;:false,&quot;citeprocText&quot;:&quot;[5]&quot;,&quot;manualOverrideText&quot;:&quot;&quot;},&quot;citationTag&quot;:&quot;MENDELEY_CITATION_v3_eyJjaXRhdGlvbklEIjoiTUVOREVMRVlfQ0lUQVRJT05fYTFiNGQ1NGItODg0NS00NmY2LWIxNTItYjA2MjVkYmE1ZTQy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quot;,&quot;citationItems&quot;:[{&quot;id&quot;:&quot;c6e2a002-7619-36f4-be97-c7e377eb41da&quot;,&quot;itemData&quot;:{&quot;type&quot;:&quot;article-journal&quot;,&quot;id&quot;:&quot;c6e2a002-7619-36f4-be97-c7e377eb41da&quot;,&quot;title&quot;:&quot;E46K α-synuclein pathological mutation causes cell-autonomous toxicity without altering protein turnover or aggregation&quot;,&quot;author&quot;:[{&quot;family&quot;:&quot;Íñigo-Marco&quot;,&quot;given&quot;:&quot;Ignacio&quot;,&quot;parse-names&quot;:false,&quot;dropping-particle&quot;:&quot;&quot;,&quot;non-dropping-particle&quot;:&quot;&quot;},{&quot;family&quot;:&quot;Valencia&quot;,&quot;given&quot;:&quot;Miguel&quot;,&quot;parse-names&quot;:false,&quot;dropping-particle&quot;:&quot;&quot;,&quot;non-dropping-particle&quot;:&quot;&quot;},{&quot;family&quot;:&quot;Larrea&quot;,&quot;given&quot;:&quot;Laura&quot;,&quot;parse-names&quot;:false,&quot;dropping-particle&quot;:&quot;&quot;,&quot;non-dropping-particle&quot;:&quot;&quot;},{&quot;family&quot;:&quot;Bugallo&quot;,&quot;given&quot;:&quot;Ricardo&quot;,&quot;parse-names&quot;:false,&quot;dropping-particle&quot;:&quot;&quot;,&quot;non-dropping-particle&quot;:&quot;&quot;},{&quot;family&quot;:&quot;Martínez-Goikoetxea&quot;,&quot;given&quot;:&quot;Mikel&quot;,&quot;parse-names&quot;:false,&quot;dropping-particle&quot;:&quot;&quot;,&quot;non-dropping-particle&quot;:&quot;&quot;},{&quot;family&quot;:&quot;Zuriguel&quot;,&quot;given&quot;:&quot;Iker&quot;,&quot;parse-names&quot;:false,&quot;dropping-particle&quot;:&quot;&quot;,&quot;non-dropping-particle&quot;:&quot;&quot;},{&quot;family&quot;:&quot;Arrasate&quot;,&quot;given&quot;:&quot;Montserrat&quot;,&quot;parse-names&quot;:false,&quot;dropping-particle&quot;:&quot;&quot;,&quot;non-dropping-particle&quot;:&quot;&quot;}],&quot;container-title&quot;:&quot;Proceedings of the National Academy of Sciences of the United States of America&quot;,&quot;DOI&quot;:&quot;10.1073/pnas.1703420114&quot;,&quot;ISSN&quot;:&quot;10916490&quot;,&quot;issued&quot;:{&quot;date-parts&quot;:[[2017]]},&quot;page&quot;:&quot;E8274-E8283&quot;,&quot;abstract&quot;:&quot;α-Synuclein (aSyn) is the main driver of neurodegenerative diseases known as “synucleinopathies,” but the mechanisms underlying this toxicity remain poorly understood. To investigate aSyn toxic mechanisms, we have developed a primary neuronal model in which a longitudinal survival analysis can be performed by following the overexpression of fluorescently tagged WT or pathologically mutant aSyn constructs. Most aSyn mutations linked to neurodegenerative disease hindered neuronal survival in this model; of these mutations, the E46K mutation proved to be the most toxic. While E46K induced robust PLK2-dependent aSyn phosphorylation at serine 129, inhibiting this phosphorylation did not alleviate aSyn toxicity, strongly suggesting that this pathological hallmark of synucleinopathies is an epiphenomenon. Optical pulse-chase experiments with Dendra2-tagged aSyn versions indicated that the E46K mutation does not alter aSyn protein turnover. Moreover, since the mutation did not promote overt aSyn aggregation, we conclude that E46K toxicity was driven by soluble species. Finally, we developed an assay to assess whether neurons expressing E46K aSyn affect the survival of neighboring control neurons. Although we identified a minor non–cell-autonomous component spatially restricted to proximal neurons, most E46K aSyn toxicity was cell autonomous. Thus, we have been able to recapitulate the toxicity of soluble aSyn species at a stage preceding aggregation, detecting non–cell-autonomous toxicity and evaluating how some of the main aSyn hallmarks are related to neuronal survival.&quot;,&quot;issue&quot;:&quot;39&quot;,&quot;volume&quot;:&quot;114&quot;,&quot;container-title-short&quot;:&quot;Proc Natl Acad Sci U S A&quot;},&quot;isTemporary&quot;:false}]},{&quot;citationID&quot;:&quot;MENDELEY_CITATION_678b7868-bf35-4f71-92d0-dc8887f85e0e&quot;,&quot;properties&quot;:{&quot;noteIndex&quot;:0},&quot;isEdited&quot;:false,&quot;manualOverride&quot;:{&quot;isManuallyOverridden&quot;:false,&quot;citeprocText&quot;:&quot;[6]&quot;,&quot;manualOverrideText&quot;:&quot;&quot;},&quot;citationTag&quot;:&quot;MENDELEY_CITATION_v3_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&quot;,&quot;citationItems&quot;:[{&quot;id&quot;:&quot;075d8b17-6055-3ebf-bc04-316d5439d2cb&quot;,&quot;itemData&quot;:{&quot;type&quot;:&quot;article-journal&quot;,&quot;id&quot;:&quot;075d8b17-6055-3ebf-bc04-316d5439d2cb&quot;,&quot;title&quot;:&quot;N-terminal acetylation mutants affect alpha-synuclein stability, protein levels and neuronal toxicity&quot;,&quot;author&quot;:[{&quot;family&quot;:&quot;Vinueza-Gavilanes&quot;,&quot;given&quot;:&quot;Rodrigo&quot;,&quot;parse-names&quot;:false,&quot;dropping-particle&quot;:&quot;&quot;,&quot;non-dropping-particle&quot;:&quot;&quot;},{&quot;family&quot;:&quot;Íñigo-Marco&quot;,&quot;given&quot;:&quot;Ignacio&quot;,&quot;parse-names&quot;:false,&quot;dropping-particle&quot;:&quot;&quot;,&quot;non-dropping-particle&quot;:&quot;&quot;},{&quot;family&quot;:&quot;Larrea&quot;,&quot;given&quot;:&quot;Laura&quot;,&quot;parse-names&quot;:false,&quot;dropping-particle&quot;:&quot;&quot;,&quot;non-dropping-particle&quot;:&quot;&quot;},{&quot;family&quot;:&quot;Lasa&quot;,&quot;given&quot;:&quot;Marta&quot;,&quot;parse-names&quot;:false,&quot;dropping-particle&quot;:&quot;&quot;,&quot;non-dropping-particle&quot;:&quot;&quot;},{&quot;family&quot;:&quot;Carte&quot;,&quot;given&quot;:&quot;Beatriz&quot;,&quot;parse-names&quot;:false,&quot;dropping-particle&quot;:&quot;&quot;,&quot;non-dropping-particle&quot;:&quot;&quot;},{&quot;family&quot;:&quot;Santamaría&quot;,&quot;given&quot;:&quot;Enrique&quot;,&quot;parse-names&quot;:false,&quot;dropping-particle&quot;:&quot;&quot;,&quot;non-dropping-particle&quot;:&quot;&quot;},{&quot;family&quot;:&quot;Fernández-Irigoyen&quot;,&quot;given&quot;:&quot;Joaquín&quot;,&quot;parse-names&quot;:false,&quot;dropping-particle&quot;:&quot;&quot;,&quot;non-dropping-particle&quot;:&quot;&quot;},{&quot;family&quot;:&quot;Bugallo&quot;,&quot;given&quot;:&quot;Ricardo&quot;,&quot;parse-names&quot;:false,&quot;dropping-particle&quot;:&quot;&quot;,&quot;non-dropping-particle&quot;:&quot;&quot;},{&quot;family&quot;:&quot;Aragón&quot;,&quot;given&quot;:&quot;Tomás&quot;,&quot;parse-names&quot;:false,&quot;dropping-particle&quot;:&quot;&quot;,&quot;non-dropping-particle&quot;:&quot;&quot;},{&quot;family&quot;:&quot;Aldabe&quot;,&quot;given&quot;:&quot;Rafael&quot;,&quot;parse-names&quot;:false,&quot;dropping-particle&quot;:&quot;&quot;,&quot;non-dropping-particle&quot;:&quot;&quot;},{&quot;family&quot;:&quot;Arrasate&quot;,&quot;given&quot;:&quot;Montserrat&quot;,&quot;parse-names&quot;:false,&quot;dropping-particle&quot;:&quot;&quot;,&quot;non-dropping-particle&quot;:&quot;&quot;}],&quot;container-title&quot;:&quot;Neurobiology of Disease&quot;,&quot;DOI&quot;:&quot;10.1016/j.nbd.2020.104781&quot;,&quot;ISSN&quot;:&quot;1095953X&quot;,&quot;issued&quot;:{&quot;date-parts&quot;:[[2020,4]]},&quot;page&quot;:&quot;104781&quot;,&quot;abstract&quot;:&quot;Alpha-synuclein (aSyn) protein levels are sufficient to drive Parkinson's disease (PD) and other synucleinopathies. Despite the biomedical/therapeutic potential of aSyn protein regulation, little is known about mechanisms that limit/control aSyn levels. Here, we investigate the role of a post-translational modification, N-terminal acetylation, in aSyn neurotoxicity. N-terminal acetylation occurs in all aSyn molecules and has been proposed to determine its lipid binding and aggregation capacities; however, its effect in aSyn stability/neurotoxicity has not been evaluated. We generated N-terminal mutants that alter or block physiological aSyn N-terminal acetylation in wild-type or pathological mutant E46K aSyn versions and confirmed N-terminal acetylation status by mass spectrometry. By optical pulse-labeling in living primary neurons we documented a reduced half-life and accumulation of aSyn N-terminal mutants. To analyze the effect of N-terminal acetylation mutants in neuronal toxicity we took advantage of a neuronal model where aSyn toxicity was scored by longitudinal survival analysis. Salient features of aSyn neurotoxicity were previously investigated with this approach. aSyn-dependent neuronal death was recapitulated either by higher aSyn protein levels in the case of WT aSyn, or by the combined effect of protein levels and enhanced neurotoxicity conveyed by the E46K mutation. aSyn N-terminal mutations decreased E46K aSyn-dependent neuronal death both by reducing protein levels and, importantly, by reducing the intrinsic E46K aSyn toxicity, being the D2P mutant the least toxic. Together, our results illustrate that the N-terminus determines, most likely through its acetylation, aSyn protein levels and toxicity, identifying this modification as a potential therapeutic target.&quot;,&quot;publisher&quot;:&quot;Academic Press Inc.&quot;,&quot;volume&quot;:&quot;137&quot;,&quot;container-title-short&quot;:&quot;Neurobiol Dis&quot;},&quot;isTemporary&quot;:false}]},{&quot;citationID&quot;:&quot;MENDELEY_CITATION_08fbbbb7-4011-4d33-aa29-93e1bbf84df2&quot;,&quot;properties&quot;:{&quot;noteIndex&quot;:0},&quot;isEdited&quot;:false,&quot;manualOverride&quot;:{&quot;isManuallyOverridden&quot;:false,&quot;citeprocText&quot;:&quot;[4]&quot;,&quot;manualOverrideText&quot;:&quot;&quot;},&quot;citationTag&quot;:&quot;MENDELEY_CITATION_v3_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&quot;,&quot;citationItems&quot;:[{&quot;id&quot;:&quot;3e2b8aa4-7bab-3a03-8013-1cff3f3b69f7&quot;,&quot;itemData&quot;:{&quot;type&quot;:&quot;article-journal&quot;,&quot;id&quot;:&quot;3e2b8aa4-7bab-3a03-8013-1cff3f3b69f7&quot;,&quot;title&quot;:&quot;Fine tuning of the unfolded protein response by ISRIB improves neuronal survival in  a model of amyotrophic lateral sclerosis.&quot;,&quot;author&quot;:[{&quot;family&quot;:&quot;Bugallo&quot;,&quot;given&quot;:&quot;Ricardo&quot;,&quot;parse-names&quot;:false,&quot;dropping-particle&quot;:&quot;&quot;,&quot;non-dropping-particle&quot;:&quot;&quot;},{&quot;family&quot;:&quot;Marlin&quot;,&quot;given&quot;:&quot;Elías&quot;,&quot;parse-names&quot;:false,&quot;dropping-particle&quot;:&quot;&quot;,&quot;non-dropping-particle&quot;:&quot;&quot;},{&quot;family&quot;:&quot;Baltanás&quot;,&quot;given&quot;:&quot;Ana&quot;,&quot;parse-names&quot;:false,&quot;dropping-particle&quot;:&quot;&quot;,&quot;non-dropping-particle&quot;:&quot;&quot;},{&quot;family&quot;:&quot;Toledo&quot;,&quot;given&quot;:&quot;Estefanía&quot;,&quot;parse-names&quot;:false,&quot;dropping-particle&quot;:&quot;&quot;,&quot;non-dropping-particle&quot;:&quot;&quot;},{&quot;family&quot;:&quot;Ferrero&quot;,&quot;given&quot;:&quot;Roberto&quot;,&quot;parse-names&quot;:false,&quot;dropping-particle&quot;:&quot;&quot;,&quot;non-dropping-particle&quot;:&quot;&quot;},{&quot;family&quot;:&quot;Vinueza-Gavilanes&quot;,&quot;given&quot;:&quot;Rodrigo&quot;,&quot;parse-names&quot;:false,&quot;dropping-particle&quot;:&quot;&quot;,&quot;non-dropping-particle&quot;:&quot;&quot;},{&quot;family&quot;:&quot;Larrea&quot;,&quot;given&quot;:&quot;Laura&quot;,&quot;parse-names&quot;:false,&quot;dropping-particle&quot;:&quot;&quot;,&quot;non-dropping-particle&quot;:&quot;&quot;},{&quot;family&quot;:&quot;Arrasate&quot;,&quot;given&quot;:&quot;Montserrat&quot;,&quot;parse-names&quot;:false,&quot;dropping-particle&quot;:&quot;&quot;,&quot;non-dropping-particle&quot;:&quot;&quot;},{&quot;family&quot;:&quot;Aragón&quot;,&quot;given&quot;:&quot;Tomás&quot;,&quot;parse-names&quot;:false,&quot;dropping-particle&quot;:&quot;&quot;,&quot;non-dropping-particle&quot;:&quot;&quot;}],&quot;container-title&quot;:&quot;Cell death &amp; disease&quot;,&quot;DOI&quot;:&quot;10.1038/s41419-020-2601-2&quot;,&quot;ISSN&quot;:&quot;2041-4889 (Electronic)&quot;,&quot;PMID&quot;:&quot;32457286&quot;,&quot;issued&quot;:{&quot;date-parts&quot;:[[2020,5]]},&quot;page&quot;:&quot;397&quot;,&quot;language&quot;:&quot;eng&quot;,&quot;abstract&quot;:&quot;Loss of protein folding homeostasis features many of the most prevalent  neurodegenerative disorders. As coping mechanism to folding stress within the endoplasmic reticulum (ER), the unfolded protein response (UPR) comprises a set of signaling mechanisms that initiate a gene expression program to restore proteostasis, or when stress is chronic or overwhelming promote neuronal death. This fate-defining capacity of the UPR has been proposed to play a key role in amyotrophic lateral sclerosis (ALS). However, the several genetic or pharmacological attempts to explore the therapeutic potential of UPR modulation have produced conflicting observations. In order to establish the precise relationship between UPR signaling and neuronal death in ALS, we have developed a neuronal model where the toxicity of a familial ALS-causing allele (mutant G93A SOD1) and UPR activation can be longitudinally monitored in single neurons over the process of neurodegeneration by automated microscopy. Using fluorescent UPR reporters we established the temporal and causal relationship between UPR and neuronal death by Cox regression models. Pharmacological inhibition of discrete UPR processes allowed us to establish the contribution of PERK (PKR-like ER kinase) and IRE1 (inositol-requiring enzyme-1) mechanisms to neuronal fate. Importantly, inhibition of PERK signaling with its downstream inhibitor ISRIB, but not with the direct PERK kinase inhibitor GSK2606414, significantly enhanced the survival of G93A SOD1-expressing neurons. Characterization of the inhibitory properties of both drugs under ER stress revealed that in neurons (but not in glial cells) ISRIB overruled only part of the translational program imposed by PERK, relieving the general inhibition of translation, but maintaining the privileged translation of ATF4 (activating transcription factor 4) messenger RNA. Surprisingly, the fine-tuning of the PERK output in G93A SOD1-expressing neurons led to a reduction of IRE1-dependent signaling. Together, our findings identify ISRIB-mediated translational reprogramming as a new potential ALS therapy.&quot;,&quot;issue&quot;:&quot;5&quot;,&quot;volume&quot;:&quot;11&quot;,&quot;container-title-short&quot;:&quot;Cell Death Dis&quot;},&quot;isTemporary&quot;:false}]},{&quot;citationID&quot;:&quot;MENDELEY_CITATION_01f35012-e6ec-4979-b07e-37f47de494f4&quot;,&quot;properties&quot;:{&quot;noteIndex&quot;:0},&quot;isEdited&quot;:false,&quot;manualOverride&quot;:{&quot;isManuallyOverridden&quot;:false,&quot;citeprocText&quot;:&quot;[5]&quot;,&quot;manualOverrideText&quot;:&quot;&quot;},&quot;citationTag&quot;:&quot;MENDELEY_CITATION_v3_eyJjaXRhdGlvbklEIjoiTUVOREVMRVlfQ0lUQVRJT05fMDFmMzUwMTItZTZlYy00OTc5LWIwN2UtMzdmNDdkZTQ5NGY0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quot;,&quot;citationItems&quot;:[{&quot;id&quot;:&quot;c6e2a002-7619-36f4-be97-c7e377eb41da&quot;,&quot;itemData&quot;:{&quot;type&quot;:&quot;article-journal&quot;,&quot;id&quot;:&quot;c6e2a002-7619-36f4-be97-c7e377eb41da&quot;,&quot;title&quot;:&quot;E46K α-synuclein pathological mutation causes cell-autonomous toxicity without altering protein turnover or aggregation&quot;,&quot;author&quot;:[{&quot;family&quot;:&quot;Íñigo-Marco&quot;,&quot;given&quot;:&quot;Ignacio&quot;,&quot;parse-names&quot;:false,&quot;dropping-particle&quot;:&quot;&quot;,&quot;non-dropping-particle&quot;:&quot;&quot;},{&quot;family&quot;:&quot;Valencia&quot;,&quot;given&quot;:&quot;Miguel&quot;,&quot;parse-names&quot;:false,&quot;dropping-particle&quot;:&quot;&quot;,&quot;non-dropping-particle&quot;:&quot;&quot;},{&quot;family&quot;:&quot;Larrea&quot;,&quot;given&quot;:&quot;Laura&quot;,&quot;parse-names&quot;:false,&quot;dropping-particle&quot;:&quot;&quot;,&quot;non-dropping-particle&quot;:&quot;&quot;},{&quot;family&quot;:&quot;Bugallo&quot;,&quot;given&quot;:&quot;Ricardo&quot;,&quot;parse-names&quot;:false,&quot;dropping-particle&quot;:&quot;&quot;,&quot;non-dropping-particle&quot;:&quot;&quot;},{&quot;family&quot;:&quot;Martínez-Goikoetxea&quot;,&quot;given&quot;:&quot;Mikel&quot;,&quot;parse-names&quot;:false,&quot;dropping-particle&quot;:&quot;&quot;,&quot;non-dropping-particle&quot;:&quot;&quot;},{&quot;family&quot;:&quot;Zuriguel&quot;,&quot;given&quot;:&quot;Iker&quot;,&quot;parse-names&quot;:false,&quot;dropping-particle&quot;:&quot;&quot;,&quot;non-dropping-particle&quot;:&quot;&quot;},{&quot;family&quot;:&quot;Arrasate&quot;,&quot;given&quot;:&quot;Montserrat&quot;,&quot;parse-names&quot;:false,&quot;dropping-particle&quot;:&quot;&quot;,&quot;non-dropping-particle&quot;:&quot;&quot;}],&quot;container-title&quot;:&quot;Proceedings of the National Academy of Sciences of the United States of America&quot;,&quot;DOI&quot;:&quot;10.1073/pnas.1703420114&quot;,&quot;ISSN&quot;:&quot;10916490&quot;,&quot;issued&quot;:{&quot;date-parts&quot;:[[2017]]},&quot;page&quot;:&quot;E8274-E8283&quot;,&quot;abstract&quot;:&quot;α-Synuclein (aSyn) is the main driver of neurodegenerative diseases known as “synucleinopathies,” but the mechanisms underlying this toxicity remain poorly understood. To investigate aSyn toxic mechanisms, we have developed a primary neuronal model in which a longitudinal survival analysis can be performed by following the overexpression of fluorescently tagged WT or pathologically mutant aSyn constructs. Most aSyn mutations linked to neurodegenerative disease hindered neuronal survival in this model; of these mutations, the E46K mutation proved to be the most toxic. While E46K induced robust PLK2-dependent aSyn phosphorylation at serine 129, inhibiting this phosphorylation did not alleviate aSyn toxicity, strongly suggesting that this pathological hallmark of synucleinopathies is an epiphenomenon. Optical pulse-chase experiments with Dendra2-tagged aSyn versions indicated that the E46K mutation does not alter aSyn protein turnover. Moreover, since the mutation did not promote overt aSyn aggregation, we conclude that E46K toxicity was driven by soluble species. Finally, we developed an assay to assess whether neurons expressing E46K aSyn affect the survival of neighboring control neurons. Although we identified a minor non–cell-autonomous component spatially restricted to proximal neurons, most E46K aSyn toxicity was cell autonomous. Thus, we have been able to recapitulate the toxicity of soluble aSyn species at a stage preceding aggregation, detecting non–cell-autonomous toxicity and evaluating how some of the main aSyn hallmarks are related to neuronal survival.&quot;,&quot;issue&quot;:&quot;39&quot;,&quot;volume&quot;:&quot;114&quot;,&quot;container-title-short&quot;:&quot;Proc Natl Acad Sci U S A&quot;},&quot;isTemporary&quot;:false}]},{&quot;citationID&quot;:&quot;MENDELEY_CITATION_1294d456-9779-43ff-80df-299f2c4746b3&quot;,&quot;properties&quot;:{&quot;noteIndex&quot;:0},&quot;isEdited&quot;:false,&quot;manualOverride&quot;:{&quot;isManuallyOverridden&quot;:false,&quot;citeprocText&quot;:&quot;[5]&quot;,&quot;manualOverrideText&quot;:&quot;&quot;},&quot;citationTag&quot;:&quot;MENDELEY_CITATION_v3_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&quot;,&quot;citationItems&quot;:[{&quot;id&quot;:&quot;c6e2a002-7619-36f4-be97-c7e377eb41da&quot;,&quot;itemData&quot;:{&quot;type&quot;:&quot;article-journal&quot;,&quot;id&quot;:&quot;c6e2a002-7619-36f4-be97-c7e377eb41da&quot;,&quot;title&quot;:&quot;E46K α-synuclein pathological mutation causes cell-autonomous toxicity without altering protein turnover or aggregation&quot;,&quot;author&quot;:[{&quot;family&quot;:&quot;Íñigo-Marco&quot;,&quot;given&quot;:&quot;Ignacio&quot;,&quot;parse-names&quot;:false,&quot;dropping-particle&quot;:&quot;&quot;,&quot;non-dropping-particle&quot;:&quot;&quot;},{&quot;family&quot;:&quot;Valencia&quot;,&quot;given&quot;:&quot;Miguel&quot;,&quot;parse-names&quot;:false,&quot;dropping-particle&quot;:&quot;&quot;,&quot;non-dropping-particle&quot;:&quot;&quot;},{&quot;family&quot;:&quot;Larrea&quot;,&quot;given&quot;:&quot;Laura&quot;,&quot;parse-names&quot;:false,&quot;dropping-particle&quot;:&quot;&quot;,&quot;non-dropping-particle&quot;:&quot;&quot;},{&quot;family&quot;:&quot;Bugallo&quot;,&quot;given&quot;:&quot;Ricardo&quot;,&quot;parse-names&quot;:false,&quot;dropping-particle&quot;:&quot;&quot;,&quot;non-dropping-particle&quot;:&quot;&quot;},{&quot;family&quot;:&quot;Martínez-Goikoetxea&quot;,&quot;given&quot;:&quot;Mikel&quot;,&quot;parse-names&quot;:false,&quot;dropping-particle&quot;:&quot;&quot;,&quot;non-dropping-particle&quot;:&quot;&quot;},{&quot;family&quot;:&quot;Zuriguel&quot;,&quot;given&quot;:&quot;Iker&quot;,&quot;parse-names&quot;:false,&quot;dropping-particle&quot;:&quot;&quot;,&quot;non-dropping-particle&quot;:&quot;&quot;},{&quot;family&quot;:&quot;Arrasate&quot;,&quot;given&quot;:&quot;Montserrat&quot;,&quot;parse-names&quot;:false,&quot;dropping-particle&quot;:&quot;&quot;,&quot;non-dropping-particle&quot;:&quot;&quot;}],&quot;container-title&quot;:&quot;Proceedings of the National Academy of Sciences of the United States of America&quot;,&quot;DOI&quot;:&quot;10.1073/pnas.1703420114&quot;,&quot;ISSN&quot;:&quot;10916490&quot;,&quot;issued&quot;:{&quot;date-parts&quot;:[[2017]]},&quot;page&quot;:&quot;E8274-E8283&quot;,&quot;abstract&quot;:&quot;α-Synuclein (aSyn) is the main driver of neurodegenerative diseases known as “synucleinopathies,” but the mechanisms underlying this toxicity remain poorly understood. To investigate aSyn toxic mechanisms, we have developed a primary neuronal model in which a longitudinal survival analysis can be performed by following the overexpression of fluorescently tagged WT or pathologically mutant aSyn constructs. Most aSyn mutations linked to neurodegenerative disease hindered neuronal survival in this model; of these mutations, the E46K mutation proved to be the most toxic. While E46K induced robust PLK2-dependent aSyn phosphorylation at serine 129, inhibiting this phosphorylation did not alleviate aSyn toxicity, strongly suggesting that this pathological hallmark of synucleinopathies is an epiphenomenon. Optical pulse-chase experiments with Dendra2-tagged aSyn versions indicated that the E46K mutation does not alter aSyn protein turnover. Moreover, since the mutation did not promote overt aSyn aggregation, we conclude that E46K toxicity was driven by soluble species. Finally, we developed an assay to assess whether neurons expressing E46K aSyn affect the survival of neighboring control neurons. Although we identified a minor non–cell-autonomous component spatially restricted to proximal neurons, most E46K aSyn toxicity was cell autonomous. Thus, we have been able to recapitulate the toxicity of soluble aSyn species at a stage preceding aggregation, detecting non–cell-autonomous toxicity and evaluating how some of the main aSyn hallmarks are related to neuronal survival.&quot;,&quot;issue&quot;:&quot;39&quot;,&quot;volume&quot;:&quot;114&quot;,&quot;container-title-short&quot;:&quot;Proc Natl Acad Sci U S A&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C3E06F79-2428-466F-AD23-95707CB5A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7104</Words>
  <Characters>37298</Characters>
  <Application>Microsoft Office Word</Application>
  <DocSecurity>0</DocSecurity>
  <Lines>4144</Lines>
  <Paragraphs>2220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Montse Arrasate Iragui</dc:creator>
  <cp:keywords/>
  <dc:description/>
  <cp:lastModifiedBy>Montse Arrasate Iragui</cp:lastModifiedBy>
  <cp:revision>2</cp:revision>
  <cp:lastPrinted>2024-06-04T15:25:00Z</cp:lastPrinted>
  <dcterms:created xsi:type="dcterms:W3CDTF">2024-06-04T16:36:00Z</dcterms:created>
  <dcterms:modified xsi:type="dcterms:W3CDTF">2024-06-04T16:36:00Z</dcterms:modified>
</cp:coreProperties>
</file>