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val="0"/>
        <w:wordWrap/>
        <w:overflowPunct/>
        <w:topLinePunct w:val="0"/>
        <w:bidi w:val="0"/>
        <w:adjustRightInd w:val="0"/>
        <w:snapToGrid w:val="0"/>
        <w:spacing w:after="240" w:line="480" w:lineRule="auto"/>
        <w:jc w:val="both"/>
        <w:textAlignment w:val="auto"/>
        <w:rPr>
          <w:rFonts w:ascii="Times New Roman" w:hAnsi="Times New Roman" w:eastAsia="等线" w:cs="Times New Roman"/>
          <w:b/>
          <w:bCs/>
          <w:spacing w:val="-8"/>
          <w:sz w:val="28"/>
          <w:szCs w:val="28"/>
          <w:u w:val="none"/>
          <w:lang w:bidi="ar"/>
        </w:rPr>
      </w:pPr>
      <w:r>
        <w:rPr>
          <w:rFonts w:ascii="Times New Roman" w:hAnsi="Times New Roman" w:eastAsia="等线" w:cs="Times New Roman"/>
          <w:b/>
          <w:bCs/>
          <w:spacing w:val="-8"/>
          <w:sz w:val="28"/>
          <w:szCs w:val="28"/>
          <w:u w:val="none"/>
          <w:lang w:bidi="ar"/>
        </w:rPr>
        <w:t xml:space="preserve">Comprehensive </w:t>
      </w:r>
      <w:r>
        <w:rPr>
          <w:rFonts w:hint="default" w:ascii="Times New Roman" w:hAnsi="Times New Roman" w:eastAsia="等线" w:cs="Times New Roman"/>
          <w:b/>
          <w:bCs/>
          <w:spacing w:val="-8"/>
          <w:sz w:val="28"/>
          <w:szCs w:val="28"/>
          <w:u w:val="none"/>
        </w:rPr>
        <w:t>expanded</w:t>
      </w:r>
      <w:r>
        <w:rPr>
          <w:rFonts w:ascii="Times New Roman" w:hAnsi="Times New Roman" w:eastAsia="等线" w:cs="Times New Roman"/>
          <w:b/>
          <w:bCs/>
          <w:spacing w:val="-8"/>
          <w:sz w:val="28"/>
          <w:szCs w:val="28"/>
          <w:u w:val="none"/>
          <w:lang w:bidi="ar"/>
        </w:rPr>
        <w:t xml:space="preserve"> carrier screening using next-generation sequencing in Southern Chinese couples</w:t>
      </w:r>
    </w:p>
    <w:p>
      <w:pPr>
        <w:pStyle w:val="2"/>
      </w:pP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after="0" w:line="480" w:lineRule="auto"/>
        <w:textAlignment w:val="auto"/>
        <w:rPr>
          <w:rFonts w:hint="default" w:ascii="Times New Roman" w:hAnsi="Times New Roman" w:cs="Times New Roman"/>
          <w:u w:val="none"/>
        </w:rPr>
      </w:pPr>
      <w:r>
        <w:rPr>
          <w:rFonts w:hint="default" w:ascii="Times New Roman" w:hAnsi="Times New Roman" w:cs="Times New Roman"/>
          <w:u w:val="none"/>
        </w:rPr>
        <w:t>Criteria of disease selection of ECS panel</w:t>
      </w:r>
    </w:p>
    <w:p>
      <w:pPr>
        <w:pStyle w:val="12"/>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kern w:val="0"/>
          <w:sz w:val="24"/>
          <w:szCs w:val="24"/>
        </w:rPr>
      </w:pPr>
      <w:r>
        <w:rPr>
          <w:rFonts w:hint="default" w:ascii="Times New Roman" w:hAnsi="Times New Roman" w:eastAsia="宋体" w:cs="Times New Roman"/>
          <w:kern w:val="2"/>
          <w:sz w:val="24"/>
          <w:szCs w:val="24"/>
          <w:u w:val="none"/>
          <w:lang w:val="en-US" w:eastAsia="zh-CN" w:bidi="ar-SA"/>
        </w:rPr>
        <w:t>Several aspects were deliberated to determine the selection of conditions for ECS panel. The panel was designed to detect genes containing misalignment issues related to homology, including SMN1, HBA1/HBA2, GBA, CYP21A2, CYP21B1, VWF, DCRE1C, ALMS1, and IDS, according to the method described in our previews study</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"L1"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u w:val="none"/>
          <w:vertAlign w:val="baseline"/>
          <w:lang w:eastAsia="zh-CN"/>
        </w:rPr>
        <w:t xml:space="preserve"> [</w:t>
      </w:r>
      <w:r>
        <w:rPr>
          <w:rStyle w:val="11"/>
          <w:rFonts w:hint="default" w:ascii="Times New Roman" w:hAnsi="Times New Roman" w:cs="Times New Roman"/>
          <w:sz w:val="24"/>
          <w:szCs w:val="24"/>
          <w:u w:val="none"/>
          <w:vertAlign w:val="baseline"/>
        </w:rPr>
        <w:t>1]</w:t>
      </w:r>
      <w:r>
        <w:rPr>
          <w:rStyle w:val="11"/>
          <w:rFonts w:hint="default" w:ascii="Times New Roman" w:hAnsi="Times New Roman" w:cs="Times New Roman"/>
          <w:sz w:val="24"/>
          <w:szCs w:val="24"/>
          <w:u w:val="none"/>
          <w:vertAlign w:val="baseline"/>
        </w:rPr>
        <w:fldChar w:fldCharType="end"/>
      </w:r>
      <w:r>
        <w:rPr>
          <w:rFonts w:hint="default" w:ascii="Times New Roman" w:hAnsi="Times New Roman" w:cs="Times New Roman"/>
          <w:kern w:val="0"/>
          <w:sz w:val="24"/>
          <w:szCs w:val="24"/>
        </w:rPr>
        <w:t>. Firstly, conditions were satisfying the guidelines/recommendations of ACMG, ACOG, NSGC, PQF, and SMFM</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"L2" </w:instrText>
      </w:r>
      <w:r>
        <w:rPr>
          <w:rFonts w:hint="default" w:ascii="Times New Roman" w:hAnsi="Times New Roman" w:cs="Times New Roman"/>
          <w:sz w:val="24"/>
          <w:szCs w:val="24"/>
        </w:rPr>
        <w:fldChar w:fldCharType="separate"/>
      </w:r>
      <w:r>
        <w:rPr>
          <w:rStyle w:val="9"/>
          <w:rFonts w:hint="default" w:ascii="Times New Roman" w:hAnsi="Times New Roman" w:cs="Times New Roman"/>
          <w:kern w:val="0"/>
          <w:sz w:val="24"/>
          <w:szCs w:val="24"/>
          <w:u w:val="none"/>
          <w:vertAlign w:val="baseline"/>
          <w:lang w:eastAsia="zh-CN"/>
        </w:rPr>
        <w:t xml:space="preserve"> [</w:t>
      </w:r>
      <w:r>
        <w:rPr>
          <w:rStyle w:val="9"/>
          <w:rFonts w:hint="default" w:ascii="Times New Roman" w:hAnsi="Times New Roman" w:cs="Times New Roman"/>
          <w:kern w:val="0"/>
          <w:sz w:val="24"/>
          <w:szCs w:val="24"/>
          <w:u w:val="none"/>
          <w:vertAlign w:val="baseline"/>
        </w:rPr>
        <w:t>2]</w:t>
      </w:r>
      <w:r>
        <w:rPr>
          <w:rStyle w:val="11"/>
          <w:rFonts w:hint="default" w:ascii="Times New Roman" w:hAnsi="Times New Roman" w:cs="Times New Roman"/>
          <w:kern w:val="0"/>
          <w:sz w:val="24"/>
          <w:szCs w:val="24"/>
          <w:u w:val="none"/>
          <w:vertAlign w:val="baseline"/>
        </w:rPr>
        <w:fldChar w:fldCharType="end"/>
      </w:r>
      <w:r>
        <w:rPr>
          <w:rFonts w:hint="default" w:ascii="Times New Roman" w:hAnsi="Times New Roman" w:cs="Times New Roman"/>
          <w:kern w:val="0"/>
          <w:sz w:val="24"/>
          <w:szCs w:val="24"/>
        </w:rPr>
        <w:t>,</w:t>
      </w:r>
      <w:r>
        <w:rPr>
          <w:rFonts w:hint="default" w:ascii="Times New Roman" w:hAnsi="Times New Roman" w:cs="Times New Roman"/>
          <w:sz w:val="24"/>
          <w:szCs w:val="24"/>
        </w:rPr>
        <w:t xml:space="preserve"> </w:t>
      </w:r>
      <w:r>
        <w:rPr>
          <w:rFonts w:hint="default" w:ascii="Times New Roman" w:hAnsi="Times New Roman" w:cs="Times New Roman"/>
          <w:kern w:val="0"/>
          <w:sz w:val="24"/>
          <w:szCs w:val="24"/>
        </w:rPr>
        <w:t>as well as having a carrier frequency (CF) &gt;1/500 in any ethnicity</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"L3" </w:instrText>
      </w:r>
      <w:r>
        <w:rPr>
          <w:rFonts w:hint="default" w:ascii="Times New Roman" w:hAnsi="Times New Roman" w:cs="Times New Roman"/>
          <w:sz w:val="24"/>
          <w:szCs w:val="24"/>
        </w:rPr>
        <w:fldChar w:fldCharType="separate"/>
      </w:r>
      <w:r>
        <w:rPr>
          <w:rStyle w:val="11"/>
          <w:rFonts w:hint="default" w:ascii="Times New Roman" w:hAnsi="Times New Roman" w:cs="Times New Roman"/>
          <w:kern w:val="0"/>
          <w:sz w:val="24"/>
          <w:szCs w:val="24"/>
          <w:u w:val="none"/>
          <w:vertAlign w:val="baseline"/>
          <w:lang w:eastAsia="zh-CN"/>
        </w:rPr>
        <w:t xml:space="preserve"> [</w:t>
      </w:r>
      <w:r>
        <w:rPr>
          <w:rStyle w:val="11"/>
          <w:rFonts w:hint="default" w:ascii="Times New Roman" w:hAnsi="Times New Roman" w:cs="Times New Roman"/>
          <w:kern w:val="0"/>
          <w:sz w:val="24"/>
          <w:szCs w:val="24"/>
          <w:u w:val="none"/>
          <w:vertAlign w:val="baseline"/>
        </w:rPr>
        <w:t>3]</w:t>
      </w:r>
      <w:r>
        <w:rPr>
          <w:rStyle w:val="11"/>
          <w:rFonts w:hint="default" w:ascii="Times New Roman" w:hAnsi="Times New Roman" w:cs="Times New Roman"/>
          <w:kern w:val="0"/>
          <w:sz w:val="24"/>
          <w:szCs w:val="24"/>
          <w:u w:val="none"/>
          <w:vertAlign w:val="baseline"/>
        </w:rPr>
        <w:fldChar w:fldCharType="end"/>
      </w:r>
      <w:r>
        <w:rPr>
          <w:rFonts w:hint="default" w:ascii="Times New Roman" w:hAnsi="Times New Roman" w:cs="Times New Roman"/>
          <w:kern w:val="0"/>
          <w:sz w:val="24"/>
          <w:szCs w:val="24"/>
        </w:rPr>
        <w:t>.</w:t>
      </w:r>
      <w:r>
        <w:rPr>
          <w:rFonts w:hint="default" w:ascii="Times New Roman" w:hAnsi="Times New Roman" w:cs="Times New Roman"/>
          <w:sz w:val="24"/>
          <w:szCs w:val="24"/>
        </w:rPr>
        <w:t xml:space="preserve"> </w:t>
      </w:r>
      <w:r>
        <w:rPr>
          <w:rFonts w:hint="default" w:ascii="Times New Roman" w:hAnsi="Times New Roman" w:cs="Times New Roman"/>
          <w:kern w:val="0"/>
          <w:sz w:val="24"/>
          <w:szCs w:val="24"/>
        </w:rPr>
        <w:t>Secondly, we included severe childhood‐onset disorders with highly penetrant phenotypes, high‐prevalence monogenic diseases with moderate phenotypes, and disabilities that impact the quality of life for the entirety of the patient's life, such as severe hearing loss and blindness</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"L4" </w:instrText>
      </w:r>
      <w:r>
        <w:rPr>
          <w:rFonts w:hint="default" w:ascii="Times New Roman" w:hAnsi="Times New Roman" w:cs="Times New Roman"/>
          <w:sz w:val="24"/>
          <w:szCs w:val="24"/>
        </w:rPr>
        <w:fldChar w:fldCharType="separate"/>
      </w:r>
      <w:r>
        <w:rPr>
          <w:rStyle w:val="11"/>
          <w:rFonts w:hint="default" w:ascii="Times New Roman" w:hAnsi="Times New Roman" w:cs="Times New Roman"/>
          <w:kern w:val="0"/>
          <w:sz w:val="24"/>
          <w:szCs w:val="24"/>
          <w:u w:val="none"/>
          <w:vertAlign w:val="baseline"/>
          <w:lang w:eastAsia="zh-CN"/>
        </w:rPr>
        <w:t xml:space="preserve"> [</w:t>
      </w:r>
      <w:r>
        <w:rPr>
          <w:rStyle w:val="11"/>
          <w:rFonts w:hint="default" w:ascii="Times New Roman" w:hAnsi="Times New Roman" w:cs="Times New Roman"/>
          <w:kern w:val="0"/>
          <w:sz w:val="24"/>
          <w:szCs w:val="24"/>
          <w:u w:val="none"/>
          <w:vertAlign w:val="baseline"/>
        </w:rPr>
        <w:t>4]</w:t>
      </w:r>
      <w:r>
        <w:rPr>
          <w:rStyle w:val="11"/>
          <w:rFonts w:hint="default" w:ascii="Times New Roman" w:hAnsi="Times New Roman" w:cs="Times New Roman"/>
          <w:kern w:val="0"/>
          <w:sz w:val="24"/>
          <w:szCs w:val="24"/>
          <w:u w:val="none"/>
          <w:vertAlign w:val="baseline"/>
        </w:rPr>
        <w:fldChar w:fldCharType="end"/>
      </w:r>
      <w:r>
        <w:rPr>
          <w:rFonts w:hint="default" w:ascii="Times New Roman" w:hAnsi="Times New Roman" w:cs="Times New Roman"/>
          <w:kern w:val="0"/>
          <w:sz w:val="24"/>
          <w:szCs w:val="24"/>
        </w:rPr>
        <w:t>. Finally, the selected genes must be detected with NGS with a defined native detection rate and variants could be validated by methods like Sanger, MLPA, and qPCR.</w:t>
      </w:r>
    </w:p>
    <w:p>
      <w:pPr>
        <w:pStyle w:val="6"/>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sz w:val="24"/>
          <w:szCs w:val="24"/>
          <w:shd w:val="clear" w:color="auto" w:fill="FFFFFF"/>
          <w:lang w:bidi="ar"/>
        </w:rPr>
      </w:pPr>
      <w:r>
        <w:rPr>
          <w:rFonts w:hint="default" w:ascii="Times New Roman" w:hAnsi="Times New Roman" w:cs="Times New Roman"/>
          <w:sz w:val="24"/>
          <w:szCs w:val="24"/>
        </w:rPr>
        <w:t>In summary, t</w:t>
      </w:r>
      <w:r>
        <w:rPr>
          <w:rFonts w:hint="default" w:ascii="Times New Roman" w:hAnsi="Times New Roman" w:cs="Times New Roman"/>
          <w:sz w:val="24"/>
          <w:szCs w:val="24"/>
          <w:shd w:val="clear" w:color="auto" w:fill="FFFFFF"/>
          <w:lang w:bidi="ar"/>
        </w:rPr>
        <w:t xml:space="preserve">he 332 genes of the 332-ECS panel involved the disease systems （Table S1）: metabolic/endocrine (41.7%), nervous (16.5%), musculoskeletal (12.0%), and then followed by hematological, ophthalmologic, skin, immunity, auditory, kidney, multi-system, others, respiration and liver. </w:t>
      </w:r>
    </w:p>
    <w:p>
      <w:pPr>
        <w:pStyle w:val="6"/>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sz w:val="24"/>
          <w:szCs w:val="24"/>
          <w:shd w:val="clear" w:color="auto" w:fill="FFFFFF"/>
          <w:lang w:bidi="ar"/>
        </w:rPr>
      </w:pPr>
      <w:r>
        <w:rPr>
          <w:rFonts w:hint="default" w:ascii="Times New Roman" w:hAnsi="Times New Roman" w:cs="Times New Roman"/>
          <w:sz w:val="24"/>
          <w:szCs w:val="24"/>
          <w:shd w:val="clear" w:color="auto" w:fill="FFFFFF"/>
          <w:lang w:bidi="ar"/>
        </w:rPr>
        <w:t>The mode of inheritance of these genes was AR (n=303, 91.3%), followed by X-linked (n=27, 8.1%), and finally AR/Digenic (n=2, 0.6%). The severity of the disease was evaluated according the to method developed by Arjunan et al</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"L5" </w:instrText>
      </w:r>
      <w:r>
        <w:rPr>
          <w:rFonts w:hint="default" w:ascii="Times New Roman" w:hAnsi="Times New Roman" w:cs="Times New Roman"/>
          <w:sz w:val="24"/>
          <w:szCs w:val="24"/>
        </w:rPr>
        <w:fldChar w:fldCharType="separate"/>
      </w:r>
      <w:r>
        <w:rPr>
          <w:rStyle w:val="11"/>
          <w:rFonts w:hint="default" w:ascii="Times New Roman" w:hAnsi="Times New Roman" w:cs="Times New Roman"/>
          <w:sz w:val="24"/>
          <w:szCs w:val="24"/>
          <w:u w:val="none"/>
          <w:shd w:val="clear" w:color="auto" w:fill="FFFFFF"/>
          <w:vertAlign w:val="baseline"/>
          <w:lang w:eastAsia="zh-CN"/>
        </w:rPr>
        <w:t xml:space="preserve"> [</w:t>
      </w:r>
      <w:r>
        <w:rPr>
          <w:rStyle w:val="11"/>
          <w:rFonts w:hint="default" w:ascii="Times New Roman" w:hAnsi="Times New Roman" w:cs="Times New Roman"/>
          <w:sz w:val="24"/>
          <w:szCs w:val="24"/>
          <w:u w:val="none"/>
          <w:shd w:val="clear" w:color="auto" w:fill="FFFFFF"/>
          <w:vertAlign w:val="baseline"/>
        </w:rPr>
        <w:t>5]</w:t>
      </w:r>
      <w:r>
        <w:rPr>
          <w:rStyle w:val="11"/>
          <w:rFonts w:hint="default" w:ascii="Times New Roman" w:hAnsi="Times New Roman" w:cs="Times New Roman"/>
          <w:sz w:val="24"/>
          <w:szCs w:val="24"/>
          <w:u w:val="none"/>
          <w:shd w:val="clear" w:color="auto" w:fill="FFFFFF"/>
          <w:vertAlign w:val="baseline"/>
        </w:rPr>
        <w:fldChar w:fldCharType="end"/>
      </w:r>
      <w:r>
        <w:rPr>
          <w:rFonts w:hint="default" w:ascii="Times New Roman" w:hAnsi="Times New Roman" w:cs="Times New Roman"/>
          <w:sz w:val="24"/>
          <w:szCs w:val="24"/>
          <w:shd w:val="clear" w:color="auto" w:fill="FFFFFF"/>
          <w:lang w:bidi="ar"/>
        </w:rPr>
        <w:t>. 16 diseases have been evaluated as “MILD”, and the rest of the diseases are classified as a severity more than the level of “Moderate”.</w:t>
      </w:r>
    </w:p>
    <w:p>
      <w:pPr>
        <w:pStyle w:val="6"/>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designated target regions included exon regions and 20-bp flanking regions of selected ECS genes, which were annotated from NCBI RefSeq, and P/LP variants with ClinVar star 2+ (i.e., multiple submitters with assertion criteria, expert panel, or practice guideline without conflicting interpretations) of intron, intergenic and UTR regions were also included in our panel. </w:t>
      </w:r>
    </w:p>
    <w:p>
      <w:pPr>
        <w:pStyle w:val="6"/>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sz w:val="24"/>
          <w:szCs w:val="24"/>
        </w:rPr>
      </w:pP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after="0" w:line="480" w:lineRule="auto"/>
        <w:textAlignment w:val="auto"/>
        <w:rPr>
          <w:rFonts w:hint="default" w:ascii="Times New Roman" w:hAnsi="Times New Roman" w:cs="Times New Roman"/>
          <w:sz w:val="24"/>
          <w:szCs w:val="24"/>
          <w:u w:val="none"/>
        </w:rPr>
      </w:pPr>
      <w:r>
        <w:rPr>
          <w:rFonts w:hint="default" w:ascii="Times New Roman" w:hAnsi="Times New Roman" w:cs="Times New Roman"/>
          <w:sz w:val="24"/>
          <w:szCs w:val="24"/>
          <w:u w:val="none"/>
        </w:rPr>
        <w:t>Genomic Sequencing and Data Analysis</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Peripheral blood samples from 440 participants were drawn with informed consent and genomic DNA (gDNA) were extracted using the QIAamp® DNA Blood Mini kit following the manufacturer’s protocol (Qiagen, Germantown, MD, USA). All gDNA (300-500 ng) was sheared, size selected (400–600 bp), ligated to sequencing adapters, and PCR amplified following standard library preparation. The post-PCR library was then used for exome capture using the 332-gene panel and synthesized by Integrated DNA Technologies, Coralville, IA, USA. Exome-enriched samples were sequenced (2×150 bp) on an Illumina Novaseq (Illumina, Inc., San Diego, CA, USA). Raw image files were processed using bcl2fastq2 conversion software v2.20 (Illumina, Inc., San Diego, CA, USA).</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The sequencing reads were aligned to the human reference genome (hg19/GRCh37) using the Burrows–Wheeler alignment tool, and PCR duplicates were removed using Picard software v1.57 (http://picard.sourceforge.net/). The genomic analysis toolkit GATK4 (https://software.broadinstitute.org/gatk/) was employed for variant discovery. Variant annotation and interpretation were conducted using the ANNOVAR software (http://www.openbioinformatics.org/annovar/). All detected variants were further manually reviewed by following the ACMG/AMP guidelines for variant interpretation.</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eastAsia="宋体" w:cs="Times New Roman"/>
          <w:sz w:val="24"/>
          <w:szCs w:val="24"/>
        </w:rPr>
      </w:pPr>
      <w:r>
        <w:rPr>
          <w:rFonts w:ascii="Times New Roman" w:hAnsi="Times New Roman" w:eastAsia="宋体" w:cs="Times New Roman"/>
          <w:sz w:val="24"/>
          <w:szCs w:val="24"/>
        </w:rPr>
        <w:t xml:space="preserve">A newly developed method was used to identify genes containing misalignment issues related to homology, including </w:t>
      </w:r>
      <w:r>
        <w:rPr>
          <w:rFonts w:ascii="Times New Roman" w:hAnsi="Times New Roman" w:eastAsia="宋体" w:cs="Times New Roman"/>
          <w:i/>
          <w:sz w:val="24"/>
          <w:szCs w:val="24"/>
        </w:rPr>
        <w:t>SMN1</w:t>
      </w:r>
      <w:r>
        <w:rPr>
          <w:rFonts w:ascii="Times New Roman" w:hAnsi="Times New Roman" w:eastAsia="宋体" w:cs="Times New Roman"/>
          <w:iCs/>
          <w:sz w:val="24"/>
          <w:szCs w:val="24"/>
        </w:rPr>
        <w:t xml:space="preserve">, </w:t>
      </w:r>
      <w:r>
        <w:rPr>
          <w:rFonts w:ascii="Times New Roman" w:hAnsi="Times New Roman" w:eastAsia="宋体" w:cs="Times New Roman"/>
          <w:i/>
          <w:sz w:val="24"/>
          <w:szCs w:val="24"/>
        </w:rPr>
        <w:t>HBA1/HBA2</w:t>
      </w:r>
      <w:r>
        <w:rPr>
          <w:rFonts w:ascii="Times New Roman" w:hAnsi="Times New Roman" w:eastAsia="宋体" w:cs="Times New Roman"/>
          <w:iCs/>
          <w:sz w:val="24"/>
          <w:szCs w:val="24"/>
        </w:rPr>
        <w:t xml:space="preserve">, </w:t>
      </w:r>
      <w:r>
        <w:rPr>
          <w:rFonts w:ascii="Times New Roman" w:hAnsi="Times New Roman" w:eastAsia="宋体" w:cs="Times New Roman"/>
          <w:i/>
          <w:sz w:val="24"/>
          <w:szCs w:val="24"/>
        </w:rPr>
        <w:t>GBA</w:t>
      </w:r>
      <w:r>
        <w:rPr>
          <w:rFonts w:ascii="Times New Roman" w:hAnsi="Times New Roman" w:eastAsia="宋体" w:cs="Times New Roman"/>
          <w:iCs/>
          <w:sz w:val="24"/>
          <w:szCs w:val="24"/>
        </w:rPr>
        <w:t xml:space="preserve">, </w:t>
      </w:r>
      <w:r>
        <w:rPr>
          <w:rFonts w:ascii="Times New Roman" w:hAnsi="Times New Roman" w:eastAsia="宋体" w:cs="Times New Roman"/>
          <w:i/>
          <w:sz w:val="24"/>
          <w:szCs w:val="24"/>
        </w:rPr>
        <w:t>CYP21A2</w:t>
      </w:r>
      <w:r>
        <w:rPr>
          <w:rFonts w:ascii="Times New Roman" w:hAnsi="Times New Roman" w:eastAsia="宋体" w:cs="Times New Roman"/>
          <w:iCs/>
          <w:sz w:val="24"/>
          <w:szCs w:val="24"/>
        </w:rPr>
        <w:t xml:space="preserve">, </w:t>
      </w:r>
      <w:r>
        <w:rPr>
          <w:rFonts w:ascii="Times New Roman" w:hAnsi="Times New Roman" w:eastAsia="宋体" w:cs="Times New Roman"/>
          <w:i/>
          <w:sz w:val="24"/>
          <w:szCs w:val="24"/>
        </w:rPr>
        <w:t>CYP21B1</w:t>
      </w:r>
      <w:r>
        <w:rPr>
          <w:rFonts w:ascii="Times New Roman" w:hAnsi="Times New Roman" w:eastAsia="宋体" w:cs="Times New Roman"/>
          <w:iCs/>
          <w:sz w:val="24"/>
          <w:szCs w:val="24"/>
        </w:rPr>
        <w:t xml:space="preserve">, </w:t>
      </w:r>
      <w:r>
        <w:rPr>
          <w:rFonts w:ascii="Times New Roman" w:hAnsi="Times New Roman" w:eastAsia="宋体" w:cs="Times New Roman"/>
          <w:i/>
          <w:sz w:val="24"/>
          <w:szCs w:val="24"/>
        </w:rPr>
        <w:t>VWF</w:t>
      </w:r>
      <w:r>
        <w:rPr>
          <w:rFonts w:ascii="Times New Roman" w:hAnsi="Times New Roman" w:eastAsia="宋体" w:cs="Times New Roman"/>
          <w:iCs/>
          <w:sz w:val="24"/>
          <w:szCs w:val="24"/>
        </w:rPr>
        <w:t xml:space="preserve">, </w:t>
      </w:r>
      <w:r>
        <w:rPr>
          <w:rFonts w:ascii="Times New Roman" w:hAnsi="Times New Roman" w:eastAsia="宋体" w:cs="Times New Roman"/>
          <w:i/>
          <w:sz w:val="24"/>
          <w:szCs w:val="24"/>
        </w:rPr>
        <w:t>DCRE1C</w:t>
      </w:r>
      <w:r>
        <w:rPr>
          <w:rFonts w:ascii="Times New Roman" w:hAnsi="Times New Roman" w:eastAsia="宋体" w:cs="Times New Roman"/>
          <w:iCs/>
          <w:sz w:val="24"/>
          <w:szCs w:val="24"/>
        </w:rPr>
        <w:t xml:space="preserve">, </w:t>
      </w:r>
      <w:r>
        <w:rPr>
          <w:rFonts w:ascii="Times New Roman" w:hAnsi="Times New Roman" w:eastAsia="宋体" w:cs="Times New Roman"/>
          <w:i/>
          <w:sz w:val="24"/>
          <w:szCs w:val="24"/>
        </w:rPr>
        <w:t>ALMS1</w:t>
      </w:r>
      <w:r>
        <w:rPr>
          <w:rFonts w:ascii="Times New Roman" w:hAnsi="Times New Roman" w:eastAsia="宋体" w:cs="Times New Roman"/>
          <w:iCs/>
          <w:sz w:val="24"/>
          <w:szCs w:val="24"/>
        </w:rPr>
        <w:t>,</w:t>
      </w:r>
      <w:r>
        <w:rPr>
          <w:rFonts w:ascii="Times New Roman" w:hAnsi="Times New Roman" w:eastAsia="宋体" w:cs="Times New Roman"/>
          <w:sz w:val="24"/>
          <w:szCs w:val="24"/>
        </w:rPr>
        <w:t xml:space="preserve"> and </w:t>
      </w:r>
      <w:r>
        <w:rPr>
          <w:rFonts w:ascii="Times New Roman" w:hAnsi="Times New Roman" w:eastAsia="宋体" w:cs="Times New Roman"/>
          <w:i/>
          <w:sz w:val="24"/>
          <w:szCs w:val="24"/>
        </w:rPr>
        <w:t>IDS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\l "L6" </w:instrText>
      </w:r>
      <w:r>
        <w:rPr>
          <w:rFonts w:ascii="Times New Roman" w:hAnsi="Times New Roman" w:cs="Times New Roman"/>
          <w:sz w:val="24"/>
          <w:szCs w:val="24"/>
        </w:rPr>
        <w:fldChar w:fldCharType="separate"/>
      </w:r>
      <w:r>
        <w:rPr>
          <w:rStyle w:val="11"/>
          <w:rFonts w:hint="eastAsia" w:ascii="Times New Roman" w:hAnsi="Times New Roman" w:eastAsia="宋体" w:cs="Times New Roman"/>
          <w:sz w:val="24"/>
          <w:szCs w:val="24"/>
          <w:u w:val="none"/>
          <w:vertAlign w:val="baseline"/>
          <w:lang w:eastAsia="zh-CN"/>
        </w:rPr>
        <w:t xml:space="preserve"> [1</w:t>
      </w:r>
      <w:r>
        <w:rPr>
          <w:rStyle w:val="11"/>
          <w:rFonts w:ascii="Times New Roman" w:hAnsi="Times New Roman" w:eastAsia="宋体" w:cs="Times New Roman"/>
          <w:sz w:val="24"/>
          <w:szCs w:val="24"/>
          <w:u w:val="none"/>
          <w:vertAlign w:val="baseline"/>
        </w:rPr>
        <w:t>]</w:t>
      </w:r>
      <w:r>
        <w:rPr>
          <w:rStyle w:val="11"/>
          <w:rFonts w:ascii="Times New Roman" w:hAnsi="Times New Roman" w:eastAsia="宋体" w:cs="Times New Roman"/>
          <w:sz w:val="24"/>
          <w:szCs w:val="24"/>
          <w:u w:val="none"/>
          <w:vertAlign w:val="baseline"/>
        </w:rPr>
        <w:fldChar w:fldCharType="end"/>
      </w:r>
      <w:r>
        <w:rPr>
          <w:rFonts w:ascii="Times New Roman" w:hAnsi="Times New Roman" w:eastAsia="宋体" w:cs="Times New Roman"/>
          <w:sz w:val="24"/>
          <w:szCs w:val="24"/>
        </w:rPr>
        <w:t xml:space="preserve">. The internally developed software CNV-exon, a </w:t>
      </w:r>
      <w:r>
        <w:rPr>
          <w:rFonts w:ascii="Times New Roman" w:hAnsi="Times New Roman" w:eastAsia="宋体" w:cs="Times New Roman"/>
          <w:sz w:val="24"/>
          <w:szCs w:val="24"/>
          <w:shd w:val="clear" w:color="auto" w:fill="FFFFFF"/>
        </w:rPr>
        <w:t>coverage-based CNV detection tool</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\l "L7" </w:instrText>
      </w:r>
      <w:r>
        <w:rPr>
          <w:rFonts w:ascii="Times New Roman" w:hAnsi="Times New Roman" w:cs="Times New Roman"/>
          <w:sz w:val="24"/>
          <w:szCs w:val="24"/>
        </w:rPr>
        <w:fldChar w:fldCharType="separate"/>
      </w:r>
      <w:r>
        <w:rPr>
          <w:rStyle w:val="11"/>
          <w:rFonts w:hint="eastAsia" w:ascii="Times New Roman" w:hAnsi="Times New Roman" w:eastAsia="宋体" w:cs="Times New Roman"/>
          <w:sz w:val="24"/>
          <w:szCs w:val="24"/>
          <w:u w:val="none"/>
          <w:shd w:val="clear" w:color="auto" w:fill="FFFFFF"/>
          <w:vertAlign w:val="baseline"/>
          <w:lang w:eastAsia="zh-CN"/>
        </w:rPr>
        <w:t xml:space="preserve"> [6</w:t>
      </w:r>
      <w:r>
        <w:rPr>
          <w:rStyle w:val="11"/>
          <w:rFonts w:ascii="Times New Roman" w:hAnsi="Times New Roman" w:eastAsia="宋体" w:cs="Times New Roman"/>
          <w:sz w:val="24"/>
          <w:szCs w:val="24"/>
          <w:u w:val="none"/>
          <w:shd w:val="clear" w:color="auto" w:fill="FFFFFF"/>
          <w:vertAlign w:val="baseline"/>
        </w:rPr>
        <w:t>]</w:t>
      </w:r>
      <w:r>
        <w:rPr>
          <w:rStyle w:val="11"/>
          <w:rFonts w:ascii="Times New Roman" w:hAnsi="Times New Roman" w:eastAsia="宋体" w:cs="Times New Roman"/>
          <w:sz w:val="24"/>
          <w:szCs w:val="24"/>
          <w:u w:val="none"/>
          <w:shd w:val="clear" w:color="auto" w:fill="FFFFFF"/>
          <w:vertAlign w:val="baseline"/>
        </w:rPr>
        <w:fldChar w:fldCharType="end"/>
      </w:r>
      <w:r>
        <w:rPr>
          <w:rFonts w:ascii="Times New Roman" w:hAnsi="Times New Roman" w:eastAsia="宋体" w:cs="Times New Roman"/>
          <w:sz w:val="24"/>
          <w:szCs w:val="24"/>
          <w:shd w:val="clear" w:color="auto" w:fill="FFFFFF"/>
        </w:rPr>
        <w:t>,</w:t>
      </w:r>
      <w:r>
        <w:rPr>
          <w:rFonts w:ascii="Times New Roman" w:hAnsi="Times New Roman" w:cs="Times New Roman"/>
          <w:sz w:val="24"/>
          <w:szCs w:val="24"/>
        </w:rPr>
        <w:t xml:space="preserve"> </w:t>
      </w:r>
      <w:r>
        <w:rPr>
          <w:rFonts w:ascii="Times New Roman" w:hAnsi="Times New Roman" w:eastAsia="宋体" w:cs="Times New Roman"/>
          <w:sz w:val="24"/>
          <w:szCs w:val="24"/>
          <w:shd w:val="clear" w:color="auto" w:fill="FFFFFF"/>
        </w:rPr>
        <w:t>was used to analyze CNVs,</w:t>
      </w:r>
      <w:r>
        <w:rPr>
          <w:rFonts w:ascii="Times New Roman" w:hAnsi="Times New Roman" w:eastAsia="宋体" w:cs="Times New Roman"/>
          <w:sz w:val="24"/>
          <w:szCs w:val="24"/>
        </w:rPr>
        <w:t xml:space="preserve"> especially for exon-level heterozygous deletions or amplifications.</w:t>
      </w:r>
    </w:p>
    <w:p>
      <w:pPr>
        <w:pStyle w:val="2"/>
      </w:pP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after="0" w:line="480" w:lineRule="auto"/>
        <w:textAlignment w:val="auto"/>
        <w:rPr>
          <w:rFonts w:hint="default" w:ascii="Times New Roman" w:hAnsi="Times New Roman" w:cs="Times New Roman"/>
          <w:sz w:val="24"/>
          <w:szCs w:val="24"/>
          <w:u w:val="none"/>
        </w:rPr>
      </w:pPr>
      <w:r>
        <w:rPr>
          <w:rFonts w:hint="default" w:ascii="Times New Roman" w:hAnsi="Times New Roman" w:cs="Times New Roman"/>
          <w:sz w:val="24"/>
          <w:szCs w:val="24"/>
          <w:u w:val="none"/>
        </w:rPr>
        <w:t>Variant Interpretations</w:t>
      </w:r>
    </w:p>
    <w:p>
      <w:pPr>
        <w:pStyle w:val="18"/>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All the identified variants were classified into five categories: “pathogenic,” “likely pathogenic,” “uncertain significance,” “likely benign,” and “benign” according to the ACMG guidelines for the interpretation of genetic variants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\l "L8" </w:instrText>
      </w:r>
      <w:r>
        <w:rPr>
          <w:rFonts w:ascii="Times New Roman" w:hAnsi="Times New Roman" w:cs="Times New Roman"/>
          <w:sz w:val="24"/>
          <w:szCs w:val="24"/>
        </w:rPr>
        <w:fldChar w:fldCharType="separate"/>
      </w:r>
      <w:r>
        <w:rPr>
          <w:rStyle w:val="11"/>
          <w:rFonts w:hint="eastAsia" w:ascii="Times New Roman" w:hAnsi="Times New Roman" w:cs="Times New Roman"/>
          <w:sz w:val="24"/>
          <w:szCs w:val="24"/>
          <w:u w:val="none"/>
          <w:vertAlign w:val="baseline"/>
          <w:lang w:eastAsia="zh-CN"/>
        </w:rPr>
        <w:t xml:space="preserve"> [7</w:t>
      </w:r>
      <w:r>
        <w:rPr>
          <w:rStyle w:val="11"/>
          <w:rFonts w:ascii="Times New Roman" w:hAnsi="Times New Roman" w:cs="Times New Roman"/>
          <w:sz w:val="24"/>
          <w:szCs w:val="24"/>
          <w:u w:val="none"/>
          <w:vertAlign w:val="baseline"/>
        </w:rPr>
        <w:t>]</w:t>
      </w:r>
      <w:r>
        <w:rPr>
          <w:rStyle w:val="11"/>
          <w:rFonts w:ascii="Times New Roman" w:hAnsi="Times New Roman" w:cs="Times New Roman"/>
          <w:sz w:val="24"/>
          <w:szCs w:val="24"/>
          <w:u w:val="none"/>
          <w:vertAlign w:val="baseline"/>
        </w:rPr>
        <w:fldChar w:fldCharType="end"/>
      </w:r>
      <w:r>
        <w:rPr>
          <w:rFonts w:ascii="Times New Roman" w:hAnsi="Times New Roman" w:cs="Times New Roman"/>
          <w:sz w:val="24"/>
          <w:szCs w:val="24"/>
        </w:rPr>
        <w:t>. All the single-nucleotide variants (SNVs) and copy number variants (CNVs) classified as “pathogenic” or “likely pathogenic” (P/LP) were confirmed through Sanger sequencing and MLPA.</w:t>
      </w:r>
    </w:p>
    <w:p>
      <w:pPr>
        <w:pStyle w:val="18"/>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24"/>
        </w:rPr>
      </w:pP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after="0" w:line="480" w:lineRule="auto"/>
        <w:textAlignment w:val="auto"/>
        <w:rPr>
          <w:rFonts w:hint="default" w:ascii="Times New Roman" w:hAnsi="Times New Roman" w:cs="Times New Roman"/>
          <w:sz w:val="24"/>
          <w:szCs w:val="24"/>
          <w:u w:val="none"/>
        </w:rPr>
      </w:pPr>
      <w:r>
        <w:rPr>
          <w:rFonts w:hint="default" w:ascii="Times New Roman" w:hAnsi="Times New Roman" w:cs="Times New Roman"/>
          <w:sz w:val="24"/>
          <w:szCs w:val="24"/>
          <w:u w:val="none"/>
        </w:rPr>
        <w:t>Sanger Sequencing</w:t>
      </w:r>
    </w:p>
    <w:p>
      <w:pPr>
        <w:pStyle w:val="18"/>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24"/>
        </w:rPr>
      </w:pPr>
      <w:r>
        <w:rPr>
          <w:rFonts w:ascii="Times New Roman" w:hAnsi="Times New Roman" w:cs="Times New Roman"/>
          <w:sz w:val="24"/>
          <w:szCs w:val="24"/>
        </w:rPr>
        <w:t>Sequencing was performed in both forward and reverse directions using 1.6 µl cleanup PCR products, 0.8 µl BigDye, and 2.0 µl M13 sequencing primers (1.6 µM) in each reaction.</w:t>
      </w:r>
    </w:p>
    <w:p>
      <w:pPr>
        <w:pStyle w:val="18"/>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24"/>
        </w:rPr>
      </w:pPr>
    </w:p>
    <w:p>
      <w:pPr>
        <w:pStyle w:val="18"/>
        <w:keepNext w:val="0"/>
        <w:keepLines w:val="0"/>
        <w:pageBreakBefore w:val="0"/>
        <w:numPr>
          <w:ilvl w:val="0"/>
          <w:numId w:val="1"/>
        </w:numPr>
        <w:kinsoku/>
        <w:wordWrap/>
        <w:overflowPunct/>
        <w:topLinePunct w:val="0"/>
        <w:bidi w:val="0"/>
        <w:spacing w:line="480" w:lineRule="auto"/>
        <w:ind w:left="0" w:leftChars="0" w:firstLine="0" w:firstLineChars="0"/>
        <w:textAlignment w:val="auto"/>
        <w:rPr>
          <w:rFonts w:ascii="Times New Roman" w:hAnsi="Times New Roman" w:cs="Times New Roman"/>
          <w:b/>
          <w:sz w:val="24"/>
          <w:szCs w:val="24"/>
        </w:rPr>
      </w:pPr>
      <w:r>
        <w:rPr>
          <w:rFonts w:hint="default" w:ascii="Times New Roman" w:hAnsi="Times New Roman" w:cs="Times New Roman" w:eastAsiaTheme="minorEastAsia"/>
          <w:b/>
          <w:bCs/>
          <w:kern w:val="0"/>
          <w:sz w:val="24"/>
          <w:szCs w:val="24"/>
          <w:u w:val="none"/>
          <w:lang w:val="en-US" w:eastAsia="zh-CN" w:bidi="ar-SA"/>
        </w:rPr>
        <w:t>Multiplex Ligation-dependent Probe Amplification</w:t>
      </w:r>
      <w:r>
        <w:rPr>
          <w:rFonts w:ascii="Times New Roman" w:hAnsi="Times New Roman" w:cs="Times New Roman"/>
          <w:b/>
          <w:sz w:val="24"/>
          <w:szCs w:val="24"/>
        </w:rPr>
        <w:t xml:space="preserve"> </w:t>
      </w:r>
    </w:p>
    <w:p>
      <w:pPr>
        <w:pStyle w:val="18"/>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MLPA was performed with 100 ng genomic DNA per reaction using the SALSA MLPA probe mixes P050-C1 to analyze </w:t>
      </w:r>
      <w:r>
        <w:rPr>
          <w:rFonts w:hint="default" w:ascii="Times New Roman" w:hAnsi="Times New Roman" w:cs="Times New Roman"/>
          <w:i/>
          <w:iCs/>
          <w:sz w:val="24"/>
          <w:szCs w:val="24"/>
        </w:rPr>
        <w:t>CYP21A2</w:t>
      </w:r>
      <w:r>
        <w:rPr>
          <w:rFonts w:hint="default" w:ascii="Times New Roman" w:hAnsi="Times New Roman" w:cs="Times New Roman"/>
          <w:sz w:val="24"/>
          <w:szCs w:val="24"/>
        </w:rPr>
        <w:t>, P060 to analyze</w:t>
      </w:r>
      <w:r>
        <w:rPr>
          <w:rFonts w:hint="default" w:ascii="Times New Roman" w:hAnsi="Times New Roman" w:cs="Times New Roman"/>
          <w:i/>
          <w:iCs/>
          <w:sz w:val="24"/>
          <w:szCs w:val="24"/>
        </w:rPr>
        <w:t xml:space="preserve"> SMN1</w:t>
      </w:r>
      <w:r>
        <w:rPr>
          <w:rFonts w:hint="default" w:ascii="Times New Roman" w:hAnsi="Times New Roman" w:cs="Times New Roman"/>
          <w:sz w:val="24"/>
          <w:szCs w:val="24"/>
        </w:rPr>
        <w:t xml:space="preserve">, P140 to analyze </w:t>
      </w:r>
      <w:r>
        <w:rPr>
          <w:rFonts w:hint="default" w:ascii="Times New Roman" w:hAnsi="Times New Roman" w:cs="Times New Roman"/>
          <w:i/>
          <w:iCs/>
          <w:sz w:val="24"/>
          <w:szCs w:val="24"/>
        </w:rPr>
        <w:t>HBA1/HBA2</w:t>
      </w:r>
      <w:r>
        <w:rPr>
          <w:rFonts w:hint="default" w:ascii="Times New Roman" w:hAnsi="Times New Roman" w:cs="Times New Roman"/>
          <w:sz w:val="24"/>
          <w:szCs w:val="24"/>
        </w:rPr>
        <w:t>, P209</w:t>
      </w:r>
      <w:r>
        <w:rPr>
          <w:rFonts w:hint="default" w:ascii="Times New Roman" w:hAnsi="Times New Roman" w:cs="Times New Roman"/>
          <w:i/>
          <w:iCs/>
          <w:sz w:val="24"/>
          <w:szCs w:val="24"/>
        </w:rPr>
        <w:t xml:space="preserve"> </w:t>
      </w:r>
      <w:r>
        <w:rPr>
          <w:rFonts w:hint="default" w:ascii="Times New Roman" w:hAnsi="Times New Roman" w:cs="Times New Roman"/>
          <w:sz w:val="24"/>
          <w:szCs w:val="24"/>
        </w:rPr>
        <w:t xml:space="preserve">to analyze </w:t>
      </w:r>
      <w:r>
        <w:rPr>
          <w:rFonts w:hint="default" w:ascii="Times New Roman" w:hAnsi="Times New Roman" w:cs="Times New Roman"/>
          <w:i/>
          <w:iCs/>
          <w:sz w:val="24"/>
          <w:szCs w:val="24"/>
        </w:rPr>
        <w:t>GLDC</w:t>
      </w:r>
      <w:r>
        <w:rPr>
          <w:rFonts w:hint="default" w:ascii="Times New Roman" w:hAnsi="Times New Roman" w:cs="Times New Roman"/>
          <w:sz w:val="24"/>
          <w:szCs w:val="24"/>
        </w:rPr>
        <w:t xml:space="preserve">, P387 to analyze </w:t>
      </w:r>
      <w:r>
        <w:rPr>
          <w:rFonts w:hint="default" w:ascii="Times New Roman" w:hAnsi="Times New Roman" w:cs="Times New Roman"/>
          <w:i/>
          <w:iCs/>
          <w:sz w:val="24"/>
          <w:szCs w:val="24"/>
        </w:rPr>
        <w:t>NPHP1</w:t>
      </w:r>
      <w:r>
        <w:rPr>
          <w:rFonts w:hint="default" w:ascii="Times New Roman" w:hAnsi="Times New Roman" w:cs="Times New Roman"/>
          <w:sz w:val="24"/>
          <w:szCs w:val="24"/>
        </w:rPr>
        <w:t xml:space="preserve">, P368 to </w:t>
      </w:r>
      <w:r>
        <w:rPr>
          <w:rFonts w:hint="default" w:ascii="Times New Roman" w:hAnsi="Times New Roman" w:cs="Times New Roman"/>
          <w:i/>
          <w:iCs/>
          <w:sz w:val="24"/>
          <w:szCs w:val="24"/>
        </w:rPr>
        <w:t>DCLRE1C</w:t>
      </w:r>
      <w:r>
        <w:rPr>
          <w:rFonts w:hint="default" w:ascii="Times New Roman" w:hAnsi="Times New Roman" w:cs="Times New Roman"/>
          <w:sz w:val="24"/>
          <w:szCs w:val="24"/>
        </w:rPr>
        <w:t xml:space="preserve">, P031/032 to analyze </w:t>
      </w:r>
      <w:r>
        <w:rPr>
          <w:rFonts w:hint="default" w:ascii="Times New Roman" w:hAnsi="Times New Roman" w:cs="Times New Roman"/>
          <w:i/>
          <w:iCs/>
          <w:sz w:val="24"/>
          <w:szCs w:val="24"/>
        </w:rPr>
        <w:t>FANCA</w:t>
      </w:r>
      <w:r>
        <w:rPr>
          <w:rFonts w:hint="default" w:ascii="Times New Roman" w:hAnsi="Times New Roman" w:cs="Times New Roman"/>
          <w:sz w:val="24"/>
          <w:szCs w:val="24"/>
        </w:rPr>
        <w:t xml:space="preserve">, P441 to analyze </w:t>
      </w:r>
      <w:r>
        <w:rPr>
          <w:rFonts w:hint="default" w:ascii="Times New Roman" w:hAnsi="Times New Roman" w:cs="Times New Roman"/>
          <w:i/>
          <w:iCs/>
          <w:sz w:val="24"/>
          <w:szCs w:val="24"/>
        </w:rPr>
        <w:t>SACS</w:t>
      </w:r>
      <w:r>
        <w:rPr>
          <w:rFonts w:hint="default" w:ascii="Times New Roman" w:hAnsi="Times New Roman" w:cs="Times New Roman"/>
          <w:sz w:val="24"/>
          <w:szCs w:val="24"/>
        </w:rPr>
        <w:t xml:space="preserve">, P116 to analyze </w:t>
      </w:r>
      <w:r>
        <w:rPr>
          <w:rFonts w:hint="default" w:ascii="Times New Roman" w:hAnsi="Times New Roman" w:cs="Times New Roman"/>
          <w:i/>
          <w:iCs/>
          <w:sz w:val="24"/>
          <w:szCs w:val="24"/>
        </w:rPr>
        <w:t>SGCG</w:t>
      </w:r>
      <w:r>
        <w:rPr>
          <w:rFonts w:hint="default" w:ascii="Times New Roman" w:hAnsi="Times New Roman" w:cs="Times New Roman"/>
          <w:sz w:val="24"/>
          <w:szCs w:val="24"/>
        </w:rPr>
        <w:t xml:space="preserve">, and P321/322 to analyze </w:t>
      </w:r>
      <w:r>
        <w:rPr>
          <w:rFonts w:hint="default" w:ascii="Times New Roman" w:hAnsi="Times New Roman" w:cs="Times New Roman"/>
          <w:i/>
          <w:iCs/>
          <w:sz w:val="24"/>
          <w:szCs w:val="24"/>
        </w:rPr>
        <w:t>VPS13B</w:t>
      </w:r>
      <w:r>
        <w:rPr>
          <w:rFonts w:hint="default" w:ascii="Times New Roman" w:hAnsi="Times New Roman" w:cs="Times New Roman"/>
          <w:sz w:val="24"/>
          <w:szCs w:val="24"/>
        </w:rPr>
        <w:t>, according to the manufacturer’s recommendations (MRC Holland, Amsterdam, The Netherlands). Quality control and data analysis were conducted using the Coffalyser.net software (MRC Holland,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"http://www.mlpa.com/" \t "_blank"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www.mlpa.com</w:t>
      </w:r>
      <w:r>
        <w:rPr>
          <w:rFonts w:hint="default" w:ascii="Times New Roman" w:hAnsi="Times New Roman" w:cs="Times New Roman"/>
          <w:sz w:val="24"/>
          <w:szCs w:val="24"/>
        </w:rPr>
        <w:fldChar w:fldCharType="end"/>
      </w:r>
      <w:r>
        <w:rPr>
          <w:rFonts w:hint="default" w:ascii="Times New Roman" w:hAnsi="Times New Roman" w:cs="Times New Roman"/>
          <w:sz w:val="24"/>
          <w:szCs w:val="24"/>
        </w:rPr>
        <w:t>).</w:t>
      </w:r>
    </w:p>
    <w:p>
      <w:pPr>
        <w:pStyle w:val="18"/>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sz w:val="24"/>
          <w:szCs w:val="24"/>
        </w:rPr>
      </w:pPr>
    </w:p>
    <w:p>
      <w:pPr>
        <w:keepNext w:val="0"/>
        <w:keepLines w:val="0"/>
        <w:pageBreakBefore w:val="0"/>
        <w:numPr>
          <w:ilvl w:val="0"/>
          <w:numId w:val="1"/>
        </w:numPr>
        <w:kinsoku/>
        <w:wordWrap/>
        <w:overflowPunct/>
        <w:topLinePunct w:val="0"/>
        <w:bidi w:val="0"/>
        <w:spacing w:line="480" w:lineRule="auto"/>
        <w:ind w:left="0" w:leftChars="0" w:firstLine="0" w:firstLineChars="0"/>
        <w:textAlignment w:val="auto"/>
        <w:rPr>
          <w:rFonts w:hint="default" w:ascii="Times New Roman" w:hAnsi="Times New Roman" w:cs="Times New Roman" w:eastAsiaTheme="minorEastAsia"/>
          <w:b/>
          <w:bCs/>
          <w:kern w:val="0"/>
          <w:sz w:val="24"/>
          <w:szCs w:val="24"/>
          <w:u w:val="none"/>
          <w:lang w:val="en-US" w:eastAsia="zh-CN" w:bidi="ar-SA"/>
        </w:rPr>
      </w:pPr>
      <w:r>
        <w:rPr>
          <w:rFonts w:hint="default" w:ascii="Times New Roman" w:hAnsi="Times New Roman" w:cs="Times New Roman" w:eastAsiaTheme="minorEastAsia"/>
          <w:b/>
          <w:bCs/>
          <w:kern w:val="0"/>
          <w:sz w:val="24"/>
          <w:szCs w:val="24"/>
          <w:u w:val="none"/>
          <w:lang w:val="en-US" w:eastAsia="zh-CN" w:bidi="ar-SA"/>
        </w:rPr>
        <w:t>Quantitative real-time PCR</w:t>
      </w:r>
    </w:p>
    <w:p>
      <w:pPr>
        <w:pStyle w:val="18"/>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CNVs of </w:t>
      </w:r>
      <w:r>
        <w:rPr>
          <w:rFonts w:hint="default" w:ascii="Times New Roman" w:hAnsi="Times New Roman" w:cs="Times New Roman"/>
          <w:i/>
          <w:iCs/>
          <w:sz w:val="24"/>
          <w:szCs w:val="24"/>
        </w:rPr>
        <w:t>PMM2</w:t>
      </w:r>
      <w:r>
        <w:rPr>
          <w:rFonts w:hint="default" w:ascii="Times New Roman" w:hAnsi="Times New Roman" w:cs="Times New Roman"/>
          <w:sz w:val="24"/>
          <w:szCs w:val="24"/>
        </w:rPr>
        <w:t xml:space="preserve"> and </w:t>
      </w:r>
      <w:r>
        <w:rPr>
          <w:rFonts w:hint="default" w:ascii="Times New Roman" w:hAnsi="Times New Roman" w:cs="Times New Roman"/>
          <w:i/>
          <w:iCs/>
          <w:sz w:val="24"/>
          <w:szCs w:val="24"/>
        </w:rPr>
        <w:t>FAM161A</w:t>
      </w:r>
      <w:r>
        <w:rPr>
          <w:rFonts w:hint="default" w:ascii="Times New Roman" w:hAnsi="Times New Roman" w:cs="Times New Roman"/>
          <w:sz w:val="24"/>
          <w:szCs w:val="24"/>
        </w:rPr>
        <w:t xml:space="preserve"> were measured by quantitative real-time PCR (RT-qPCR) using SuperReal PreMix Plus (SYBR Green) (TIANGEN, China) in an QuantStudi™ 6 Flex Real-Time PCR System (Thermo Fisher Scientific, US), ALB served as the internal reference, and data were analyzed with the 2</w:t>
      </w:r>
      <w:r>
        <w:rPr>
          <w:rFonts w:hint="default" w:ascii="Times New Roman" w:hAnsi="Times New Roman" w:cs="Times New Roman"/>
          <w:sz w:val="24"/>
          <w:szCs w:val="24"/>
          <w:vertAlign w:val="superscript"/>
        </w:rPr>
        <w:t>-△△Ct</w:t>
      </w:r>
      <w:r>
        <w:rPr>
          <w:rFonts w:hint="default" w:ascii="Times New Roman" w:hAnsi="Times New Roman" w:cs="Times New Roman"/>
          <w:sz w:val="24"/>
          <w:szCs w:val="24"/>
        </w:rPr>
        <w:t xml:space="preserve"> method. The qPCR mixture contained 5ul 2×SuperReal PreMix Plus, 0.3ul Forward Primer (10uM), 0.3ul Reverse Primer (10uM), 10ng DNA template, 0.2ul 50×ROX Reference Dye, and up to 10ul using RNase-Free Water. qPCR conditions were as follows: 2min at 50℃, 10min at 95℃, followed by 40 cycles of 95℃ for 15s and 60℃ for 1min, 15s at 95℃, 1min at 60℃, 30s at 95℃, 15s at 60℃. Gene specific primers for qPCR analysis was designed using the NCBI Nucleotide Search database (https://www.ncbi.nlm.nih.gov/nuccore/) and NCBI Primer-BLAST Tool (https://www.ncbi.nlm.nih.gov/tools/primer-blast/).</w:t>
      </w:r>
    </w:p>
    <w:p>
      <w:pPr>
        <w:keepNext w:val="0"/>
        <w:keepLines w:val="0"/>
        <w:pageBreakBefore w:val="0"/>
        <w:kinsoku/>
        <w:wordWrap/>
        <w:overflowPunct/>
        <w:topLinePunct w:val="0"/>
        <w:bidi w:val="0"/>
        <w:spacing w:line="480" w:lineRule="auto"/>
        <w:jc w:val="left"/>
        <w:textAlignment w:val="auto"/>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pStyle w:val="2"/>
        <w:rPr>
          <w:rFonts w:ascii="Times New Roman" w:hAnsi="Times New Roman" w:eastAsia="微软雅黑" w:cs="Times New Roman"/>
          <w:b/>
          <w:bCs/>
          <w:spacing w:val="15"/>
          <w:sz w:val="24"/>
          <w:szCs w:val="24"/>
          <w:lang w:bidi="ar"/>
        </w:rPr>
      </w:pPr>
    </w:p>
    <w:p>
      <w:pPr>
        <w:keepNext w:val="0"/>
        <w:keepLines w:val="0"/>
        <w:pageBreakBefore w:val="0"/>
        <w:wordWrap/>
        <w:overflowPunct/>
        <w:topLinePunct w:val="0"/>
        <w:bidi w:val="0"/>
        <w:spacing w:line="480" w:lineRule="auto"/>
        <w:jc w:val="left"/>
        <w:textAlignment w:val="auto"/>
        <w:rPr>
          <w:rFonts w:ascii="Times New Roman" w:hAnsi="Times New Roman" w:eastAsia="宋体" w:cs="Times New Roman"/>
          <w:kern w:val="0"/>
          <w:sz w:val="24"/>
          <w:szCs w:val="24"/>
          <w:shd w:val="clear" w:color="auto" w:fill="FFFFFF"/>
          <w:lang w:bidi="ar"/>
        </w:rPr>
      </w:pPr>
      <w:r>
        <w:rPr>
          <w:rFonts w:ascii="Times New Roman" w:hAnsi="Times New Roman" w:eastAsia="微软雅黑" w:cs="Times New Roman"/>
          <w:b/>
          <w:bCs/>
          <w:spacing w:val="15"/>
          <w:sz w:val="24"/>
          <w:szCs w:val="24"/>
          <w:lang w:bidi="ar"/>
        </w:rPr>
        <w:t>References</w:t>
      </w:r>
    </w:p>
    <w:p>
      <w:pPr>
        <w:keepNext w:val="0"/>
        <w:keepLines w:val="0"/>
        <w:pageBreakBefore w:val="0"/>
        <w:numPr>
          <w:ilvl w:val="0"/>
          <w:numId w:val="2"/>
        </w:numPr>
        <w:kinsoku/>
        <w:wordWrap/>
        <w:overflowPunct/>
        <w:topLinePunct w:val="0"/>
        <w:autoSpaceDE/>
        <w:autoSpaceDN/>
        <w:bidi w:val="0"/>
        <w:adjustRightInd/>
        <w:snapToGrid/>
        <w:spacing w:line="480" w:lineRule="auto"/>
        <w:ind w:left="480" w:leftChars="0" w:hanging="480" w:hangingChars="200"/>
        <w:jc w:val="both"/>
        <w:textAlignment w:val="auto"/>
        <w:rPr>
          <w:rFonts w:hint="eastAsia" w:ascii="Times New Roman" w:hAnsi="Times New Roman" w:cs="Times New Roman"/>
          <w:i w:val="0"/>
          <w:iCs w:val="0"/>
          <w:sz w:val="24"/>
          <w:szCs w:val="24"/>
        </w:rPr>
      </w:pPr>
      <w:bookmarkStart w:id="0" w:name="L1"/>
      <w:r>
        <w:rPr>
          <w:rFonts w:hint="eastAsia" w:ascii="Times New Roman" w:hAnsi="Times New Roman" w:cs="Times New Roman"/>
          <w:i w:val="0"/>
          <w:iCs w:val="0"/>
          <w:sz w:val="24"/>
          <w:szCs w:val="24"/>
        </w:rPr>
        <w:t xml:space="preserve">Lee </w:t>
      </w:r>
      <w:r>
        <w:rPr>
          <w:rFonts w:ascii="Times New Roman" w:hAnsi="Times New Roman" w:cs="Times New Roman"/>
          <w:i w:val="0"/>
          <w:iCs w:val="0"/>
          <w:sz w:val="24"/>
          <w:szCs w:val="24"/>
        </w:rPr>
        <w:t>CCY</w:t>
      </w:r>
      <w:r>
        <w:rPr>
          <w:rFonts w:hint="eastAsia" w:ascii="Times New Roman" w:hAnsi="Times New Roman" w:cs="Times New Roman"/>
          <w:i w:val="0"/>
          <w:iCs w:val="0"/>
          <w:sz w:val="24"/>
          <w:szCs w:val="24"/>
        </w:rPr>
        <w:t xml:space="preserve">, Yen </w:t>
      </w:r>
      <w:r>
        <w:rPr>
          <w:rFonts w:ascii="Times New Roman" w:hAnsi="Times New Roman" w:cs="Times New Roman"/>
          <w:i w:val="0"/>
          <w:iCs w:val="0"/>
          <w:sz w:val="24"/>
          <w:szCs w:val="24"/>
        </w:rPr>
        <w:t>H,</w:t>
      </w:r>
      <w:r>
        <w:rPr>
          <w:rFonts w:hint="eastAsia" w:ascii="Times New Roman" w:hAnsi="Times New Roman" w:cs="Times New Roman"/>
          <w:i w:val="0"/>
          <w:iCs w:val="0"/>
          <w:sz w:val="24"/>
          <w:szCs w:val="24"/>
        </w:rPr>
        <w:t xml:space="preserve"> Zhong AW, Gao H. Resolving misalignment interference for NGS-</w:t>
      </w:r>
    </w:p>
    <w:p>
      <w:pPr>
        <w:keepNext w:val="0"/>
        <w:keepLines w:val="0"/>
        <w:pageBreakBefore w:val="0"/>
        <w:numPr>
          <w:numId w:val="0"/>
        </w:numPr>
        <w:kinsoku/>
        <w:wordWrap/>
        <w:overflowPunct/>
        <w:topLinePunct w:val="0"/>
        <w:autoSpaceDE/>
        <w:autoSpaceDN/>
        <w:bidi w:val="0"/>
        <w:adjustRightInd/>
        <w:snapToGrid/>
        <w:spacing w:line="480" w:lineRule="auto"/>
        <w:ind w:leftChars="-200" w:firstLine="720" w:firstLineChars="300"/>
        <w:jc w:val="both"/>
        <w:textAlignment w:val="auto"/>
        <w:rPr>
          <w:rFonts w:ascii="Times New Roman" w:hAnsi="Times New Roman" w:cs="Times New Roman"/>
          <w:i w:val="0"/>
          <w:iCs w:val="0"/>
          <w:sz w:val="24"/>
          <w:szCs w:val="24"/>
          <w:lang w:bidi="ar"/>
        </w:rPr>
      </w:pPr>
      <w:r>
        <w:rPr>
          <w:rFonts w:hint="eastAsia" w:ascii="Times New Roman" w:hAnsi="Times New Roman" w:cs="Times New Roman"/>
          <w:i w:val="0"/>
          <w:iCs w:val="0"/>
          <w:sz w:val="24"/>
          <w:szCs w:val="24"/>
        </w:rPr>
        <w:t>based clinical diagnostics. Hum Genet. 2021;140:477-9</w:t>
      </w:r>
      <w:r>
        <w:rPr>
          <w:rFonts w:ascii="Times New Roman" w:hAnsi="Times New Roman" w:cs="Times New Roman"/>
          <w:i w:val="0"/>
          <w:iCs w:val="0"/>
          <w:sz w:val="24"/>
          <w:szCs w:val="24"/>
        </w:rPr>
        <w:t>2</w:t>
      </w:r>
      <w:r>
        <w:rPr>
          <w:rFonts w:hint="eastAsia" w:ascii="Times New Roman" w:hAnsi="Times New Roman" w:cs="Times New Roman"/>
          <w:i w:val="0"/>
          <w:iCs w:val="0"/>
          <w:sz w:val="24"/>
          <w:szCs w:val="24"/>
        </w:rPr>
        <w:t xml:space="preserve">. </w:t>
      </w:r>
    </w:p>
    <w:bookmarkEnd w:id="0"/>
    <w:p>
      <w:pPr>
        <w:keepNext w:val="0"/>
        <w:keepLines w:val="0"/>
        <w:pageBreakBefore w:val="0"/>
        <w:widowControl w:val="0"/>
        <w:numPr>
          <w:ilvl w:val="0"/>
          <w:numId w:val="2"/>
        </w:numPr>
        <w:kinsoku/>
        <w:wordWrap/>
        <w:overflowPunct/>
        <w:topLinePunct w:val="0"/>
        <w:autoSpaceDE/>
        <w:autoSpaceDN/>
        <w:bidi w:val="0"/>
        <w:adjustRightInd/>
        <w:snapToGrid/>
        <w:spacing w:line="480" w:lineRule="auto"/>
        <w:ind w:left="288" w:leftChars="0" w:hanging="288" w:hangingChars="120"/>
        <w:jc w:val="both"/>
        <w:textAlignment w:val="auto"/>
        <w:rPr>
          <w:rFonts w:hint="eastAsia" w:ascii="Times New Roman" w:hAnsi="Times New Roman" w:eastAsia="等线" w:cs="Times New Roman"/>
          <w:i w:val="0"/>
          <w:iCs w:val="0"/>
          <w:sz w:val="24"/>
          <w:szCs w:val="24"/>
          <w:lang w:bidi="ar"/>
        </w:rPr>
      </w:pPr>
      <w:bookmarkStart w:id="1" w:name="L2"/>
      <w:r>
        <w:rPr>
          <w:rFonts w:hint="eastAsia" w:ascii="Times New Roman" w:hAnsi="Times New Roman" w:eastAsia="等线" w:cs="Times New Roman"/>
          <w:i w:val="0"/>
          <w:iCs w:val="0"/>
          <w:sz w:val="24"/>
          <w:szCs w:val="24"/>
          <w:lang w:bidi="ar"/>
        </w:rPr>
        <w:t>Edwards JG, Feldman G, Goldberg J, Gregg AR, Norton ME, Rose NC, et al. Expanded</w:t>
      </w:r>
      <w:r>
        <w:rPr>
          <w:rFonts w:hint="eastAsia" w:ascii="Times New Roman" w:hAnsi="Times New Roman" w:eastAsia="等线" w:cs="Times New Roman"/>
          <w:i w:val="0"/>
          <w:iCs w:val="0"/>
          <w:sz w:val="24"/>
          <w:szCs w:val="24"/>
          <w:lang w:val="en-US" w:eastAsia="zh-CN" w:bidi="ar"/>
        </w:rPr>
        <w:t xml:space="preserve"> </w:t>
      </w:r>
      <w:r>
        <w:rPr>
          <w:rFonts w:hint="eastAsia" w:ascii="Times New Roman" w:hAnsi="Times New Roman" w:eastAsia="等线" w:cs="Times New Roman"/>
          <w:i w:val="0"/>
          <w:iCs w:val="0"/>
          <w:sz w:val="24"/>
          <w:szCs w:val="24"/>
          <w:lang w:bidi="ar"/>
        </w:rPr>
        <w:t xml:space="preserve">Carrier Screening in Reproductive Medicine-Points to Consider. Obstet Gynecol. 2015;125:653-62. </w:t>
      </w:r>
    </w:p>
    <w:bookmarkEnd w:id="1"/>
    <w:p>
      <w:pPr>
        <w:pStyle w:val="13"/>
        <w:keepNext w:val="0"/>
        <w:keepLines w:val="0"/>
        <w:pageBreakBefore w:val="0"/>
        <w:widowControl/>
        <w:numPr>
          <w:ilvl w:val="0"/>
          <w:numId w:val="2"/>
        </w:numPr>
        <w:kinsoku/>
        <w:wordWrap/>
        <w:overflowPunct/>
        <w:topLinePunct w:val="0"/>
        <w:autoSpaceDE/>
        <w:autoSpaceDN/>
        <w:bidi w:val="0"/>
        <w:adjustRightInd/>
        <w:snapToGrid/>
        <w:spacing w:line="480" w:lineRule="auto"/>
        <w:ind w:left="480" w:leftChars="0" w:hanging="480" w:hangingChars="200"/>
        <w:jc w:val="both"/>
        <w:textAlignment w:val="auto"/>
        <w:rPr>
          <w:rFonts w:hint="eastAsia" w:ascii="Times New Roman" w:hAnsi="Times New Roman" w:eastAsia="等线"/>
          <w:i w:val="0"/>
          <w:iCs w:val="0"/>
          <w:sz w:val="24"/>
          <w:szCs w:val="24"/>
          <w:lang w:val="en-US" w:eastAsia="zh-CN"/>
        </w:rPr>
      </w:pPr>
      <w:bookmarkStart w:id="2" w:name="L3"/>
      <w:r>
        <w:rPr>
          <w:rFonts w:hint="default" w:ascii="Times New Roman" w:hAnsi="Times New Roman"/>
          <w:i w:val="0"/>
          <w:iCs w:val="0"/>
          <w:sz w:val="24"/>
          <w:szCs w:val="24"/>
        </w:rPr>
        <w:t xml:space="preserve">Ben-Shachar R, Svenson A, Goldberg JD, Muzzey D. A data-driven evaluation of the </w:t>
      </w:r>
    </w:p>
    <w:p>
      <w:pPr>
        <w:pStyle w:val="13"/>
        <w:keepNext w:val="0"/>
        <w:keepLines w:val="0"/>
        <w:pageBreakBefore w:val="0"/>
        <w:widowControl/>
        <w:numPr>
          <w:numId w:val="0"/>
        </w:numPr>
        <w:kinsoku/>
        <w:wordWrap/>
        <w:overflowPunct/>
        <w:topLinePunct w:val="0"/>
        <w:autoSpaceDE/>
        <w:autoSpaceDN/>
        <w:bidi w:val="0"/>
        <w:adjustRightInd/>
        <w:snapToGrid/>
        <w:spacing w:line="480" w:lineRule="auto"/>
        <w:ind w:left="300" w:leftChars="143" w:firstLine="0" w:firstLineChars="0"/>
        <w:jc w:val="both"/>
        <w:textAlignment w:val="auto"/>
        <w:rPr>
          <w:rFonts w:hint="eastAsia" w:ascii="Times New Roman" w:hAnsi="Times New Roman" w:eastAsia="等线"/>
          <w:i w:val="0"/>
          <w:iCs w:val="0"/>
          <w:sz w:val="24"/>
          <w:szCs w:val="24"/>
          <w:lang w:val="en-US" w:eastAsia="zh-CN"/>
        </w:rPr>
      </w:pPr>
      <w:r>
        <w:rPr>
          <w:rFonts w:hint="default" w:ascii="Times New Roman" w:hAnsi="Times New Roman"/>
          <w:i w:val="0"/>
          <w:iCs w:val="0"/>
          <w:sz w:val="24"/>
          <w:szCs w:val="24"/>
        </w:rPr>
        <w:t>size and content of expanded carrier screening panels. Genet Med. 2019;21:1931-9.</w:t>
      </w:r>
      <w:bookmarkEnd w:id="2"/>
      <w:r>
        <w:rPr>
          <w:rFonts w:hint="eastAsia" w:ascii="Times New Roman" w:hAnsi="Times New Roman"/>
          <w:i w:val="0"/>
          <w:iCs w:val="0"/>
          <w:sz w:val="24"/>
          <w:szCs w:val="24"/>
          <w:lang w:val="en-US" w:eastAsia="zh-CN"/>
        </w:rPr>
        <w:t xml:space="preserve"> </w:t>
      </w:r>
    </w:p>
    <w:p>
      <w:pPr>
        <w:pStyle w:val="13"/>
        <w:keepNext w:val="0"/>
        <w:keepLines w:val="0"/>
        <w:pageBreakBefore w:val="0"/>
        <w:widowControl/>
        <w:numPr>
          <w:ilvl w:val="0"/>
          <w:numId w:val="2"/>
        </w:numPr>
        <w:kinsoku/>
        <w:wordWrap/>
        <w:overflowPunct/>
        <w:topLinePunct w:val="0"/>
        <w:autoSpaceDE/>
        <w:autoSpaceDN/>
        <w:bidi w:val="0"/>
        <w:adjustRightInd/>
        <w:snapToGrid/>
        <w:spacing w:line="480" w:lineRule="auto"/>
        <w:ind w:left="288" w:leftChars="0" w:hanging="288" w:hangingChars="120"/>
        <w:jc w:val="both"/>
        <w:textAlignment w:val="auto"/>
        <w:rPr>
          <w:rFonts w:hint="default" w:ascii="Times New Roman" w:hAnsi="Times New Roman" w:eastAsia="等线"/>
          <w:i w:val="0"/>
          <w:iCs w:val="0"/>
          <w:sz w:val="24"/>
          <w:szCs w:val="24"/>
          <w:lang w:val="en-US" w:eastAsia="zh-CN"/>
        </w:rPr>
      </w:pPr>
      <w:bookmarkStart w:id="3" w:name="L4"/>
      <w:r>
        <w:rPr>
          <w:rFonts w:hint="default" w:ascii="Times New Roman" w:hAnsi="Times New Roman"/>
          <w:i w:val="0"/>
          <w:iCs w:val="0"/>
          <w:sz w:val="24"/>
          <w:szCs w:val="24"/>
        </w:rPr>
        <w:t xml:space="preserve">Lazarin </w:t>
      </w:r>
      <w:r>
        <w:rPr>
          <w:rFonts w:hint="eastAsia" w:ascii="Times New Roman" w:hAnsi="Times New Roman"/>
          <w:i w:val="0"/>
          <w:iCs w:val="0"/>
          <w:sz w:val="24"/>
          <w:szCs w:val="24"/>
          <w:lang w:val="en-US" w:eastAsia="zh-CN"/>
        </w:rPr>
        <w:t>GA</w:t>
      </w:r>
      <w:r>
        <w:rPr>
          <w:rFonts w:hint="default" w:ascii="Times New Roman" w:hAnsi="Times New Roman"/>
          <w:i w:val="0"/>
          <w:iCs w:val="0"/>
          <w:sz w:val="24"/>
          <w:szCs w:val="24"/>
        </w:rPr>
        <w:t xml:space="preserve">, Hawthorne </w:t>
      </w:r>
      <w:r>
        <w:rPr>
          <w:rFonts w:hint="eastAsia" w:ascii="Times New Roman" w:hAnsi="Times New Roman"/>
          <w:i w:val="0"/>
          <w:iCs w:val="0"/>
          <w:sz w:val="24"/>
          <w:szCs w:val="24"/>
          <w:lang w:val="en-US" w:eastAsia="zh-CN"/>
        </w:rPr>
        <w:t>F</w:t>
      </w:r>
      <w:r>
        <w:rPr>
          <w:rFonts w:hint="default" w:ascii="Times New Roman" w:hAnsi="Times New Roman"/>
          <w:i w:val="0"/>
          <w:iCs w:val="0"/>
          <w:sz w:val="24"/>
          <w:szCs w:val="24"/>
        </w:rPr>
        <w:t xml:space="preserve">, Collins </w:t>
      </w:r>
      <w:r>
        <w:rPr>
          <w:rFonts w:hint="eastAsia" w:ascii="Times New Roman" w:hAnsi="Times New Roman"/>
          <w:i w:val="0"/>
          <w:iCs w:val="0"/>
          <w:sz w:val="24"/>
          <w:szCs w:val="24"/>
          <w:lang w:val="en-US" w:eastAsia="zh-CN"/>
        </w:rPr>
        <w:t>NS</w:t>
      </w:r>
      <w:r>
        <w:rPr>
          <w:rFonts w:hint="default" w:ascii="Times New Roman" w:hAnsi="Times New Roman"/>
          <w:i w:val="0"/>
          <w:iCs w:val="0"/>
          <w:sz w:val="24"/>
          <w:szCs w:val="24"/>
        </w:rPr>
        <w:t xml:space="preserve">, Platt </w:t>
      </w:r>
      <w:r>
        <w:rPr>
          <w:rFonts w:hint="eastAsia" w:ascii="Times New Roman" w:hAnsi="Times New Roman"/>
          <w:i w:val="0"/>
          <w:iCs w:val="0"/>
          <w:sz w:val="24"/>
          <w:szCs w:val="24"/>
          <w:lang w:val="en-US" w:eastAsia="zh-CN"/>
        </w:rPr>
        <w:t>EA</w:t>
      </w:r>
      <w:r>
        <w:rPr>
          <w:rFonts w:hint="default" w:ascii="Times New Roman" w:hAnsi="Times New Roman"/>
          <w:i w:val="0"/>
          <w:iCs w:val="0"/>
          <w:sz w:val="24"/>
          <w:szCs w:val="24"/>
        </w:rPr>
        <w:t xml:space="preserve">, Evans </w:t>
      </w:r>
      <w:r>
        <w:rPr>
          <w:rFonts w:hint="eastAsia" w:ascii="Times New Roman" w:hAnsi="Times New Roman"/>
          <w:i w:val="0"/>
          <w:iCs w:val="0"/>
          <w:sz w:val="24"/>
          <w:szCs w:val="24"/>
          <w:lang w:val="en-US" w:eastAsia="zh-CN"/>
        </w:rPr>
        <w:t>EA</w:t>
      </w:r>
      <w:r>
        <w:rPr>
          <w:rFonts w:hint="default" w:ascii="Times New Roman" w:hAnsi="Times New Roman"/>
          <w:i w:val="0"/>
          <w:iCs w:val="0"/>
          <w:sz w:val="24"/>
          <w:szCs w:val="24"/>
        </w:rPr>
        <w:t>, Haque</w:t>
      </w:r>
      <w:r>
        <w:rPr>
          <w:rFonts w:hint="eastAsia" w:ascii="Times New Roman" w:hAnsi="Times New Roman"/>
          <w:i w:val="0"/>
          <w:iCs w:val="0"/>
          <w:sz w:val="24"/>
          <w:szCs w:val="24"/>
          <w:lang w:val="en-US" w:eastAsia="zh-CN"/>
        </w:rPr>
        <w:t xml:space="preserve"> IS</w:t>
      </w:r>
      <w:r>
        <w:rPr>
          <w:rFonts w:hint="default" w:ascii="Times New Roman" w:hAnsi="Times New Roman"/>
          <w:i w:val="0"/>
          <w:iCs w:val="0"/>
          <w:sz w:val="24"/>
          <w:szCs w:val="24"/>
        </w:rPr>
        <w:t>. Systematic Classification of Disease Severity for Evaluation of Expanded Carrier Screening Panels. PLoS ONE. 2014;9</w:t>
      </w:r>
      <w:r>
        <w:rPr>
          <w:rFonts w:hint="eastAsia" w:ascii="Times New Roman" w:hAnsi="Times New Roman"/>
          <w:i w:val="0"/>
          <w:iCs w:val="0"/>
          <w:sz w:val="24"/>
          <w:szCs w:val="24"/>
          <w:lang w:val="en-US" w:eastAsia="zh-CN"/>
        </w:rPr>
        <w:t>:e114391</w:t>
      </w:r>
      <w:r>
        <w:rPr>
          <w:rFonts w:hint="default" w:ascii="Times New Roman" w:hAnsi="Times New Roman"/>
          <w:i w:val="0"/>
          <w:iCs w:val="0"/>
          <w:sz w:val="24"/>
          <w:szCs w:val="24"/>
        </w:rPr>
        <w:t>.</w:t>
      </w:r>
      <w:bookmarkEnd w:id="3"/>
      <w:r>
        <w:rPr>
          <w:rFonts w:hint="eastAsia" w:ascii="Times New Roman" w:hAnsi="Times New Roman"/>
          <w:i w:val="0"/>
          <w:iCs w:val="0"/>
          <w:sz w:val="24"/>
          <w:szCs w:val="24"/>
          <w:lang w:val="en-US" w:eastAsia="zh-CN"/>
        </w:rPr>
        <w:t xml:space="preserve"> </w:t>
      </w:r>
    </w:p>
    <w:p>
      <w:pPr>
        <w:pStyle w:val="13"/>
        <w:keepNext w:val="0"/>
        <w:keepLines w:val="0"/>
        <w:pageBreakBefore w:val="0"/>
        <w:widowControl/>
        <w:numPr>
          <w:ilvl w:val="0"/>
          <w:numId w:val="2"/>
        </w:numPr>
        <w:kinsoku/>
        <w:wordWrap/>
        <w:overflowPunct/>
        <w:topLinePunct w:val="0"/>
        <w:autoSpaceDE/>
        <w:autoSpaceDN/>
        <w:bidi w:val="0"/>
        <w:adjustRightInd/>
        <w:snapToGrid/>
        <w:spacing w:line="480" w:lineRule="auto"/>
        <w:ind w:left="288" w:leftChars="0" w:hanging="288" w:hangingChars="120"/>
        <w:jc w:val="both"/>
        <w:textAlignment w:val="auto"/>
        <w:rPr>
          <w:rFonts w:hint="default" w:ascii="Times New Roman" w:hAnsi="Times New Roman" w:eastAsia="等线"/>
          <w:i w:val="0"/>
          <w:iCs w:val="0"/>
          <w:sz w:val="24"/>
          <w:szCs w:val="24"/>
          <w:lang w:val="en-US" w:eastAsia="zh-CN"/>
        </w:rPr>
      </w:pPr>
      <w:bookmarkStart w:id="4" w:name="L5"/>
      <w:r>
        <w:rPr>
          <w:rFonts w:hint="default" w:ascii="Times New Roman" w:hAnsi="Times New Roman"/>
          <w:i w:val="0"/>
          <w:iCs w:val="0"/>
          <w:sz w:val="24"/>
          <w:szCs w:val="24"/>
        </w:rPr>
        <w:t xml:space="preserve">Arjunan A, Bellerose H, Torres R, Ben-Shachar </w:t>
      </w:r>
      <w:r>
        <w:rPr>
          <w:rFonts w:hint="eastAsia" w:ascii="Times New Roman" w:hAnsi="Times New Roman"/>
          <w:i w:val="0"/>
          <w:iCs w:val="0"/>
          <w:sz w:val="24"/>
          <w:szCs w:val="24"/>
          <w:lang w:val="en-US" w:eastAsia="zh-CN"/>
        </w:rPr>
        <w:t>R</w:t>
      </w:r>
      <w:r>
        <w:rPr>
          <w:rFonts w:hint="default" w:ascii="Times New Roman" w:hAnsi="Times New Roman"/>
          <w:i w:val="0"/>
          <w:iCs w:val="0"/>
          <w:sz w:val="24"/>
          <w:szCs w:val="24"/>
        </w:rPr>
        <w:t xml:space="preserve">, Hoffman </w:t>
      </w:r>
      <w:r>
        <w:rPr>
          <w:rFonts w:hint="eastAsia" w:ascii="Times New Roman" w:hAnsi="Times New Roman"/>
          <w:i w:val="0"/>
          <w:iCs w:val="0"/>
          <w:sz w:val="24"/>
          <w:szCs w:val="24"/>
          <w:lang w:val="en-US" w:eastAsia="zh-CN"/>
        </w:rPr>
        <w:t>JD</w:t>
      </w:r>
      <w:r>
        <w:rPr>
          <w:rFonts w:hint="default" w:ascii="Times New Roman" w:hAnsi="Times New Roman"/>
          <w:i w:val="0"/>
          <w:iCs w:val="0"/>
          <w:sz w:val="24"/>
          <w:szCs w:val="24"/>
        </w:rPr>
        <w:t xml:space="preserve">, Angle </w:t>
      </w:r>
      <w:r>
        <w:rPr>
          <w:rFonts w:hint="eastAsia" w:ascii="Times New Roman" w:hAnsi="Times New Roman"/>
          <w:i w:val="0"/>
          <w:iCs w:val="0"/>
          <w:sz w:val="24"/>
          <w:szCs w:val="24"/>
          <w:lang w:val="en-US" w:eastAsia="zh-CN"/>
        </w:rPr>
        <w:t xml:space="preserve">B, </w:t>
      </w:r>
      <w:r>
        <w:rPr>
          <w:rFonts w:hint="default" w:ascii="Times New Roman" w:hAnsi="Times New Roman"/>
          <w:i w:val="0"/>
          <w:iCs w:val="0"/>
          <w:sz w:val="24"/>
          <w:szCs w:val="24"/>
        </w:rPr>
        <w:t>et al. Evaluation and classification of severity for 176 genes on an expanded carrier screening panel. Prenat Diagn. 2020;40:1246-57.</w:t>
      </w:r>
      <w:bookmarkEnd w:id="4"/>
      <w:r>
        <w:rPr>
          <w:rFonts w:hint="eastAsia" w:ascii="Times New Roman" w:hAnsi="Times New Roman"/>
          <w:i w:val="0"/>
          <w:iCs w:val="0"/>
          <w:sz w:val="24"/>
          <w:szCs w:val="24"/>
          <w:lang w:val="en-US" w:eastAsia="zh-CN"/>
        </w:rPr>
        <w:t xml:space="preserve"> </w:t>
      </w:r>
    </w:p>
    <w:p>
      <w:pPr>
        <w:pStyle w:val="13"/>
        <w:keepNext w:val="0"/>
        <w:keepLines w:val="0"/>
        <w:pageBreakBefore w:val="0"/>
        <w:numPr>
          <w:ilvl w:val="0"/>
          <w:numId w:val="2"/>
        </w:numPr>
        <w:kinsoku/>
        <w:wordWrap/>
        <w:overflowPunct/>
        <w:topLinePunct w:val="0"/>
        <w:autoSpaceDE/>
        <w:autoSpaceDN/>
        <w:bidi w:val="0"/>
        <w:adjustRightInd/>
        <w:snapToGrid/>
        <w:spacing w:line="480" w:lineRule="auto"/>
        <w:ind w:left="480" w:leftChars="0" w:hanging="480" w:hangingChars="200"/>
        <w:jc w:val="both"/>
        <w:textAlignment w:val="auto"/>
        <w:rPr>
          <w:rFonts w:hint="eastAsia" w:ascii="Times New Roman" w:hAnsi="Times New Roman" w:eastAsia="等线"/>
          <w:i w:val="0"/>
          <w:iCs w:val="0"/>
          <w:sz w:val="24"/>
          <w:szCs w:val="24"/>
          <w:lang w:val="en-US" w:eastAsia="zh-CN"/>
        </w:rPr>
      </w:pPr>
      <w:bookmarkStart w:id="5" w:name="L7"/>
      <w:r>
        <w:rPr>
          <w:rFonts w:hint="eastAsia" w:ascii="Times New Roman" w:hAnsi="Times New Roman" w:cs="Times New Roman"/>
          <w:i w:val="0"/>
          <w:iCs w:val="0"/>
          <w:sz w:val="24"/>
          <w:szCs w:val="24"/>
          <w:lang w:val="en-US" w:eastAsia="zh-CN"/>
        </w:rPr>
        <w:t xml:space="preserve">Strom SP, Hossain WA, Grigorian M, Li M, Fierro J, Scaringe W, et al. A Streamlined </w:t>
      </w:r>
    </w:p>
    <w:p>
      <w:pPr>
        <w:pStyle w:val="13"/>
        <w:keepNext w:val="0"/>
        <w:keepLines w:val="0"/>
        <w:pageBreakBefore w:val="0"/>
        <w:numPr>
          <w:numId w:val="0"/>
        </w:numPr>
        <w:kinsoku/>
        <w:wordWrap/>
        <w:overflowPunct/>
        <w:topLinePunct w:val="0"/>
        <w:autoSpaceDE/>
        <w:autoSpaceDN/>
        <w:bidi w:val="0"/>
        <w:adjustRightInd/>
        <w:snapToGrid/>
        <w:spacing w:line="480" w:lineRule="auto"/>
        <w:ind w:left="300" w:leftChars="143" w:firstLine="0" w:firstLineChars="0"/>
        <w:jc w:val="both"/>
        <w:textAlignment w:val="auto"/>
        <w:rPr>
          <w:rFonts w:hint="eastAsia" w:ascii="Times New Roman" w:hAnsi="Times New Roman" w:eastAsia="等线"/>
          <w:i w:val="0"/>
          <w:iCs w:val="0"/>
          <w:sz w:val="24"/>
          <w:szCs w:val="24"/>
          <w:lang w:val="en-US" w:eastAsia="zh-CN"/>
        </w:rPr>
      </w:pPr>
      <w:r>
        <w:rPr>
          <w:rFonts w:hint="eastAsia" w:ascii="Times New Roman" w:hAnsi="Times New Roman" w:cs="Times New Roman"/>
          <w:i w:val="0"/>
          <w:iCs w:val="0"/>
          <w:sz w:val="24"/>
          <w:szCs w:val="24"/>
          <w:lang w:val="en-US" w:eastAsia="zh-CN"/>
        </w:rPr>
        <w:t>Approach to Prader-Willi and Angelman Syndrome Molecular Diagnostics. Front Genet. 2021;12:608889</w:t>
      </w:r>
      <w:r>
        <w:rPr>
          <w:rFonts w:hint="default" w:ascii="Times New Roman" w:hAnsi="Times New Roman"/>
          <w:i w:val="0"/>
          <w:iCs w:val="0"/>
          <w:sz w:val="24"/>
          <w:szCs w:val="24"/>
        </w:rPr>
        <w:t>.</w:t>
      </w:r>
      <w:r>
        <w:rPr>
          <w:rFonts w:hint="eastAsia" w:ascii="Times New Roman" w:hAnsi="Times New Roman"/>
          <w:i w:val="0"/>
          <w:iCs w:val="0"/>
          <w:sz w:val="24"/>
          <w:szCs w:val="24"/>
          <w:lang w:val="en-US" w:eastAsia="zh-CN"/>
        </w:rPr>
        <w:t xml:space="preserve"> </w:t>
      </w:r>
    </w:p>
    <w:bookmarkEnd w:id="5"/>
    <w:p>
      <w:pPr>
        <w:pStyle w:val="13"/>
        <w:keepNext w:val="0"/>
        <w:keepLines w:val="0"/>
        <w:pageBreakBefore w:val="0"/>
        <w:widowControl w:val="0"/>
        <w:numPr>
          <w:ilvl w:val="0"/>
          <w:numId w:val="2"/>
        </w:numPr>
        <w:kinsoku/>
        <w:wordWrap/>
        <w:overflowPunct/>
        <w:topLinePunct w:val="0"/>
        <w:autoSpaceDE/>
        <w:autoSpaceDN/>
        <w:bidi w:val="0"/>
        <w:adjustRightInd/>
        <w:snapToGrid/>
        <w:spacing w:line="480" w:lineRule="auto"/>
        <w:ind w:left="288" w:leftChars="0" w:hanging="288" w:hangingChars="120"/>
        <w:jc w:val="both"/>
        <w:textAlignment w:val="auto"/>
        <w:rPr>
          <w:rFonts w:hint="default" w:ascii="Times New Roman" w:hAnsi="Times New Roman" w:eastAsia="等线"/>
          <w:i w:val="0"/>
          <w:iCs w:val="0"/>
          <w:sz w:val="24"/>
          <w:szCs w:val="24"/>
          <w:lang w:val="en-US" w:eastAsia="zh-CN"/>
        </w:rPr>
      </w:pPr>
      <w:bookmarkStart w:id="6" w:name="L8"/>
      <w:r>
        <w:rPr>
          <w:rFonts w:hint="eastAsia" w:ascii="Times New Roman" w:hAnsi="Times New Roman" w:cs="Times New Roman"/>
          <w:i w:val="0"/>
          <w:iCs w:val="0"/>
          <w:sz w:val="24"/>
          <w:szCs w:val="24"/>
          <w:lang w:val="en-US" w:eastAsia="zh-CN"/>
        </w:rPr>
        <w:t xml:space="preserve">Richards S, Aziz N, Bale S, Bick D, Das S, Gastier-Foster J, et al. Standards and guidelines for the interpretation of sequence variants: a joint consensus </w:t>
      </w:r>
      <w:bookmarkStart w:id="7" w:name="_GoBack"/>
      <w:bookmarkEnd w:id="7"/>
      <w:r>
        <w:rPr>
          <w:rFonts w:hint="eastAsia" w:ascii="Times New Roman" w:hAnsi="Times New Roman" w:cs="Times New Roman"/>
          <w:i w:val="0"/>
          <w:iCs w:val="0"/>
          <w:sz w:val="24"/>
          <w:szCs w:val="24"/>
          <w:lang w:val="en-US" w:eastAsia="zh-CN"/>
        </w:rPr>
        <w:t>recommendation of the American College of Medical Genetics and Genomics and the Association for Molecular Pathology. Genet Med. 2015;17:405-24</w:t>
      </w:r>
      <w:r>
        <w:rPr>
          <w:rFonts w:hint="default" w:ascii="Times New Roman" w:hAnsi="Times New Roman"/>
          <w:i w:val="0"/>
          <w:iCs w:val="0"/>
          <w:sz w:val="24"/>
          <w:szCs w:val="24"/>
        </w:rPr>
        <w:t>.</w:t>
      </w:r>
      <w:bookmarkEnd w:id="6"/>
      <w:r>
        <w:rPr>
          <w:rFonts w:hint="eastAsia" w:ascii="Times New Roman" w:hAnsi="Times New Roman"/>
          <w:i w:val="0"/>
          <w:iCs w:val="0"/>
          <w:sz w:val="24"/>
          <w:szCs w:val="24"/>
          <w:lang w:val="en-US" w:eastAsia="zh-CN"/>
        </w:rPr>
        <w:t xml:space="preserve"> </w:t>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1A41A"/>
    <w:multiLevelType w:val="singleLevel"/>
    <w:tmpl w:val="8D41A41A"/>
    <w:lvl w:ilvl="0" w:tentative="0">
      <w:start w:val="1"/>
      <w:numFmt w:val="decimal"/>
      <w:suff w:val="space"/>
      <w:lvlText w:val="%1."/>
      <w:lvlJc w:val="left"/>
    </w:lvl>
  </w:abstractNum>
  <w:abstractNum w:abstractNumId="1">
    <w:nsid w:val="BE02610C"/>
    <w:multiLevelType w:val="singleLevel"/>
    <w:tmpl w:val="BE02610C"/>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4OWQ4NzY0ZmVmZmNmMDk5YjkxZjM1MzBkZDdmMjkifQ=="/>
  </w:docVars>
  <w:rsids>
    <w:rsidRoot w:val="11BA2A43"/>
    <w:rsid w:val="00246C42"/>
    <w:rsid w:val="00340386"/>
    <w:rsid w:val="003D1D0C"/>
    <w:rsid w:val="004479BF"/>
    <w:rsid w:val="005541A0"/>
    <w:rsid w:val="00611425"/>
    <w:rsid w:val="0061439D"/>
    <w:rsid w:val="00723587"/>
    <w:rsid w:val="007617CC"/>
    <w:rsid w:val="0081334A"/>
    <w:rsid w:val="008D05AA"/>
    <w:rsid w:val="009C2A20"/>
    <w:rsid w:val="00A049EA"/>
    <w:rsid w:val="00B76012"/>
    <w:rsid w:val="00BA532C"/>
    <w:rsid w:val="00C12396"/>
    <w:rsid w:val="00C85346"/>
    <w:rsid w:val="00CB678D"/>
    <w:rsid w:val="00CC10F6"/>
    <w:rsid w:val="00D32927"/>
    <w:rsid w:val="00E87DB1"/>
    <w:rsid w:val="00EA034E"/>
    <w:rsid w:val="00EE496F"/>
    <w:rsid w:val="00F202E1"/>
    <w:rsid w:val="00FB60C8"/>
    <w:rsid w:val="038D08F7"/>
    <w:rsid w:val="05002A44"/>
    <w:rsid w:val="07B76CEE"/>
    <w:rsid w:val="0CF70708"/>
    <w:rsid w:val="0F5372FC"/>
    <w:rsid w:val="11BA2A43"/>
    <w:rsid w:val="137678C0"/>
    <w:rsid w:val="13C11D42"/>
    <w:rsid w:val="216B4336"/>
    <w:rsid w:val="220A6CAD"/>
    <w:rsid w:val="26AC1E16"/>
    <w:rsid w:val="30DD5608"/>
    <w:rsid w:val="383445DB"/>
    <w:rsid w:val="395775B1"/>
    <w:rsid w:val="3E322D18"/>
    <w:rsid w:val="4266432C"/>
    <w:rsid w:val="431F1FBB"/>
    <w:rsid w:val="43BA35BC"/>
    <w:rsid w:val="45D517AD"/>
    <w:rsid w:val="603427EE"/>
    <w:rsid w:val="6388493C"/>
    <w:rsid w:val="6B6F1522"/>
    <w:rsid w:val="6F141779"/>
    <w:rsid w:val="757034CE"/>
    <w:rsid w:val="7A0A2CBC"/>
    <w:rsid w:val="7AAB2386"/>
    <w:rsid w:val="7E861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autoSpaceDE w:val="0"/>
      <w:autoSpaceDN w:val="0"/>
      <w:adjustRightInd w:val="0"/>
      <w:snapToGrid w:val="0"/>
      <w:spacing w:before="240" w:after="240"/>
      <w:ind w:firstLine="0" w:firstLineChars="0"/>
      <w:jc w:val="left"/>
      <w:outlineLvl w:val="0"/>
    </w:pPr>
    <w:rPr>
      <w:rFonts w:cs="Book Antiqua" w:eastAsiaTheme="minorEastAsia"/>
      <w:b/>
      <w:bCs/>
      <w:kern w:val="0"/>
      <w:sz w:val="24"/>
      <w:szCs w:val="20"/>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4">
    <w:name w:val="footer"/>
    <w:basedOn w:val="1"/>
    <w:link w:val="16"/>
    <w:autoRedefine/>
    <w:qFormat/>
    <w:uiPriority w:val="0"/>
    <w:pPr>
      <w:tabs>
        <w:tab w:val="center" w:pos="4153"/>
        <w:tab w:val="right" w:pos="8306"/>
      </w:tabs>
      <w:snapToGrid w:val="0"/>
      <w:jc w:val="left"/>
    </w:pPr>
    <w:rPr>
      <w:sz w:val="18"/>
      <w:szCs w:val="18"/>
    </w:rPr>
  </w:style>
  <w:style w:type="paragraph" w:styleId="5">
    <w:name w:val="header"/>
    <w:basedOn w:val="1"/>
    <w:link w:val="15"/>
    <w:autoRedefine/>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widowControl/>
      <w:shd w:val="clear" w:color="auto" w:fill="FFFFFF"/>
      <w:spacing w:line="480" w:lineRule="auto"/>
      <w:ind w:firstLine="480" w:firstLineChars="200"/>
    </w:pPr>
    <w:rPr>
      <w:rFonts w:ascii="等线" w:hAnsi="等线" w:eastAsia="等线" w:cs="Times New Roman"/>
      <w:kern w:val="0"/>
      <w:sz w:val="24"/>
    </w:rPr>
  </w:style>
  <w:style w:type="character" w:styleId="9">
    <w:name w:val="FollowedHyperlink"/>
    <w:basedOn w:val="8"/>
    <w:autoRedefine/>
    <w:qFormat/>
    <w:uiPriority w:val="0"/>
    <w:rPr>
      <w:color w:val="954F72"/>
      <w:u w:val="single"/>
    </w:rPr>
  </w:style>
  <w:style w:type="character" w:styleId="10">
    <w:name w:val="Emphasis"/>
    <w:basedOn w:val="8"/>
    <w:autoRedefine/>
    <w:qFormat/>
    <w:uiPriority w:val="0"/>
    <w:rPr>
      <w:i/>
    </w:rPr>
  </w:style>
  <w:style w:type="character" w:styleId="11">
    <w:name w:val="Hyperlink"/>
    <w:basedOn w:val="8"/>
    <w:autoRedefine/>
    <w:qFormat/>
    <w:uiPriority w:val="0"/>
    <w:rPr>
      <w:color w:val="0000FF"/>
      <w:u w:val="single"/>
    </w:rPr>
  </w:style>
  <w:style w:type="paragraph" w:customStyle="1" w:styleId="12">
    <w:name w:val="msolistparagraph"/>
    <w:basedOn w:val="1"/>
    <w:autoRedefine/>
    <w:qFormat/>
    <w:uiPriority w:val="0"/>
    <w:pPr>
      <w:ind w:firstLine="420" w:firstLineChars="200"/>
    </w:pPr>
    <w:rPr>
      <w:rFonts w:ascii="Calibri" w:hAnsi="Calibri" w:eastAsia="宋体" w:cs="Times New Roman"/>
      <w:szCs w:val="21"/>
    </w:rPr>
  </w:style>
  <w:style w:type="paragraph" w:customStyle="1" w:styleId="13">
    <w:name w:val="EndNote Bibliography"/>
    <w:basedOn w:val="1"/>
    <w:link w:val="14"/>
    <w:autoRedefine/>
    <w:qFormat/>
    <w:uiPriority w:val="0"/>
    <w:pPr>
      <w:jc w:val="left"/>
    </w:pPr>
    <w:rPr>
      <w:rFonts w:hint="eastAsia" w:ascii="等线" w:hAnsi="等线" w:eastAsia="等线" w:cs="Times New Roman"/>
      <w:sz w:val="20"/>
      <w:szCs w:val="22"/>
    </w:rPr>
  </w:style>
  <w:style w:type="character" w:customStyle="1" w:styleId="14">
    <w:name w:val="EndNote Bibliography 字符"/>
    <w:basedOn w:val="8"/>
    <w:link w:val="13"/>
    <w:autoRedefine/>
    <w:qFormat/>
    <w:uiPriority w:val="0"/>
    <w:rPr>
      <w:rFonts w:hint="eastAsia" w:ascii="等线" w:hAnsi="等线" w:eastAsia="等线" w:cs="等线"/>
      <w:kern w:val="2"/>
      <w:szCs w:val="22"/>
    </w:rPr>
  </w:style>
  <w:style w:type="character" w:customStyle="1" w:styleId="15">
    <w:name w:val="页眉 字符"/>
    <w:basedOn w:val="8"/>
    <w:link w:val="5"/>
    <w:autoRedefine/>
    <w:qFormat/>
    <w:uiPriority w:val="0"/>
    <w:rPr>
      <w:rFonts w:asciiTheme="minorHAnsi" w:hAnsiTheme="minorHAnsi" w:eastAsiaTheme="minorEastAsia" w:cstheme="minorBidi"/>
      <w:kern w:val="2"/>
      <w:sz w:val="18"/>
      <w:szCs w:val="18"/>
    </w:rPr>
  </w:style>
  <w:style w:type="character" w:customStyle="1" w:styleId="16">
    <w:name w:val="页脚 字符"/>
    <w:basedOn w:val="8"/>
    <w:link w:val="4"/>
    <w:autoRedefine/>
    <w:qFormat/>
    <w:uiPriority w:val="0"/>
    <w:rPr>
      <w:rFonts w:asciiTheme="minorHAnsi" w:hAnsiTheme="minorHAnsi" w:eastAsiaTheme="minorEastAsia" w:cstheme="minorBidi"/>
      <w:kern w:val="2"/>
      <w:sz w:val="18"/>
      <w:szCs w:val="18"/>
    </w:rPr>
  </w:style>
  <w:style w:type="character" w:customStyle="1" w:styleId="17">
    <w:name w:val="未处理的提及1"/>
    <w:basedOn w:val="8"/>
    <w:autoRedefine/>
    <w:semiHidden/>
    <w:unhideWhenUsed/>
    <w:qFormat/>
    <w:uiPriority w:val="99"/>
    <w:rPr>
      <w:color w:val="605E5C"/>
      <w:shd w:val="clear" w:color="auto" w:fill="E1DFDD"/>
    </w:rPr>
  </w:style>
  <w:style w:type="paragraph" w:styleId="18">
    <w:name w:val="List Paragraph"/>
    <w:basedOn w:val="1"/>
    <w:autoRedefine/>
    <w:qFormat/>
    <w:uiPriority w:val="99"/>
    <w:pPr>
      <w:ind w:firstLine="420" w:firstLineChars="200"/>
    </w:pPr>
    <w:rPr>
      <w:rFonts w:ascii="Calibri" w:hAnsi="Calibri" w:eastAsia="宋体" w:cs="Calibri"/>
      <w:szCs w:val="21"/>
    </w:rPr>
  </w:style>
  <w:style w:type="paragraph" w:customStyle="1" w:styleId="19">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1101</Words>
  <Characters>6607</Characters>
  <Lines>115</Lines>
  <Paragraphs>32</Paragraphs>
  <TotalTime>2</TotalTime>
  <ScaleCrop>false</ScaleCrop>
  <LinksUpToDate>false</LinksUpToDate>
  <CharactersWithSpaces>7676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2023-09-25T13:22:00Z</dcterms:created>
  <dc:creator>贾佳</dc:creator>
  <cp:lastModifiedBy>周周</cp:lastModifiedBy>
  <dcterms:modified xsi:type="dcterms:W3CDTF">2024-06-07T03:32:53Z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7A6E8C2DD0A943C4B74C7261CFF397FE_13</vt:lpwstr>
  </property>
  <property fmtid="{D5CDD505-2E9C-101B-9397-08002B2CF9AE}" pid="4" name="GrammarlyDocumentId">
    <vt:lpwstr>67b61dd70ae9ca5bdcb34b08a80b50dc2c658a85d3fbae54d66483b45878eddc</vt:lpwstr>
  </property>
</Properties>
</file>