
<file path=[Content_Types].xml><?xml version="1.0" encoding="utf-8"?>
<Types xmlns="http://schemas.openxmlformats.org/package/2006/content-types">
  <Default Extension="xml" ContentType="application/xml"/>
  <Default Extension="wmf" ContentType="image/x-wmf"/>
  <Default Extension="tiff" ContentType="image/tif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Theme="minorEastAsia"/>
          <w:b/>
          <w:bCs/>
          <w:sz w:val="32"/>
          <w:szCs w:val="32"/>
          <w:lang w:eastAsia="zh-CN"/>
        </w:rPr>
      </w:pPr>
      <w:r>
        <w:rPr>
          <w:b/>
          <w:bCs/>
          <w:sz w:val="32"/>
          <w:szCs w:val="32"/>
        </w:rPr>
        <w:t xml:space="preserve">Supporting Information </w:t>
      </w:r>
      <w:r>
        <w:rPr>
          <w:rFonts w:hint="eastAsia"/>
          <w:b/>
          <w:bCs/>
          <w:sz w:val="32"/>
          <w:szCs w:val="32"/>
        </w:rPr>
        <w:t>for</w:t>
      </w:r>
      <w:r>
        <w:rPr>
          <w:b/>
          <w:bCs/>
          <w:sz w:val="32"/>
          <w:szCs w:val="32"/>
        </w:rPr>
        <w:t>:</w:t>
      </w:r>
    </w:p>
    <w:p>
      <w:pPr>
        <w:jc w:val="both"/>
        <w:rPr>
          <w:rFonts w:eastAsiaTheme="minorEastAsia"/>
          <w:b/>
          <w:bCs/>
          <w:sz w:val="32"/>
          <w:szCs w:val="32"/>
          <w:lang w:eastAsia="zh-CN"/>
        </w:rPr>
      </w:pPr>
    </w:p>
    <w:p>
      <w:pPr>
        <w:snapToGrid w:val="0"/>
        <w:spacing w:line="480" w:lineRule="auto"/>
        <w:jc w:val="both"/>
        <w:outlineLvl w:val="0"/>
        <w:rPr>
          <w:rFonts w:eastAsia="宋体"/>
          <w:b/>
          <w:bCs/>
          <w:color w:val="000000" w:themeColor="text1"/>
          <w14:textFill>
            <w14:solidFill>
              <w14:schemeClr w14:val="tx1"/>
            </w14:solidFill>
          </w14:textFill>
        </w:rPr>
      </w:pPr>
      <w:bookmarkStart w:id="0" w:name="_Hlk154329612"/>
      <w:r>
        <w:rPr>
          <w:rFonts w:eastAsia="宋体"/>
          <w:b/>
          <w:bCs/>
        </w:rPr>
        <w:t>ZIF-8-on-MIL-68(G</w:t>
      </w:r>
      <w:r>
        <w:rPr>
          <w:rFonts w:hint="eastAsia" w:eastAsia="宋体"/>
          <w:b/>
          <w:bCs/>
        </w:rPr>
        <w:t>a</w:t>
      </w:r>
      <w:r>
        <w:rPr>
          <w:rFonts w:eastAsia="宋体"/>
          <w:b/>
          <w:bCs/>
        </w:rPr>
        <w:t>)</w:t>
      </w:r>
      <w:r>
        <w:rPr>
          <w:rFonts w:eastAsia="宋体"/>
          <w:b/>
          <w:bCs/>
          <w:color w:val="000000" w:themeColor="text1"/>
          <w14:textFill>
            <w14:solidFill>
              <w14:schemeClr w14:val="tx1"/>
            </w14:solidFill>
          </w14:textFill>
        </w:rPr>
        <w:t xml:space="preserve"> Derived S-scheme H</w:t>
      </w:r>
      <w:r>
        <w:rPr>
          <w:rFonts w:hint="eastAsia" w:eastAsia="宋体"/>
          <w:b/>
          <w:bCs/>
          <w:color w:val="000000" w:themeColor="text1"/>
          <w14:textFill>
            <w14:solidFill>
              <w14:schemeClr w14:val="tx1"/>
            </w14:solidFill>
          </w14:textFill>
        </w:rPr>
        <w:t>etero</w:t>
      </w:r>
      <w:r>
        <w:rPr>
          <w:rFonts w:eastAsia="宋体"/>
          <w:b/>
          <w:bCs/>
          <w:color w:val="000000" w:themeColor="text1"/>
          <w14:textFill>
            <w14:solidFill>
              <w14:schemeClr w14:val="tx1"/>
            </w14:solidFill>
          </w14:textFill>
        </w:rPr>
        <w:t xml:space="preserve">junction </w:t>
      </w:r>
      <w:r>
        <w:rPr>
          <w:rFonts w:hint="eastAsia" w:eastAsia="宋体"/>
          <w:b/>
          <w:bCs/>
          <w:color w:val="000000" w:themeColor="text1"/>
          <w14:textFill>
            <w14:solidFill>
              <w14:schemeClr w14:val="tx1"/>
            </w14:solidFill>
          </w14:textFill>
        </w:rPr>
        <w:t>for</w:t>
      </w:r>
      <w:r>
        <w:rPr>
          <w:rFonts w:eastAsia="宋体"/>
          <w:b/>
          <w:bCs/>
          <w:color w:val="000000" w:themeColor="text1"/>
          <w14:textFill>
            <w14:solidFill>
              <w14:schemeClr w14:val="tx1"/>
            </w14:solidFill>
          </w14:textFill>
        </w:rPr>
        <w:t xml:space="preserve"> Photocatalytic Reduction CO</w:t>
      </w:r>
      <w:r>
        <w:rPr>
          <w:rFonts w:eastAsia="宋体"/>
          <w:b/>
          <w:bCs/>
          <w:color w:val="000000" w:themeColor="text1"/>
          <w:vertAlign w:val="subscript"/>
          <w14:textFill>
            <w14:solidFill>
              <w14:schemeClr w14:val="tx1"/>
            </w14:solidFill>
          </w14:textFill>
        </w:rPr>
        <w:t>2</w:t>
      </w:r>
      <w:r>
        <w:rPr>
          <w:rFonts w:eastAsia="宋体"/>
          <w:b/>
          <w:bCs/>
          <w:color w:val="000000" w:themeColor="text1"/>
          <w14:textFill>
            <w14:solidFill>
              <w14:schemeClr w14:val="tx1"/>
            </w14:solidFill>
          </w14:textFill>
        </w:rPr>
        <w:t> to CH</w:t>
      </w:r>
      <w:r>
        <w:rPr>
          <w:rFonts w:eastAsia="宋体"/>
          <w:b/>
          <w:bCs/>
          <w:color w:val="000000" w:themeColor="text1"/>
          <w:vertAlign w:val="subscript"/>
          <w14:textFill>
            <w14:solidFill>
              <w14:schemeClr w14:val="tx1"/>
            </w14:solidFill>
          </w14:textFill>
        </w:rPr>
        <w:t xml:space="preserve">4  </w:t>
      </w:r>
      <w:r>
        <w:rPr>
          <w:rFonts w:eastAsia="宋体"/>
          <w:b/>
          <w:bCs/>
          <w:color w:val="000000" w:themeColor="text1"/>
          <w14:textFill>
            <w14:solidFill>
              <w14:schemeClr w14:val="tx1"/>
            </w14:solidFill>
          </w14:textFill>
        </w:rPr>
        <w:t xml:space="preserve">in Pure </w:t>
      </w:r>
      <w:r>
        <w:rPr>
          <w:rFonts w:hint="eastAsia" w:eastAsia="宋体"/>
          <w:b/>
          <w:bCs/>
          <w:color w:val="000000" w:themeColor="text1"/>
          <w:lang w:val="en-US" w:eastAsia="zh-CN"/>
          <w14:textFill>
            <w14:solidFill>
              <w14:schemeClr w14:val="tx1"/>
            </w14:solidFill>
          </w14:textFill>
        </w:rPr>
        <w:t>W</w:t>
      </w:r>
      <w:r>
        <w:rPr>
          <w:rFonts w:eastAsia="宋体"/>
          <w:b/>
          <w:bCs/>
          <w:color w:val="000000" w:themeColor="text1"/>
          <w14:textFill>
            <w14:solidFill>
              <w14:schemeClr w14:val="tx1"/>
            </w14:solidFill>
          </w14:textFill>
        </w:rPr>
        <w:t xml:space="preserve">ater </w:t>
      </w:r>
    </w:p>
    <w:bookmarkEnd w:id="0"/>
    <w:p>
      <w:pPr>
        <w:kinsoku w:val="0"/>
        <w:overflowPunct w:val="0"/>
        <w:autoSpaceDE w:val="0"/>
        <w:autoSpaceDN w:val="0"/>
        <w:adjustRightInd w:val="0"/>
        <w:snapToGrid w:val="0"/>
        <w:spacing w:line="360" w:lineRule="auto"/>
        <w:rPr>
          <w:rFonts w:hint="default" w:eastAsia="宋体"/>
          <w:i/>
          <w:color w:val="000000" w:themeColor="text1"/>
          <w:vertAlign w:val="superscript"/>
          <w:lang w:val="en-US" w:eastAsia="zh-CN"/>
          <w14:textFill>
            <w14:solidFill>
              <w14:schemeClr w14:val="tx1"/>
            </w14:solidFill>
          </w14:textFill>
        </w:rPr>
      </w:pPr>
      <w:r>
        <w:rPr>
          <w:i/>
          <w:color w:val="000000" w:themeColor="text1"/>
          <w:lang w:val="en-US"/>
          <w14:textFill>
            <w14:solidFill>
              <w14:schemeClr w14:val="tx1"/>
            </w14:solidFill>
          </w14:textFill>
        </w:rPr>
        <w:t>Yu Ma</w:t>
      </w:r>
      <w:r>
        <w:rPr>
          <w:i/>
          <w:color w:val="000000" w:themeColor="text1"/>
          <w:vertAlign w:val="superscript"/>
          <w:lang w:val="en-US"/>
          <w14:textFill>
            <w14:solidFill>
              <w14:schemeClr w14:val="tx1"/>
            </w14:solidFill>
          </w14:textFill>
        </w:rPr>
        <w:t>#, a</w:t>
      </w:r>
      <w:r>
        <w:rPr>
          <w:i/>
          <w:color w:val="000000" w:themeColor="text1"/>
          <w:lang w:val="en-US"/>
          <w14:textFill>
            <w14:solidFill>
              <w14:schemeClr w14:val="tx1"/>
            </w14:solidFill>
          </w14:textFill>
        </w:rPr>
        <w:t>, Qingqing Jiang</w:t>
      </w:r>
      <w:r>
        <w:rPr>
          <w:i/>
          <w:color w:val="000000" w:themeColor="text1"/>
          <w:vertAlign w:val="superscript"/>
          <w:lang w:val="en-US"/>
          <w14:textFill>
            <w14:solidFill>
              <w14:schemeClr w14:val="tx1"/>
            </w14:solidFill>
          </w14:textFill>
        </w:rPr>
        <w:t>#,*, a</w:t>
      </w:r>
      <w:r>
        <w:rPr>
          <w:i/>
          <w:color w:val="000000" w:themeColor="text1"/>
          <w:lang w:val="en-US"/>
          <w14:textFill>
            <w14:solidFill>
              <w14:schemeClr w14:val="tx1"/>
            </w14:solidFill>
          </w14:textFill>
        </w:rPr>
        <w:t xml:space="preserve">, Hao Yu </w:t>
      </w:r>
      <w:r>
        <w:rPr>
          <w:i/>
          <w:color w:val="000000" w:themeColor="text1"/>
          <w:vertAlign w:val="superscript"/>
          <w:lang w:val="en-US"/>
          <w14:textFill>
            <w14:solidFill>
              <w14:schemeClr w14:val="tx1"/>
            </w14:solidFill>
          </w14:textFill>
        </w:rPr>
        <w:t>a</w:t>
      </w:r>
      <w:r>
        <w:rPr>
          <w:i/>
          <w:color w:val="000000" w:themeColor="text1"/>
          <w:lang w:val="en-US"/>
          <w14:textFill>
            <w14:solidFill>
              <w14:schemeClr w14:val="tx1"/>
            </w14:solidFill>
          </w14:textFill>
        </w:rPr>
        <w:t xml:space="preserve">, Qin Li </w:t>
      </w:r>
      <w:r>
        <w:rPr>
          <w:i/>
          <w:color w:val="000000" w:themeColor="text1"/>
          <w:vertAlign w:val="superscript"/>
          <w:lang w:val="en-US"/>
          <w14:textFill>
            <w14:solidFill>
              <w14:schemeClr w14:val="tx1"/>
            </w14:solidFill>
          </w14:textFill>
        </w:rPr>
        <w:t>a</w:t>
      </w:r>
      <w:r>
        <w:rPr>
          <w:i/>
          <w:color w:val="000000" w:themeColor="text1"/>
          <w:lang w:val="en-US"/>
          <w14:textFill>
            <w14:solidFill>
              <w14:schemeClr w14:val="tx1"/>
            </w14:solidFill>
          </w14:textFill>
        </w:rPr>
        <w:t xml:space="preserve">, Kangle Lv </w:t>
      </w:r>
      <w:r>
        <w:rPr>
          <w:i/>
          <w:color w:val="000000" w:themeColor="text1"/>
          <w:vertAlign w:val="superscript"/>
          <w:lang w:val="en-US"/>
          <w14:textFill>
            <w14:solidFill>
              <w14:schemeClr w14:val="tx1"/>
            </w14:solidFill>
          </w14:textFill>
        </w:rPr>
        <w:t>a</w:t>
      </w:r>
      <w:r>
        <w:rPr>
          <w:i/>
          <w:color w:val="000000" w:themeColor="text1"/>
          <w:lang w:val="en-US"/>
          <w14:textFill>
            <w14:solidFill>
              <w14:schemeClr w14:val="tx1"/>
            </w14:solidFill>
          </w14:textFill>
        </w:rPr>
        <w:t xml:space="preserve">, Juncheng Hu </w:t>
      </w:r>
      <w:r>
        <w:rPr>
          <w:i/>
          <w:color w:val="000000" w:themeColor="text1"/>
          <w:vertAlign w:val="superscript"/>
          <w:lang w:val="en-US"/>
          <w14:textFill>
            <w14:solidFill>
              <w14:schemeClr w14:val="tx1"/>
            </w14:solidFill>
          </w14:textFill>
        </w:rPr>
        <w:t>*</w:t>
      </w:r>
      <w:r>
        <w:rPr>
          <w:rFonts w:hint="eastAsia" w:eastAsia="宋体"/>
          <w:i/>
          <w:color w:val="000000" w:themeColor="text1"/>
          <w:vertAlign w:val="superscript"/>
          <w:lang w:val="en-US" w:eastAsia="zh-CN"/>
          <w14:textFill>
            <w14:solidFill>
              <w14:schemeClr w14:val="tx1"/>
            </w14:solidFill>
          </w14:textFill>
        </w:rPr>
        <w:t>,</w:t>
      </w:r>
      <w:r>
        <w:rPr>
          <w:rFonts w:hint="eastAsia"/>
          <w:i/>
          <w:color w:val="000000" w:themeColor="text1"/>
          <w:vertAlign w:val="superscript"/>
          <w:lang w:val="en-US"/>
          <w14:textFill>
            <w14:solidFill>
              <w14:schemeClr w14:val="tx1"/>
            </w14:solidFill>
          </w14:textFill>
        </w:rPr>
        <w:t xml:space="preserve"> </w:t>
      </w:r>
      <w:r>
        <w:rPr>
          <w:i/>
          <w:color w:val="000000" w:themeColor="text1"/>
          <w:vertAlign w:val="superscript"/>
          <w:lang w:val="en-US"/>
          <w14:textFill>
            <w14:solidFill>
              <w14:schemeClr w14:val="tx1"/>
            </w14:solidFill>
          </w14:textFill>
        </w:rPr>
        <w:t>a</w:t>
      </w:r>
      <w:r>
        <w:rPr>
          <w:i/>
          <w:color w:val="000000" w:themeColor="text1"/>
          <w:lang w:val="en-US"/>
          <w14:textFill>
            <w14:solidFill>
              <w14:schemeClr w14:val="tx1"/>
            </w14:solidFill>
          </w14:textFill>
        </w:rPr>
        <w:t xml:space="preserve"> ,</w:t>
      </w:r>
      <w:r>
        <w:rPr>
          <w:rFonts w:hint="eastAsia" w:eastAsia="宋体"/>
          <w:i/>
          <w:color w:val="000000" w:themeColor="text1"/>
          <w:lang w:val="en-US" w:eastAsia="zh-CN"/>
          <w14:textFill>
            <w14:solidFill>
              <w14:schemeClr w14:val="tx1"/>
            </w14:solidFill>
          </w14:textFill>
        </w:rPr>
        <w:t xml:space="preserve"> Ryan Richards </w:t>
      </w:r>
      <w:r>
        <w:rPr>
          <w:i/>
          <w:color w:val="000000" w:themeColor="text1"/>
          <w:vertAlign w:val="superscript"/>
          <w:lang w:val="en-US"/>
          <w14:textFill>
            <w14:solidFill>
              <w14:schemeClr w14:val="tx1"/>
            </w14:solidFill>
          </w14:textFill>
        </w:rPr>
        <w:t>*</w:t>
      </w:r>
      <w:r>
        <w:rPr>
          <w:rFonts w:hint="eastAsia" w:eastAsia="宋体"/>
          <w:i/>
          <w:color w:val="000000" w:themeColor="text1"/>
          <w:vertAlign w:val="superscript"/>
          <w:lang w:val="en-US" w:eastAsia="zh-CN"/>
          <w14:textFill>
            <w14:solidFill>
              <w14:schemeClr w14:val="tx1"/>
            </w14:solidFill>
          </w14:textFill>
        </w:rPr>
        <w:t>, b,c</w:t>
      </w:r>
    </w:p>
    <w:p>
      <w:pPr>
        <w:kinsoku w:val="0"/>
        <w:overflowPunct w:val="0"/>
        <w:autoSpaceDE w:val="0"/>
        <w:autoSpaceDN w:val="0"/>
        <w:adjustRightInd w:val="0"/>
        <w:snapToGrid w:val="0"/>
        <w:spacing w:line="360" w:lineRule="auto"/>
      </w:pPr>
      <w:r>
        <w:rPr>
          <w:vertAlign w:val="superscript"/>
        </w:rPr>
        <w:t>a</w:t>
      </w:r>
      <w:r>
        <w:t xml:space="preserve">Key Laboratory of Catalysis and Energy Materials Chemistry of Ministry of Education, School of Chemistry and Materials Science, South-Central </w:t>
      </w:r>
      <w:r>
        <w:rPr>
          <w:rFonts w:hint="eastAsia"/>
        </w:rPr>
        <w:t xml:space="preserve">Minzu </w:t>
      </w:r>
      <w:r>
        <w:t>University, Wuhan 430074, China</w:t>
      </w:r>
    </w:p>
    <w:p>
      <w:pPr>
        <w:kinsoku w:val="0"/>
        <w:overflowPunct w:val="0"/>
        <w:autoSpaceDE w:val="0"/>
        <w:autoSpaceDN w:val="0"/>
        <w:adjustRightInd w:val="0"/>
        <w:snapToGrid w:val="0"/>
        <w:spacing w:line="360" w:lineRule="auto"/>
        <w:rPr>
          <w:rFonts w:hint="eastAsia" w:eastAsia="宋体"/>
          <w:lang w:val="en-US" w:eastAsia="zh-CN"/>
        </w:rPr>
      </w:pPr>
      <w:r>
        <w:rPr>
          <w:rFonts w:hint="eastAsia" w:eastAsia="宋体"/>
          <w:vertAlign w:val="superscript"/>
          <w:lang w:val="en-US" w:eastAsia="zh-CN"/>
        </w:rPr>
        <w:t>b</w:t>
      </w:r>
      <w:r>
        <w:rPr>
          <w:rFonts w:hint="eastAsia" w:eastAsia="宋体"/>
          <w:lang w:val="en-US" w:eastAsia="zh-CN"/>
        </w:rPr>
        <w:t>Department of Chemistry, Colorado School of Mines, Golden, Colorado 80401, United States</w:t>
      </w:r>
    </w:p>
    <w:p>
      <w:pPr>
        <w:kinsoku w:val="0"/>
        <w:overflowPunct w:val="0"/>
        <w:autoSpaceDE w:val="0"/>
        <w:autoSpaceDN w:val="0"/>
        <w:adjustRightInd w:val="0"/>
        <w:snapToGrid w:val="0"/>
        <w:spacing w:line="360" w:lineRule="auto"/>
        <w:rPr>
          <w:rFonts w:hint="eastAsia" w:eastAsia="宋体"/>
          <w:lang w:val="en-US" w:eastAsia="zh-CN"/>
        </w:rPr>
      </w:pPr>
      <w:r>
        <w:rPr>
          <w:rFonts w:hint="eastAsia" w:eastAsia="宋体"/>
          <w:vertAlign w:val="superscript"/>
          <w:lang w:val="en-US" w:eastAsia="zh-CN"/>
        </w:rPr>
        <w:t>c</w:t>
      </w:r>
      <w:r>
        <w:rPr>
          <w:rFonts w:hint="eastAsia" w:eastAsia="宋体"/>
          <w:lang w:val="en-US" w:eastAsia="zh-CN"/>
        </w:rPr>
        <w:t>National Renewable Energy Laboratory, 15523 Denver West Parkway, Golden, Colorado 80401, United States</w:t>
      </w:r>
    </w:p>
    <w:p>
      <w:pPr>
        <w:kinsoku w:val="0"/>
        <w:overflowPunct w:val="0"/>
        <w:autoSpaceDE w:val="0"/>
        <w:autoSpaceDN w:val="0"/>
        <w:adjustRightInd w:val="0"/>
        <w:snapToGrid w:val="0"/>
        <w:spacing w:line="360" w:lineRule="auto"/>
        <w:rPr>
          <w:b/>
          <w:color w:val="000000"/>
          <w:sz w:val="28"/>
          <w:szCs w:val="28"/>
        </w:rPr>
      </w:pPr>
      <w:r>
        <w:rPr>
          <w:rFonts w:hint="eastAsia"/>
          <w:vertAlign w:val="superscript"/>
        </w:rPr>
        <w:t>#</w:t>
      </w:r>
      <w:r>
        <w:t xml:space="preserve"> Y</w:t>
      </w:r>
      <w:r>
        <w:rPr>
          <w:rFonts w:hint="eastAsia"/>
        </w:rPr>
        <w:t>u</w:t>
      </w:r>
      <w:r>
        <w:t xml:space="preserve"> Ma and Qingqing Jiang contributes equally to this work. </w:t>
      </w:r>
    </w:p>
    <w:p>
      <w:pPr>
        <w:kinsoku w:val="0"/>
        <w:overflowPunct w:val="0"/>
        <w:autoSpaceDE w:val="0"/>
        <w:autoSpaceDN w:val="0"/>
        <w:adjustRightInd w:val="0"/>
        <w:snapToGrid w:val="0"/>
        <w:spacing w:line="360" w:lineRule="auto"/>
        <w:rPr>
          <w:rFonts w:hint="default" w:eastAsia="宋体"/>
          <w:lang w:val="en-US" w:eastAsia="zh-CN"/>
        </w:rPr>
      </w:pPr>
      <w:r>
        <w:rPr>
          <w:vertAlign w:val="superscript"/>
        </w:rPr>
        <w:t xml:space="preserve">* </w:t>
      </w:r>
      <w:r>
        <w:rPr>
          <w:rFonts w:hint="eastAsia"/>
        </w:rPr>
        <w:t>C</w:t>
      </w:r>
      <w:r>
        <w:t xml:space="preserve">orresponding author: </w:t>
      </w:r>
      <w:r>
        <w:fldChar w:fldCharType="begin"/>
      </w:r>
      <w:r>
        <w:instrText xml:space="preserve">HYPERLINK "mailto:qqjiang@mail.scuec.edu.cn"</w:instrText>
      </w:r>
      <w:r>
        <w:fldChar w:fldCharType="separate"/>
      </w:r>
      <w:r>
        <w:rPr>
          <w:rStyle w:val="11"/>
        </w:rPr>
        <w:t>qqjiang@mail.scuec.edu.cn</w:t>
      </w:r>
      <w:r>
        <w:rPr>
          <w:rStyle w:val="11"/>
        </w:rPr>
        <w:fldChar w:fldCharType="end"/>
      </w:r>
      <w:r>
        <w:t xml:space="preserve">; </w:t>
      </w:r>
      <w:r>
        <w:fldChar w:fldCharType="begin"/>
      </w:r>
      <w:r>
        <w:instrText xml:space="preserve"> HYPERLINK "mailto:jchu@mail.scuec.edu.cn" </w:instrText>
      </w:r>
      <w:r>
        <w:fldChar w:fldCharType="separate"/>
      </w:r>
      <w:r>
        <w:rPr>
          <w:color w:val="0000FF"/>
          <w:u w:val="single"/>
        </w:rPr>
        <w:t>jchu@mail.scuec.edu.cn</w:t>
      </w:r>
      <w:r>
        <w:rPr>
          <w:color w:val="0000FF"/>
          <w:u w:val="single"/>
        </w:rPr>
        <w:fldChar w:fldCharType="end"/>
      </w:r>
      <w:r>
        <w:rPr>
          <w:rFonts w:hint="eastAsia"/>
          <w:lang w:val="en-US" w:eastAsia="zh-CN"/>
        </w:rPr>
        <w:t>;</w:t>
      </w:r>
      <w:r>
        <w:rPr>
          <w:rFonts w:hint="eastAsia" w:eastAsia="宋体"/>
          <w:color w:val="0000FF"/>
          <w:u w:val="single"/>
          <w:lang w:val="en-US" w:eastAsia="zh-CN"/>
        </w:rPr>
        <w:t xml:space="preserve"> rrichard@mines.edu</w:t>
      </w:r>
    </w:p>
    <w:p>
      <w:pPr>
        <w:rPr>
          <w:b/>
          <w:bCs/>
          <w:sz w:val="32"/>
          <w:szCs w:val="32"/>
        </w:rPr>
      </w:pPr>
    </w:p>
    <w:p>
      <w:pPr>
        <w:rPr>
          <w:rFonts w:eastAsia="宋体"/>
          <w:b/>
          <w:bCs/>
        </w:rPr>
      </w:pPr>
    </w:p>
    <w:p>
      <w:pPr>
        <w:rPr>
          <w:rFonts w:eastAsia="宋体"/>
          <w:b/>
          <w:bCs/>
        </w:rPr>
      </w:pPr>
      <w:r>
        <w:rPr>
          <w:rFonts w:eastAsia="宋体"/>
          <w:b/>
          <w:bCs/>
        </w:rPr>
        <w:br w:type="page"/>
      </w:r>
    </w:p>
    <w:p>
      <w:pPr>
        <w:spacing w:line="360" w:lineRule="auto"/>
        <w:jc w:val="both"/>
        <w:rPr>
          <w:b/>
          <w:bCs/>
          <w:sz w:val="28"/>
          <w:szCs w:val="28"/>
        </w:rPr>
      </w:pPr>
      <w:r>
        <w:rPr>
          <w:b/>
          <w:bCs/>
          <w:sz w:val="28"/>
          <w:szCs w:val="28"/>
        </w:rPr>
        <w:t xml:space="preserve">1. </w:t>
      </w:r>
      <w:r>
        <w:rPr>
          <w:rFonts w:hint="eastAsia"/>
          <w:b/>
          <w:bCs/>
          <w:sz w:val="28"/>
          <w:szCs w:val="28"/>
        </w:rPr>
        <w:t>E</w:t>
      </w:r>
      <w:r>
        <w:rPr>
          <w:b/>
          <w:bCs/>
          <w:sz w:val="28"/>
          <w:szCs w:val="28"/>
        </w:rPr>
        <w:t>xperimental section</w:t>
      </w:r>
    </w:p>
    <w:p>
      <w:pPr>
        <w:spacing w:line="360" w:lineRule="auto"/>
        <w:rPr>
          <w:b/>
          <w:bCs/>
          <w:szCs w:val="21"/>
        </w:rPr>
      </w:pPr>
      <w:r>
        <w:rPr>
          <w:b/>
          <w:bCs/>
          <w:szCs w:val="21"/>
        </w:rPr>
        <w:t>1.1. Materials and reagents:</w:t>
      </w:r>
    </w:p>
    <w:p>
      <w:pPr>
        <w:spacing w:line="360" w:lineRule="auto"/>
        <w:ind w:firstLine="240" w:firstLineChars="100"/>
        <w:jc w:val="both"/>
        <w:rPr>
          <w:szCs w:val="21"/>
        </w:rPr>
      </w:pPr>
      <w:r>
        <w:rPr>
          <w:szCs w:val="21"/>
        </w:rPr>
        <w:t>Gallium nitrate hydrate (Ga(NO</w:t>
      </w:r>
      <w:r>
        <w:rPr>
          <w:szCs w:val="21"/>
          <w:vertAlign w:val="subscript"/>
        </w:rPr>
        <w:t>3</w:t>
      </w:r>
      <w:r>
        <w:rPr>
          <w:szCs w:val="21"/>
        </w:rPr>
        <w:t>)</w:t>
      </w:r>
      <w:r>
        <w:rPr>
          <w:szCs w:val="21"/>
          <w:vertAlign w:val="subscript"/>
        </w:rPr>
        <w:t>3</w:t>
      </w:r>
      <w:r>
        <w:rPr>
          <w:szCs w:val="21"/>
        </w:rPr>
        <w:t>·xH</w:t>
      </w:r>
      <w:r>
        <w:rPr>
          <w:szCs w:val="21"/>
          <w:vertAlign w:val="subscript"/>
        </w:rPr>
        <w:t>2</w:t>
      </w:r>
      <w:r>
        <w:rPr>
          <w:szCs w:val="21"/>
        </w:rPr>
        <w:t>O), zinc nitrate hexahydrate (Zn(NO</w:t>
      </w:r>
      <w:r>
        <w:rPr>
          <w:szCs w:val="21"/>
          <w:vertAlign w:val="subscript"/>
        </w:rPr>
        <w:t>3</w:t>
      </w:r>
      <w:r>
        <w:rPr>
          <w:szCs w:val="21"/>
        </w:rPr>
        <w:t>)</w:t>
      </w:r>
      <w:r>
        <w:rPr>
          <w:szCs w:val="21"/>
          <w:vertAlign w:val="subscript"/>
        </w:rPr>
        <w:t>2</w:t>
      </w:r>
      <w:r>
        <w:rPr>
          <w:rFonts w:eastAsia="等线"/>
          <w:szCs w:val="21"/>
        </w:rPr>
        <w:t>·</w:t>
      </w:r>
      <w:r>
        <w:rPr>
          <w:szCs w:val="21"/>
        </w:rPr>
        <w:t>6H</w:t>
      </w:r>
      <w:r>
        <w:rPr>
          <w:szCs w:val="21"/>
          <w:vertAlign w:val="subscript"/>
        </w:rPr>
        <w:t>2</w:t>
      </w:r>
      <w:r>
        <w:rPr>
          <w:szCs w:val="21"/>
        </w:rPr>
        <w:t>O), and 2-methylimidazole were purchased from Aladdin Industrial Corporation. Terephthalic acid (H</w:t>
      </w:r>
      <w:r>
        <w:rPr>
          <w:szCs w:val="21"/>
          <w:vertAlign w:val="subscript"/>
        </w:rPr>
        <w:t>2</w:t>
      </w:r>
      <w:r>
        <w:rPr>
          <w:szCs w:val="21"/>
        </w:rPr>
        <w:t>BDC), hexadecyltrimethylammonium bromide (CTAB), N,N-Dimethylformamide (DMF),  tetrachloroauric(</w:t>
      </w:r>
      <w:r>
        <w:rPr>
          <w:rFonts w:eastAsia="等线"/>
          <w:szCs w:val="21"/>
        </w:rPr>
        <w:t>Ⅲ</w:t>
      </w:r>
      <w:r>
        <w:rPr>
          <w:szCs w:val="21"/>
        </w:rPr>
        <w:t>) acid tetrahydrate (HAuCl</w:t>
      </w:r>
      <w:r>
        <w:rPr>
          <w:szCs w:val="21"/>
          <w:vertAlign w:val="subscript"/>
        </w:rPr>
        <w:t>4</w:t>
      </w:r>
      <w:r>
        <w:rPr>
          <w:szCs w:val="21"/>
        </w:rPr>
        <w:t>·4H</w:t>
      </w:r>
      <w:r>
        <w:rPr>
          <w:szCs w:val="21"/>
          <w:vertAlign w:val="subscript"/>
        </w:rPr>
        <w:t>2</w:t>
      </w:r>
      <w:r>
        <w:rPr>
          <w:szCs w:val="21"/>
        </w:rPr>
        <w:t xml:space="preserve">O), sodium bicarbonate </w:t>
      </w:r>
      <w:r>
        <w:rPr>
          <w:rFonts w:hint="eastAsia"/>
          <w:szCs w:val="21"/>
        </w:rPr>
        <w:t>(</w:t>
      </w:r>
      <w:r>
        <w:rPr>
          <w:szCs w:val="21"/>
        </w:rPr>
        <w:t>NaHCO</w:t>
      </w:r>
      <w:r>
        <w:rPr>
          <w:szCs w:val="21"/>
          <w:vertAlign w:val="subscript"/>
        </w:rPr>
        <w:t>3</w:t>
      </w:r>
      <w:r>
        <w:rPr>
          <w:szCs w:val="21"/>
        </w:rPr>
        <w:t>), ethanol, and methanol were provided by Sinopharm Chemical Reagent Co., Ltd. All chemicals were of analytical grade and used directly without further purification. Deionized water was used in all experiments.</w:t>
      </w:r>
    </w:p>
    <w:p>
      <w:pPr>
        <w:spacing w:line="360" w:lineRule="auto"/>
        <w:rPr>
          <w:b/>
          <w:bCs/>
          <w:szCs w:val="21"/>
        </w:rPr>
      </w:pPr>
      <w:r>
        <w:rPr>
          <w:b/>
          <w:bCs/>
          <w:szCs w:val="21"/>
        </w:rPr>
        <w:t>1.2. Synthesis of MIL-68(Ga):</w:t>
      </w:r>
    </w:p>
    <w:p>
      <w:pPr>
        <w:spacing w:line="360" w:lineRule="auto"/>
        <w:ind w:firstLine="240" w:firstLineChars="100"/>
        <w:jc w:val="both"/>
        <w:rPr>
          <w:szCs w:val="21"/>
        </w:rPr>
      </w:pPr>
      <w:r>
        <w:rPr>
          <w:szCs w:val="21"/>
        </w:rPr>
        <w:t>60 mg of Ga(NO</w:t>
      </w:r>
      <w:r>
        <w:rPr>
          <w:szCs w:val="21"/>
          <w:vertAlign w:val="subscript"/>
        </w:rPr>
        <w:t>3</w:t>
      </w:r>
      <w:r>
        <w:rPr>
          <w:szCs w:val="21"/>
        </w:rPr>
        <w:t>)</w:t>
      </w:r>
      <w:r>
        <w:rPr>
          <w:szCs w:val="21"/>
          <w:vertAlign w:val="subscript"/>
        </w:rPr>
        <w:t>3</w:t>
      </w:r>
      <w:r>
        <w:rPr>
          <w:szCs w:val="21"/>
        </w:rPr>
        <w:t>·xH</w:t>
      </w:r>
      <w:r>
        <w:rPr>
          <w:szCs w:val="21"/>
          <w:vertAlign w:val="subscript"/>
        </w:rPr>
        <w:t>2</w:t>
      </w:r>
      <w:r>
        <w:rPr>
          <w:szCs w:val="21"/>
        </w:rPr>
        <w:t>O and 60 mg of H</w:t>
      </w:r>
      <w:r>
        <w:rPr>
          <w:szCs w:val="21"/>
          <w:vertAlign w:val="subscript"/>
        </w:rPr>
        <w:t>2</w:t>
      </w:r>
      <w:r>
        <w:rPr>
          <w:szCs w:val="21"/>
        </w:rPr>
        <w:t>BDC were dissolved in 30 mL and 10 mL of DMF, which were termed as solution A and solution B respectively. Then solution B was poured into solution A with sonicating for 15 min. Afterward, the mixture was transferred into a 100 mL Teflon-lined stainless autoclave and maintained at a preheated oven at 120 ℃ for 24 h. After cooling down to room temperature, the precipitate was washed with ethanol three times and finally dried at 60 ℃ overnight.</w:t>
      </w:r>
    </w:p>
    <w:p>
      <w:pPr>
        <w:spacing w:line="360" w:lineRule="auto"/>
        <w:rPr>
          <w:b/>
          <w:bCs/>
          <w:szCs w:val="21"/>
        </w:rPr>
      </w:pPr>
      <w:r>
        <w:rPr>
          <w:b/>
          <w:bCs/>
          <w:szCs w:val="21"/>
        </w:rPr>
        <w:t>1.3. Synthesis of ZIF-8-on-MIL-68:</w:t>
      </w:r>
    </w:p>
    <w:p>
      <w:pPr>
        <w:spacing w:line="360" w:lineRule="auto"/>
        <w:ind w:firstLine="240" w:firstLineChars="100"/>
        <w:jc w:val="both"/>
        <w:rPr>
          <w:szCs w:val="21"/>
        </w:rPr>
      </w:pPr>
      <w:r>
        <w:rPr>
          <w:szCs w:val="21"/>
        </w:rPr>
        <w:t>Typically, certain amounts of MIL-68(Ga) (e.g., 50, 100 and 150 mg, respectively) were ultrasonically dispersed in 20 mL of methanol. 5 mg of CTAB and 165 mg of Zn(NO</w:t>
      </w:r>
      <w:r>
        <w:rPr>
          <w:szCs w:val="21"/>
          <w:vertAlign w:val="subscript"/>
        </w:rPr>
        <w:t>3</w:t>
      </w:r>
      <w:r>
        <w:rPr>
          <w:szCs w:val="21"/>
        </w:rPr>
        <w:t>)</w:t>
      </w:r>
      <w:r>
        <w:rPr>
          <w:szCs w:val="21"/>
          <w:vertAlign w:val="subscript"/>
        </w:rPr>
        <w:t>2</w:t>
      </w:r>
      <w:r>
        <w:rPr>
          <w:szCs w:val="21"/>
        </w:rPr>
        <w:t>·6H</w:t>
      </w:r>
      <w:r>
        <w:rPr>
          <w:szCs w:val="21"/>
          <w:vertAlign w:val="subscript"/>
        </w:rPr>
        <w:t>2</w:t>
      </w:r>
      <w:r>
        <w:rPr>
          <w:szCs w:val="21"/>
        </w:rPr>
        <w:t>O were added to the above solution and stirred for 1 h. Subsequently, 367.5 mg of 2-methylimidazole was dissolved in 10 mL of methanol and then added into the above mixture and stirred for 10 min. Afterward, the mixture was transferred into a 100mL Teflon-lined stainless autoclave and kept heating at 90 ℃ for 12h. After the solvothermal process, the precipitate was washed with ethanol several times and finally dried at 60 ℃ overnight. Products with different amounts of MIL-68 were labeled as ZM-50, ZM-100, ZM-150, respectively. In comparison, pure ZIF-8 was synthesized by the similar method.</w:t>
      </w:r>
    </w:p>
    <w:p>
      <w:pPr>
        <w:spacing w:line="360" w:lineRule="auto"/>
        <w:rPr>
          <w:b/>
          <w:bCs/>
          <w:szCs w:val="21"/>
        </w:rPr>
      </w:pPr>
      <w:r>
        <w:rPr>
          <w:b/>
          <w:bCs/>
          <w:szCs w:val="21"/>
        </w:rPr>
        <w:t xml:space="preserve">1.4. </w:t>
      </w:r>
      <w:r>
        <w:rPr>
          <w:rFonts w:hint="eastAsia"/>
          <w:b/>
          <w:bCs/>
          <w:szCs w:val="21"/>
        </w:rPr>
        <w:t>S</w:t>
      </w:r>
      <w:r>
        <w:rPr>
          <w:b/>
          <w:bCs/>
          <w:szCs w:val="21"/>
        </w:rPr>
        <w:t>ynthesis of ZnGa</w:t>
      </w:r>
      <w:r>
        <w:rPr>
          <w:b/>
          <w:bCs/>
          <w:szCs w:val="21"/>
          <w:vertAlign w:val="subscript"/>
        </w:rPr>
        <w:t>2</w:t>
      </w:r>
      <w:r>
        <w:rPr>
          <w:b/>
          <w:bCs/>
          <w:szCs w:val="21"/>
        </w:rPr>
        <w:t>O</w:t>
      </w:r>
      <w:r>
        <w:rPr>
          <w:b/>
          <w:bCs/>
          <w:szCs w:val="21"/>
          <w:vertAlign w:val="subscript"/>
        </w:rPr>
        <w:t>4</w:t>
      </w:r>
      <w:r>
        <w:rPr>
          <w:b/>
          <w:bCs/>
          <w:szCs w:val="21"/>
        </w:rPr>
        <w:t>/ZnO:</w:t>
      </w:r>
    </w:p>
    <w:p>
      <w:pPr>
        <w:spacing w:line="360" w:lineRule="auto"/>
        <w:ind w:firstLine="240" w:firstLineChars="100"/>
        <w:jc w:val="both"/>
        <w:rPr>
          <w:szCs w:val="21"/>
        </w:rPr>
      </w:pPr>
      <w:r>
        <w:rPr>
          <w:rFonts w:hint="eastAsia"/>
          <w:szCs w:val="21"/>
        </w:rPr>
        <w:t>T</w:t>
      </w:r>
      <w:r>
        <w:rPr>
          <w:szCs w:val="21"/>
        </w:rPr>
        <w:t>he ZnGa</w:t>
      </w:r>
      <w:r>
        <w:rPr>
          <w:szCs w:val="21"/>
          <w:vertAlign w:val="subscript"/>
        </w:rPr>
        <w:t>2</w:t>
      </w:r>
      <w:r>
        <w:rPr>
          <w:szCs w:val="21"/>
        </w:rPr>
        <w:t>O</w:t>
      </w:r>
      <w:r>
        <w:rPr>
          <w:szCs w:val="21"/>
          <w:vertAlign w:val="subscript"/>
        </w:rPr>
        <w:t>4</w:t>
      </w:r>
      <w:r>
        <w:rPr>
          <w:szCs w:val="21"/>
        </w:rPr>
        <w:t>/Z</w:t>
      </w:r>
      <w:r>
        <w:rPr>
          <w:rFonts w:hint="eastAsia"/>
          <w:szCs w:val="21"/>
        </w:rPr>
        <w:t>n</w:t>
      </w:r>
      <w:r>
        <w:rPr>
          <w:szCs w:val="21"/>
        </w:rPr>
        <w:t>O and ZnO were synthesized via calcination of the obtained ZM and ZIF-8 at 600 ℃ for 4 h in air with a heating rate of 3 ℃</w:t>
      </w:r>
      <w:r>
        <w:rPr>
          <w:rFonts w:hint="eastAsia"/>
          <w:szCs w:val="21"/>
        </w:rPr>
        <w:t>/</w:t>
      </w:r>
      <w:r>
        <w:rPr>
          <w:szCs w:val="21"/>
        </w:rPr>
        <w:t>min. The samples were named ZGO-50 (ZGO), ZGO-100, ZGO-150, ZnO, respectively.</w:t>
      </w:r>
    </w:p>
    <w:p>
      <w:pPr>
        <w:spacing w:line="360" w:lineRule="auto"/>
        <w:rPr>
          <w:b/>
          <w:bCs/>
          <w:szCs w:val="21"/>
        </w:rPr>
      </w:pPr>
      <w:r>
        <w:rPr>
          <w:b/>
          <w:bCs/>
          <w:szCs w:val="21"/>
        </w:rPr>
        <w:t xml:space="preserve">1.5. </w:t>
      </w:r>
      <w:r>
        <w:rPr>
          <w:rFonts w:hint="eastAsia"/>
          <w:b/>
          <w:bCs/>
          <w:szCs w:val="21"/>
        </w:rPr>
        <w:t>S</w:t>
      </w:r>
      <w:r>
        <w:rPr>
          <w:b/>
          <w:bCs/>
          <w:szCs w:val="21"/>
        </w:rPr>
        <w:t>ynthesis of Au/ZnGa</w:t>
      </w:r>
      <w:r>
        <w:rPr>
          <w:b/>
          <w:bCs/>
          <w:szCs w:val="21"/>
          <w:vertAlign w:val="subscript"/>
        </w:rPr>
        <w:t>2</w:t>
      </w:r>
      <w:r>
        <w:rPr>
          <w:b/>
          <w:bCs/>
          <w:szCs w:val="21"/>
        </w:rPr>
        <w:t>O</w:t>
      </w:r>
      <w:r>
        <w:rPr>
          <w:b/>
          <w:bCs/>
          <w:szCs w:val="21"/>
          <w:vertAlign w:val="subscript"/>
        </w:rPr>
        <w:t>4</w:t>
      </w:r>
      <w:r>
        <w:rPr>
          <w:b/>
          <w:bCs/>
          <w:szCs w:val="21"/>
        </w:rPr>
        <w:t>/ZnO:</w:t>
      </w:r>
    </w:p>
    <w:p>
      <w:pPr>
        <w:spacing w:line="360" w:lineRule="auto"/>
        <w:ind w:firstLine="240" w:firstLineChars="100"/>
        <w:jc w:val="both"/>
        <w:rPr>
          <w:szCs w:val="21"/>
        </w:rPr>
      </w:pPr>
      <w:r>
        <w:rPr>
          <w:rFonts w:hint="eastAsia"/>
          <w:szCs w:val="21"/>
        </w:rPr>
        <w:t>5</w:t>
      </w:r>
      <w:r>
        <w:rPr>
          <w:szCs w:val="21"/>
        </w:rPr>
        <w:t>0 mg of ZGO-50 (ZGO) was dispersed in 100 mL of H</w:t>
      </w:r>
      <w:r>
        <w:rPr>
          <w:szCs w:val="21"/>
          <w:vertAlign w:val="subscript"/>
        </w:rPr>
        <w:t>2</w:t>
      </w:r>
      <w:r>
        <w:rPr>
          <w:szCs w:val="21"/>
        </w:rPr>
        <w:t>O. Then a certain amount of HAuCl</w:t>
      </w:r>
      <w:r>
        <w:rPr>
          <w:szCs w:val="21"/>
          <w:vertAlign w:val="subscript"/>
        </w:rPr>
        <w:t>4</w:t>
      </w:r>
      <w:r>
        <w:rPr>
          <w:szCs w:val="21"/>
        </w:rPr>
        <w:t xml:space="preserve"> solution (0.01 g/mL) was added into the above suspension. After stirring for 30 min, 3 mL ice-cooled NaBH</w:t>
      </w:r>
      <w:r>
        <w:rPr>
          <w:szCs w:val="21"/>
          <w:vertAlign w:val="subscript"/>
        </w:rPr>
        <w:t>4</w:t>
      </w:r>
      <w:r>
        <w:rPr>
          <w:szCs w:val="21"/>
        </w:rPr>
        <w:t xml:space="preserve"> solution (0.1 M) was rapidly added into the mixture. Then, the mixture was stirred another 30 min. The obtained precipitation was repeatedly washed with deionized water and ethanol and dried at 60 °C overnight in a vacuum, which was denoted as ZGO/Au. A series of ZGO/Au-x samples with different Au loadings were prepared: x = 0.1, 0.25, 0.5, 0.75, and 1 wt. %.</w:t>
      </w:r>
    </w:p>
    <w:p>
      <w:pPr>
        <w:spacing w:line="360" w:lineRule="auto"/>
        <w:rPr>
          <w:rFonts w:eastAsiaTheme="minorEastAsia"/>
          <w:b/>
          <w:bCs/>
          <w:sz w:val="28"/>
          <w:szCs w:val="28"/>
          <w:lang w:eastAsia="zh-CN"/>
        </w:rPr>
      </w:pPr>
      <w:r>
        <w:rPr>
          <w:b/>
          <w:bCs/>
          <w:sz w:val="28"/>
          <w:szCs w:val="28"/>
        </w:rPr>
        <w:t xml:space="preserve">2. </w:t>
      </w:r>
      <w:r>
        <w:rPr>
          <w:rFonts w:hint="eastAsia"/>
          <w:b/>
          <w:bCs/>
          <w:sz w:val="28"/>
          <w:szCs w:val="28"/>
        </w:rPr>
        <w:t>C</w:t>
      </w:r>
      <w:r>
        <w:rPr>
          <w:b/>
          <w:bCs/>
          <w:sz w:val="28"/>
          <w:szCs w:val="28"/>
        </w:rPr>
        <w:t>haracterizations</w:t>
      </w:r>
    </w:p>
    <w:p>
      <w:pPr>
        <w:spacing w:line="360" w:lineRule="auto"/>
        <w:ind w:firstLine="240" w:firstLineChars="100"/>
        <w:jc w:val="both"/>
        <w:rPr>
          <w:color w:val="FF0000"/>
          <w:szCs w:val="21"/>
        </w:rPr>
      </w:pPr>
      <w:r>
        <w:rPr>
          <w:szCs w:val="21"/>
        </w:rPr>
        <w:t>Powder X-ray diffraction (XRD) characterizations of the samples were carried out on a Bruker D8 Advance using Cu Kα radiation (λ = 1.5404 Å, Germany). The morphologies of the samples were observed by SU8010 field-emission scanning electron microscope (FESEM, Hitachi, Japan) at a decelerating voltage of 2 kV. The transmission electron microscope (TEM), high-resolution transmission electron microscope (HRTEM), and energy-dispersive X-ray spectroscopy (EDX) were measured on a Thermo Fisher Talos F200X transmission electron microscope operated at 200 kV. Both the X-ray photoelectron spectroscopy (XPS) and valence-band X-ray photoelectron spectroscopy (VB-XPS) were determined by VG Multi lab 2000. The ultraviolet photoelectron spectra (</w:t>
      </w:r>
      <w:r>
        <w:rPr>
          <w:rFonts w:hint="eastAsia"/>
          <w:szCs w:val="21"/>
        </w:rPr>
        <w:t>UPS) was</w:t>
      </w:r>
      <w:r>
        <w:rPr>
          <w:szCs w:val="21"/>
        </w:rPr>
        <w:t xml:space="preserve"> performed with the bias of -10 V. The UV-Vis diffused reflectance spectra (DRS) were recorded between 200 and 800 nm on the Cary-5000 spectrophotometer (Agilent) with BaSO</w:t>
      </w:r>
      <w:r>
        <w:rPr>
          <w:szCs w:val="21"/>
          <w:vertAlign w:val="subscript"/>
        </w:rPr>
        <w:t>4</w:t>
      </w:r>
      <w:r>
        <w:rPr>
          <w:szCs w:val="21"/>
        </w:rPr>
        <w:t xml:space="preserve"> plate as reference substance. Photoluminescence (PL) measurements were characterized on a Hitachi F-7000 with an excitation wavelength of 255 nm. N</w:t>
      </w:r>
      <w:r>
        <w:rPr>
          <w:szCs w:val="21"/>
          <w:vertAlign w:val="subscript"/>
        </w:rPr>
        <w:t>2</w:t>
      </w:r>
      <w:r>
        <w:rPr>
          <w:szCs w:val="21"/>
        </w:rPr>
        <w:t xml:space="preserve"> adsorption/desorption was measured on an ASAP 2020 PLUS adsorption analyzer (Micromeritics, USA) to obtain the Brunauer-Emmett Teller (BET) surface area and the pore size distribution. </w:t>
      </w:r>
    </w:p>
    <w:p>
      <w:pPr>
        <w:spacing w:line="360" w:lineRule="auto"/>
        <w:rPr>
          <w:rFonts w:eastAsiaTheme="minorEastAsia"/>
          <w:b/>
          <w:bCs/>
          <w:sz w:val="28"/>
          <w:szCs w:val="28"/>
          <w:lang w:eastAsia="zh-CN"/>
        </w:rPr>
      </w:pPr>
      <w:r>
        <w:rPr>
          <w:b/>
          <w:bCs/>
          <w:sz w:val="28"/>
          <w:szCs w:val="28"/>
        </w:rPr>
        <w:t xml:space="preserve">3. </w:t>
      </w:r>
      <w:r>
        <w:rPr>
          <w:rFonts w:hint="eastAsia"/>
          <w:b/>
          <w:bCs/>
          <w:sz w:val="28"/>
          <w:szCs w:val="28"/>
        </w:rPr>
        <w:t>P</w:t>
      </w:r>
      <w:r>
        <w:rPr>
          <w:b/>
          <w:bCs/>
          <w:sz w:val="28"/>
          <w:szCs w:val="28"/>
        </w:rPr>
        <w:t>hotoelectrochemical Measurements</w:t>
      </w:r>
    </w:p>
    <w:p>
      <w:pPr>
        <w:spacing w:line="360" w:lineRule="auto"/>
        <w:ind w:firstLine="240" w:firstLineChars="100"/>
        <w:jc w:val="both"/>
        <w:rPr>
          <w:szCs w:val="21"/>
        </w:rPr>
      </w:pPr>
      <w:r>
        <w:rPr>
          <w:rFonts w:hint="eastAsia"/>
          <w:szCs w:val="21"/>
        </w:rPr>
        <w:t>A</w:t>
      </w:r>
      <w:r>
        <w:rPr>
          <w:szCs w:val="21"/>
        </w:rPr>
        <w:t xml:space="preserve">ll the photoelectrochemical measurements were carried out on a CHI-760E electrochemical workstation (Shenzhen LAMPLIC Science Co. Ltd. China), using a typical three-electrode system, where Pt flake and Ag/AgCl were used as the counter and reference electrode, respectively. The working electrode was prepared as follows: 10 mg of catalyst was dispersed in a mixture containing 970 </w:t>
      </w:r>
      <w:r>
        <w:rPr>
          <w:rFonts w:hint="eastAsia"/>
          <w:szCs w:val="21"/>
        </w:rPr>
        <w:t>µ</w:t>
      </w:r>
      <w:r>
        <w:rPr>
          <w:szCs w:val="21"/>
        </w:rPr>
        <w:t xml:space="preserve">L ethanol and 30 </w:t>
      </w:r>
      <w:r>
        <w:rPr>
          <w:rFonts w:hint="eastAsia"/>
          <w:szCs w:val="21"/>
        </w:rPr>
        <w:t>µ</w:t>
      </w:r>
      <w:r>
        <w:rPr>
          <w:szCs w:val="21"/>
        </w:rPr>
        <w:t>L Nafion. The mixture was uniformly mixed by ultrasonication and then dropped on an ITO glass (1cm × 1 cm). The transient photocurrent was measured using a 3 W LED as the light source (λ ≥ 365 nm) in a 0.5 M Na</w:t>
      </w:r>
      <w:r>
        <w:rPr>
          <w:szCs w:val="21"/>
          <w:vertAlign w:val="subscript"/>
        </w:rPr>
        <w:t>2</w:t>
      </w:r>
      <w:r>
        <w:rPr>
          <w:szCs w:val="21"/>
        </w:rPr>
        <w:t>SO</w:t>
      </w:r>
      <w:r>
        <w:rPr>
          <w:szCs w:val="21"/>
          <w:vertAlign w:val="subscript"/>
        </w:rPr>
        <w:t>4</w:t>
      </w:r>
      <w:r>
        <w:rPr>
          <w:szCs w:val="21"/>
        </w:rPr>
        <w:t xml:space="preserve"> aqueous solution as the electrolyte. Electrochemical impedance spectroscopy (EIS) was measure over frequencies ranging from 1 Hz to 10</w:t>
      </w:r>
      <w:r>
        <w:rPr>
          <w:szCs w:val="21"/>
          <w:vertAlign w:val="superscript"/>
        </w:rPr>
        <w:t>5</w:t>
      </w:r>
      <w:r>
        <w:rPr>
          <w:szCs w:val="21"/>
        </w:rPr>
        <w:t xml:space="preserve"> Hz with the initial potential 1.6V.</w:t>
      </w:r>
    </w:p>
    <w:p>
      <w:pPr>
        <w:spacing w:line="360" w:lineRule="auto"/>
        <w:rPr>
          <w:rFonts w:eastAsiaTheme="minorEastAsia"/>
          <w:b/>
          <w:bCs/>
          <w:sz w:val="28"/>
          <w:szCs w:val="28"/>
          <w:lang w:eastAsia="zh-CN"/>
        </w:rPr>
      </w:pPr>
      <w:r>
        <w:rPr>
          <w:b/>
          <w:bCs/>
          <w:sz w:val="28"/>
          <w:szCs w:val="28"/>
        </w:rPr>
        <w:t xml:space="preserve">4. </w:t>
      </w:r>
      <w:r>
        <w:rPr>
          <w:rFonts w:hint="eastAsia"/>
          <w:b/>
          <w:bCs/>
          <w:sz w:val="28"/>
          <w:szCs w:val="28"/>
        </w:rPr>
        <w:t>P</w:t>
      </w:r>
      <w:r>
        <w:rPr>
          <w:b/>
          <w:bCs/>
          <w:sz w:val="28"/>
          <w:szCs w:val="28"/>
        </w:rPr>
        <w:t>hotocatalytic activity measurements</w:t>
      </w:r>
    </w:p>
    <w:p>
      <w:pPr>
        <w:spacing w:line="360" w:lineRule="auto"/>
        <w:ind w:firstLine="240" w:firstLineChars="100"/>
        <w:jc w:val="both"/>
        <w:rPr>
          <w:szCs w:val="21"/>
        </w:rPr>
      </w:pPr>
      <w:r>
        <w:rPr>
          <w:szCs w:val="21"/>
        </w:rPr>
        <w:t>Photocatalyst activity was tested by photocatalytic CO</w:t>
      </w:r>
      <w:r>
        <w:rPr>
          <w:szCs w:val="21"/>
          <w:vertAlign w:val="subscript"/>
        </w:rPr>
        <w:t>2</w:t>
      </w:r>
      <w:r>
        <w:rPr>
          <w:szCs w:val="21"/>
        </w:rPr>
        <w:t xml:space="preserve"> reduction in porphyry glassware. First, 25 mg of photocatalyst was placed in a Petri dish (Φ = 60 mm). Second, a certain amount of water was added to the Petri dish, and the photocatalyst was dispersed in the water by ultrasonication. It was transferred to a vacuum drying oven and dried overnight to form a uniformly dispersed film and placed in the reactor. Then, 1.2 g of </w:t>
      </w:r>
      <w:r>
        <w:rPr>
          <w:rFonts w:hint="eastAsia"/>
          <w:szCs w:val="21"/>
        </w:rPr>
        <w:t>Na</w:t>
      </w:r>
      <w:r>
        <w:rPr>
          <w:szCs w:val="21"/>
        </w:rPr>
        <w:t>HCO</w:t>
      </w:r>
      <w:r>
        <w:rPr>
          <w:szCs w:val="21"/>
          <w:vertAlign w:val="subscript"/>
        </w:rPr>
        <w:t>3</w:t>
      </w:r>
      <w:r>
        <w:rPr>
          <w:szCs w:val="21"/>
        </w:rPr>
        <w:t xml:space="preserve"> was added to the glassware. It was sealed and vacuumed (repeated two or three times). Next, 5 ml of H</w:t>
      </w:r>
      <w:r>
        <w:rPr>
          <w:szCs w:val="21"/>
          <w:vertAlign w:val="subscript"/>
        </w:rPr>
        <w:t>2</w:t>
      </w:r>
      <w:r>
        <w:rPr>
          <w:szCs w:val="21"/>
        </w:rPr>
        <w:t>SO</w:t>
      </w:r>
      <w:r>
        <w:rPr>
          <w:szCs w:val="21"/>
          <w:vertAlign w:val="subscript"/>
        </w:rPr>
        <w:t>4</w:t>
      </w:r>
      <w:r>
        <w:rPr>
          <w:szCs w:val="21"/>
        </w:rPr>
        <w:t xml:space="preserve"> solution (2M) was injected into the reactor to reacted with NaHCO</w:t>
      </w:r>
      <w:r>
        <w:rPr>
          <w:szCs w:val="21"/>
          <w:vertAlign w:val="subscript"/>
        </w:rPr>
        <w:t>3</w:t>
      </w:r>
      <w:r>
        <w:rPr>
          <w:szCs w:val="21"/>
        </w:rPr>
        <w:t xml:space="preserve"> to produce CO</w:t>
      </w:r>
      <w:r>
        <w:rPr>
          <w:szCs w:val="21"/>
          <w:vertAlign w:val="subscript"/>
        </w:rPr>
        <w:t>2</w:t>
      </w:r>
      <w:r>
        <w:rPr>
          <w:szCs w:val="21"/>
        </w:rPr>
        <w:t xml:space="preserve"> and water vapor in the system. A Xe lamp (Perfect-light) was used as simulate sunlight to drive the CO</w:t>
      </w:r>
      <w:r>
        <w:rPr>
          <w:szCs w:val="21"/>
          <w:vertAlign w:val="subscript"/>
        </w:rPr>
        <w:t>2</w:t>
      </w:r>
      <w:r>
        <w:rPr>
          <w:szCs w:val="21"/>
        </w:rPr>
        <w:t xml:space="preserve"> reduction, and after 1 h of irradiation, 1.0 mL of gas was taken and syringed into a gas chromatograph (GC-2014, Shimazu, Osaka, Japan) for product analysis. Circulating water was passed during the photocatalytic process to mitigate the effects of heat from light. The product selectivity of the reaction products is calculated as follows:</w:t>
      </w:r>
    </w:p>
    <w:p>
      <w:pPr>
        <w:spacing w:before="120" w:beforeLines="50" w:after="120" w:afterLines="50" w:line="360" w:lineRule="auto"/>
        <w:rPr>
          <w:szCs w:val="21"/>
        </w:rPr>
      </w:pPr>
      <m:oMathPara>
        <m:oMath>
          <m:r>
            <m:rPr/>
            <w:rPr>
              <w:rFonts w:ascii="Cambria Math" w:hAnsi="Cambria Math"/>
              <w:szCs w:val="21"/>
            </w:rPr>
            <m:t>Sele</m:t>
          </m:r>
          <m:r>
            <m:rPr/>
            <w:rPr>
              <w:rFonts w:hint="eastAsia" w:ascii="Cambria Math" w:hAnsi="Cambria Math"/>
              <w:szCs w:val="21"/>
            </w:rPr>
            <m:t>cti</m:t>
          </m:r>
          <m:r>
            <m:rPr/>
            <w:rPr>
              <w:rFonts w:ascii="Cambria Math" w:hAnsi="Cambria Math"/>
              <w:szCs w:val="21"/>
            </w:rPr>
            <m:t xml:space="preserve">vity </m:t>
          </m:r>
          <m:d>
            <m:dPr>
              <m:ctrlPr>
                <w:rPr>
                  <w:rFonts w:ascii="Cambria Math" w:hAnsi="Cambria Math"/>
                  <w:i/>
                  <w:szCs w:val="21"/>
                </w:rPr>
              </m:ctrlPr>
            </m:dPr>
            <m:e>
              <m:r>
                <m:rPr/>
                <w:rPr>
                  <w:rFonts w:ascii="Cambria Math" w:hAnsi="Cambria Math"/>
                  <w:szCs w:val="21"/>
                </w:rPr>
                <m:t>CO</m:t>
              </m:r>
              <m:ctrlPr>
                <w:rPr>
                  <w:rFonts w:ascii="Cambria Math" w:hAnsi="Cambria Math"/>
                  <w:i/>
                  <w:szCs w:val="21"/>
                </w:rPr>
              </m:ctrlPr>
            </m:e>
          </m:d>
          <m:r>
            <m:rPr/>
            <w:rPr>
              <w:rFonts w:ascii="Cambria Math" w:hAnsi="Cambria Math"/>
              <w:szCs w:val="21"/>
            </w:rPr>
            <m:t xml:space="preserve">= </m:t>
          </m:r>
          <m:f>
            <m:fPr>
              <m:ctrlPr>
                <w:rPr>
                  <w:rFonts w:ascii="Cambria Math" w:hAnsi="Cambria Math"/>
                  <w:i/>
                  <w:szCs w:val="21"/>
                </w:rPr>
              </m:ctrlPr>
            </m:fPr>
            <m:num>
              <m:r>
                <m:rPr/>
                <w:rPr>
                  <w:rFonts w:ascii="Cambria Math" w:hAnsi="Cambria Math"/>
                  <w:szCs w:val="21"/>
                </w:rPr>
                <m:t>v (CO)</m:t>
              </m:r>
              <m:ctrlPr>
                <w:rPr>
                  <w:rFonts w:ascii="Cambria Math" w:hAnsi="Cambria Math"/>
                  <w:i/>
                  <w:szCs w:val="21"/>
                </w:rPr>
              </m:ctrlPr>
            </m:num>
            <m:den>
              <m:r>
                <m:rPr/>
                <w:rPr>
                  <w:rFonts w:ascii="Cambria Math" w:hAnsi="Cambria Math"/>
                  <w:szCs w:val="21"/>
                </w:rPr>
                <m:t xml:space="preserve">v </m:t>
              </m:r>
              <m:d>
                <m:dPr>
                  <m:ctrlPr>
                    <w:rPr>
                      <w:rFonts w:ascii="Cambria Math" w:hAnsi="Cambria Math"/>
                      <w:i/>
                      <w:szCs w:val="21"/>
                    </w:rPr>
                  </m:ctrlPr>
                </m:dPr>
                <m:e>
                  <m:r>
                    <m:rPr/>
                    <w:rPr>
                      <w:rFonts w:ascii="Cambria Math" w:hAnsi="Cambria Math"/>
                      <w:szCs w:val="21"/>
                    </w:rPr>
                    <m:t>CO</m:t>
                  </m:r>
                  <m:ctrlPr>
                    <w:rPr>
                      <w:rFonts w:ascii="Cambria Math" w:hAnsi="Cambria Math"/>
                      <w:i/>
                      <w:szCs w:val="21"/>
                    </w:rPr>
                  </m:ctrlPr>
                </m:e>
              </m:d>
              <m:r>
                <m:rPr/>
                <w:rPr>
                  <w:rFonts w:ascii="Cambria Math" w:hAnsi="Cambria Math"/>
                  <w:szCs w:val="21"/>
                </w:rPr>
                <m:t>+v (</m:t>
              </m:r>
              <m:sSub>
                <m:sSubPr>
                  <m:ctrlPr>
                    <w:rPr>
                      <w:rFonts w:ascii="Cambria Math" w:hAnsi="Cambria Math"/>
                      <w:i/>
                      <w:szCs w:val="21"/>
                    </w:rPr>
                  </m:ctrlPr>
                </m:sSubPr>
                <m:e>
                  <m:r>
                    <m:rPr/>
                    <w:rPr>
                      <w:rFonts w:ascii="Cambria Math" w:hAnsi="Cambria Math"/>
                      <w:szCs w:val="21"/>
                    </w:rPr>
                    <m:t>CH</m:t>
                  </m:r>
                  <m:ctrlPr>
                    <w:rPr>
                      <w:rFonts w:ascii="Cambria Math" w:hAnsi="Cambria Math"/>
                      <w:i/>
                      <w:szCs w:val="21"/>
                    </w:rPr>
                  </m:ctrlPr>
                </m:e>
                <m:sub>
                  <m:r>
                    <m:rPr/>
                    <w:rPr>
                      <w:rFonts w:ascii="Cambria Math" w:hAnsi="Cambria Math"/>
                      <w:szCs w:val="21"/>
                    </w:rPr>
                    <m:t>4</m:t>
                  </m:r>
                  <m:ctrlPr>
                    <w:rPr>
                      <w:rFonts w:ascii="Cambria Math" w:hAnsi="Cambria Math"/>
                      <w:i/>
                      <w:szCs w:val="21"/>
                    </w:rPr>
                  </m:ctrlPr>
                </m:sub>
              </m:sSub>
              <m:r>
                <m:rPr/>
                <w:rPr>
                  <w:rFonts w:ascii="Cambria Math" w:hAnsi="Cambria Math"/>
                  <w:szCs w:val="21"/>
                </w:rPr>
                <m:t>)</m:t>
              </m:r>
              <m:ctrlPr>
                <w:rPr>
                  <w:rFonts w:ascii="Cambria Math" w:hAnsi="Cambria Math"/>
                  <w:i/>
                  <w:szCs w:val="21"/>
                </w:rPr>
              </m:ctrlPr>
            </m:den>
          </m:f>
          <m:r>
            <m:rPr/>
            <w:rPr>
              <w:rFonts w:ascii="Cambria Math" w:hAnsi="Cambria Math"/>
              <w:szCs w:val="21"/>
            </w:rPr>
            <m:t xml:space="preserve"> ×100%</m:t>
          </m:r>
        </m:oMath>
      </m:oMathPara>
    </w:p>
    <w:p>
      <w:pPr>
        <w:spacing w:before="120" w:beforeLines="50" w:after="120" w:afterLines="50" w:line="360" w:lineRule="auto"/>
        <w:rPr>
          <w:szCs w:val="21"/>
        </w:rPr>
      </w:pPr>
      <m:oMathPara>
        <m:oMath>
          <m:r>
            <m:rPr/>
            <w:rPr>
              <w:rFonts w:ascii="Cambria Math" w:hAnsi="Cambria Math"/>
              <w:szCs w:val="21"/>
            </w:rPr>
            <m:t>Sele</m:t>
          </m:r>
          <m:r>
            <m:rPr/>
            <w:rPr>
              <w:rFonts w:hint="eastAsia" w:ascii="Cambria Math" w:hAnsi="Cambria Math"/>
              <w:szCs w:val="21"/>
            </w:rPr>
            <m:t>cti</m:t>
          </m:r>
          <m:r>
            <m:rPr/>
            <w:rPr>
              <w:rFonts w:ascii="Cambria Math" w:hAnsi="Cambria Math"/>
              <w:szCs w:val="21"/>
            </w:rPr>
            <m:t xml:space="preserve">vity </m:t>
          </m:r>
          <m:d>
            <m:dPr>
              <m:ctrlPr>
                <w:rPr>
                  <w:rFonts w:ascii="Cambria Math" w:hAnsi="Cambria Math"/>
                  <w:i/>
                  <w:szCs w:val="21"/>
                </w:rPr>
              </m:ctrlPr>
            </m:dPr>
            <m:e>
              <m:sSub>
                <m:sSubPr>
                  <m:ctrlPr>
                    <w:rPr>
                      <w:rFonts w:ascii="Cambria Math" w:hAnsi="Cambria Math"/>
                      <w:i/>
                      <w:szCs w:val="21"/>
                    </w:rPr>
                  </m:ctrlPr>
                </m:sSubPr>
                <m:e>
                  <m:r>
                    <m:rPr/>
                    <w:rPr>
                      <w:rFonts w:ascii="Cambria Math" w:hAnsi="Cambria Math"/>
                      <w:szCs w:val="21"/>
                    </w:rPr>
                    <m:t>CH</m:t>
                  </m:r>
                  <m:ctrlPr>
                    <w:rPr>
                      <w:rFonts w:ascii="Cambria Math" w:hAnsi="Cambria Math"/>
                      <w:i/>
                      <w:szCs w:val="21"/>
                    </w:rPr>
                  </m:ctrlPr>
                </m:e>
                <m:sub>
                  <m:r>
                    <m:rPr/>
                    <w:rPr>
                      <w:rFonts w:ascii="Cambria Math" w:hAnsi="Cambria Math"/>
                      <w:szCs w:val="21"/>
                    </w:rPr>
                    <m:t>4</m:t>
                  </m:r>
                  <m:ctrlPr>
                    <w:rPr>
                      <w:rFonts w:ascii="Cambria Math" w:hAnsi="Cambria Math"/>
                      <w:i/>
                      <w:szCs w:val="21"/>
                    </w:rPr>
                  </m:ctrlPr>
                </m:sub>
              </m:sSub>
              <m:ctrlPr>
                <w:rPr>
                  <w:rFonts w:ascii="Cambria Math" w:hAnsi="Cambria Math"/>
                  <w:i/>
                  <w:szCs w:val="21"/>
                </w:rPr>
              </m:ctrlPr>
            </m:e>
          </m:d>
          <m:r>
            <m:rPr/>
            <w:rPr>
              <w:rFonts w:ascii="Cambria Math" w:hAnsi="Cambria Math"/>
              <w:szCs w:val="21"/>
            </w:rPr>
            <m:t xml:space="preserve">= </m:t>
          </m:r>
          <m:f>
            <m:fPr>
              <m:ctrlPr>
                <w:rPr>
                  <w:rFonts w:ascii="Cambria Math" w:hAnsi="Cambria Math"/>
                  <w:i/>
                  <w:szCs w:val="21"/>
                </w:rPr>
              </m:ctrlPr>
            </m:fPr>
            <m:num>
              <m:r>
                <m:rPr/>
                <w:rPr>
                  <w:rFonts w:ascii="Cambria Math" w:hAnsi="Cambria Math"/>
                  <w:szCs w:val="21"/>
                </w:rPr>
                <m:t>v (</m:t>
              </m:r>
              <m:sSub>
                <m:sSubPr>
                  <m:ctrlPr>
                    <w:rPr>
                      <w:rFonts w:ascii="Cambria Math" w:hAnsi="Cambria Math"/>
                      <w:i/>
                      <w:szCs w:val="21"/>
                    </w:rPr>
                  </m:ctrlPr>
                </m:sSubPr>
                <m:e>
                  <m:r>
                    <m:rPr/>
                    <w:rPr>
                      <w:rFonts w:ascii="Cambria Math" w:hAnsi="Cambria Math"/>
                      <w:szCs w:val="21"/>
                    </w:rPr>
                    <m:t>CH</m:t>
                  </m:r>
                  <m:ctrlPr>
                    <w:rPr>
                      <w:rFonts w:ascii="Cambria Math" w:hAnsi="Cambria Math"/>
                      <w:i/>
                      <w:szCs w:val="21"/>
                    </w:rPr>
                  </m:ctrlPr>
                </m:e>
                <m:sub>
                  <m:r>
                    <m:rPr/>
                    <w:rPr>
                      <w:rFonts w:ascii="Cambria Math" w:hAnsi="Cambria Math"/>
                      <w:szCs w:val="21"/>
                    </w:rPr>
                    <m:t>4</m:t>
                  </m:r>
                  <m:ctrlPr>
                    <w:rPr>
                      <w:rFonts w:ascii="Cambria Math" w:hAnsi="Cambria Math"/>
                      <w:i/>
                      <w:szCs w:val="21"/>
                    </w:rPr>
                  </m:ctrlPr>
                </m:sub>
              </m:sSub>
              <m:r>
                <m:rPr/>
                <w:rPr>
                  <w:rFonts w:ascii="Cambria Math" w:hAnsi="Cambria Math"/>
                  <w:szCs w:val="21"/>
                </w:rPr>
                <m:t>)</m:t>
              </m:r>
              <m:ctrlPr>
                <w:rPr>
                  <w:rFonts w:ascii="Cambria Math" w:hAnsi="Cambria Math"/>
                  <w:i/>
                  <w:szCs w:val="21"/>
                </w:rPr>
              </m:ctrlPr>
            </m:num>
            <m:den>
              <m:r>
                <m:rPr/>
                <w:rPr>
                  <w:rFonts w:ascii="Cambria Math" w:hAnsi="Cambria Math"/>
                  <w:szCs w:val="21"/>
                </w:rPr>
                <m:t xml:space="preserve">v </m:t>
              </m:r>
              <m:d>
                <m:dPr>
                  <m:ctrlPr>
                    <w:rPr>
                      <w:rFonts w:ascii="Cambria Math" w:hAnsi="Cambria Math"/>
                      <w:i/>
                      <w:szCs w:val="21"/>
                    </w:rPr>
                  </m:ctrlPr>
                </m:dPr>
                <m:e>
                  <m:r>
                    <m:rPr/>
                    <w:rPr>
                      <w:rFonts w:ascii="Cambria Math" w:hAnsi="Cambria Math"/>
                      <w:szCs w:val="21"/>
                    </w:rPr>
                    <m:t>CO</m:t>
                  </m:r>
                  <m:ctrlPr>
                    <w:rPr>
                      <w:rFonts w:ascii="Cambria Math" w:hAnsi="Cambria Math"/>
                      <w:i/>
                      <w:szCs w:val="21"/>
                    </w:rPr>
                  </m:ctrlPr>
                </m:e>
              </m:d>
              <m:r>
                <m:rPr/>
                <w:rPr>
                  <w:rFonts w:ascii="Cambria Math" w:hAnsi="Cambria Math"/>
                  <w:szCs w:val="21"/>
                </w:rPr>
                <m:t>+v (</m:t>
              </m:r>
              <m:sSub>
                <m:sSubPr>
                  <m:ctrlPr>
                    <w:rPr>
                      <w:rFonts w:ascii="Cambria Math" w:hAnsi="Cambria Math"/>
                      <w:i/>
                      <w:szCs w:val="21"/>
                    </w:rPr>
                  </m:ctrlPr>
                </m:sSubPr>
                <m:e>
                  <m:r>
                    <m:rPr/>
                    <w:rPr>
                      <w:rFonts w:ascii="Cambria Math" w:hAnsi="Cambria Math"/>
                      <w:szCs w:val="21"/>
                    </w:rPr>
                    <m:t>CH</m:t>
                  </m:r>
                  <m:ctrlPr>
                    <w:rPr>
                      <w:rFonts w:ascii="Cambria Math" w:hAnsi="Cambria Math"/>
                      <w:i/>
                      <w:szCs w:val="21"/>
                    </w:rPr>
                  </m:ctrlPr>
                </m:e>
                <m:sub>
                  <m:r>
                    <m:rPr/>
                    <w:rPr>
                      <w:rFonts w:ascii="Cambria Math" w:hAnsi="Cambria Math"/>
                      <w:szCs w:val="21"/>
                    </w:rPr>
                    <m:t>4</m:t>
                  </m:r>
                  <m:ctrlPr>
                    <w:rPr>
                      <w:rFonts w:ascii="Cambria Math" w:hAnsi="Cambria Math"/>
                      <w:i/>
                      <w:szCs w:val="21"/>
                    </w:rPr>
                  </m:ctrlPr>
                </m:sub>
              </m:sSub>
              <m:r>
                <m:rPr/>
                <w:rPr>
                  <w:rFonts w:ascii="Cambria Math" w:hAnsi="Cambria Math"/>
                  <w:szCs w:val="21"/>
                </w:rPr>
                <m:t>)</m:t>
              </m:r>
              <m:ctrlPr>
                <w:rPr>
                  <w:rFonts w:ascii="Cambria Math" w:hAnsi="Cambria Math"/>
                  <w:i/>
                  <w:szCs w:val="21"/>
                </w:rPr>
              </m:ctrlPr>
            </m:den>
          </m:f>
          <m:r>
            <m:rPr/>
            <w:rPr>
              <w:rFonts w:ascii="Cambria Math" w:hAnsi="Cambria Math"/>
              <w:szCs w:val="21"/>
            </w:rPr>
            <m:t xml:space="preserve"> ×100%</m:t>
          </m:r>
        </m:oMath>
      </m:oMathPara>
    </w:p>
    <w:p>
      <w:pPr>
        <w:spacing w:line="360" w:lineRule="auto"/>
        <w:jc w:val="both"/>
        <w:rPr>
          <w:szCs w:val="21"/>
        </w:rPr>
      </w:pPr>
      <w:r>
        <w:rPr>
          <w:szCs w:val="21"/>
        </w:rPr>
        <w:t>where v(CO) and v(CH</w:t>
      </w:r>
      <w:r>
        <w:rPr>
          <w:szCs w:val="21"/>
          <w:vertAlign w:val="subscript"/>
        </w:rPr>
        <w:t>4</w:t>
      </w:r>
      <w:r>
        <w:rPr>
          <w:szCs w:val="21"/>
        </w:rPr>
        <w:t>) are the production rates of CO and CH</w:t>
      </w:r>
      <w:r>
        <w:rPr>
          <w:szCs w:val="21"/>
          <w:vertAlign w:val="subscript"/>
        </w:rPr>
        <w:t>4</w:t>
      </w:r>
      <w:r>
        <w:rPr>
          <w:szCs w:val="21"/>
        </w:rPr>
        <w:t>, respectively.</w:t>
      </w:r>
    </w:p>
    <w:p>
      <w:pPr>
        <w:spacing w:line="360" w:lineRule="auto"/>
        <w:rPr>
          <w:rFonts w:eastAsia="宋体"/>
          <w:b/>
          <w:bCs/>
          <w:sz w:val="28"/>
          <w:szCs w:val="28"/>
        </w:rPr>
      </w:pPr>
      <w:r>
        <w:rPr>
          <w:rFonts w:eastAsia="宋体"/>
          <w:b/>
          <w:bCs/>
          <w:sz w:val="28"/>
          <w:szCs w:val="28"/>
        </w:rPr>
        <w:t xml:space="preserve">5. Computational detail </w:t>
      </w:r>
    </w:p>
    <w:p>
      <w:pPr>
        <w:spacing w:line="360" w:lineRule="auto"/>
        <w:ind w:firstLine="240" w:firstLineChars="100"/>
        <w:jc w:val="both"/>
        <w:rPr>
          <w:rFonts w:eastAsia="宋体"/>
        </w:rPr>
      </w:pPr>
      <w:r>
        <w:rPr>
          <w:rFonts w:eastAsia="宋体"/>
        </w:rPr>
        <w:t>DFT calculations were conducted through the Vienna ab initio Simulation Package (VASP) with the projector augment wave method.</w:t>
      </w:r>
      <w:r>
        <w:rPr>
          <w:rFonts w:eastAsia="宋体"/>
        </w:rPr>
        <w:fldChar w:fldCharType="begin"/>
      </w:r>
      <w:r>
        <w:rPr>
          <w:rFonts w:eastAsia="宋体"/>
        </w:rPr>
        <w:instrText xml:space="preserve"> ADDIN EN.CITE &lt;EndNote&gt;&lt;Cite&gt;&lt;Author&gt;Blöchl&lt;/Author&gt;&lt;Year&gt;1994&lt;/Year&gt;&lt;RecNum&gt;114&lt;/RecNum&gt;&lt;DisplayText&gt;&lt;style face="superscript"&gt;[1]&lt;/style&gt;&lt;/DisplayText&gt;&lt;record&gt;&lt;rec-number&gt;114&lt;/rec-number&gt;&lt;foreign-keys&gt;&lt;key app="EN" db-id="5zfzed2pbp0pehetzf0paps4990waww9ds2z" timestamp="1707207745"&gt;114&lt;/key&gt;&lt;key app="ENWeb" db-id=""&gt;0&lt;/key&gt;&lt;/foreign-keys&gt;&lt;ref-type name="Journal Article"&gt;17&lt;/ref-type&gt;&lt;contributors&gt;&lt;authors&gt;&lt;author&gt;Blöchl, P. E.&lt;/author&gt;&lt;/authors&gt;&lt;/contributors&gt;&lt;titles&gt;&lt;title&gt;Projector augmented-wave method&lt;/title&gt;&lt;secondary-title&gt;Physical Review B&lt;/secondary-title&gt;&lt;/titles&gt;&lt;periodical&gt;&lt;full-title&gt;Physical Review B&lt;/full-title&gt;&lt;abbr-1&gt;Phys. Rev. B&lt;/abbr-1&gt;&lt;/periodical&gt;&lt;pages&gt;17953-17979&lt;/pages&gt;&lt;volume&gt;50&lt;/volume&gt;&lt;number&gt;24&lt;/number&gt;&lt;section&gt;17953&lt;/section&gt;&lt;dates&gt;&lt;year&gt;1994&lt;/year&gt;&lt;/dates&gt;&lt;isbn&gt;0163-1829&amp;#xD;1095-3795&lt;/isbn&gt;&lt;urls&gt;&lt;/urls&gt;&lt;electronic-resource-num&gt;10.1103/PhysRevB.50.17953&lt;/electronic-resource-num&gt;&lt;/record&gt;&lt;/Cite&gt;&lt;Cite&gt;&lt;Author&gt;Kresse&lt;/Author&gt;&lt;Year&gt;1999&lt;/Year&gt;&lt;RecNum&gt;125&lt;/RecNum&gt;&lt;record&gt;&lt;rec-number&gt;125&lt;/rec-number&gt;&lt;foreign-keys&gt;&lt;key app="EN" db-id="5zfzed2pbp0pehetzf0paps4990waww9ds2z" timestamp="1707209281"&gt;125&lt;/key&gt;&lt;/foreign-keys&gt;&lt;ref-type name="Journal Article"&gt;17&lt;/ref-type&gt;&lt;contributors&gt;&lt;authors&gt;&lt;author&gt;Kresse, G.&lt;/author&gt;&lt;author&gt;Joubert, D.&lt;/author&gt;&lt;/authors&gt;&lt;/contributors&gt;&lt;titles&gt;&lt;title&gt;From ultrasoft pseudopotentials to the projector augmented-wave method&lt;/title&gt;&lt;secondary-title&gt;Physical Review B&lt;/secondary-title&gt;&lt;/titles&gt;&lt;periodical&gt;&lt;full-title&gt;Physical Review B&lt;/full-title&gt;&lt;abbr-1&gt;Phys. Rev. B&lt;/abbr-1&gt;&lt;/periodical&gt;&lt;pages&gt;1758-1775&lt;/pages&gt;&lt;volume&gt;59&lt;/volume&gt;&lt;number&gt;3&lt;/number&gt;&lt;dates&gt;&lt;year&gt;1999&lt;/year&gt;&lt;pub-dates&gt;&lt;date&gt;01/15/&lt;/date&gt;&lt;/pub-dates&gt;&lt;/dates&gt;&lt;publisher&gt;American Physical Society&lt;/publisher&gt;&lt;urls&gt;&lt;related-urls&gt;&lt;url&gt;https://link.aps.org/doi/10.1103/PhysRevB.59.1758&lt;/url&gt;&lt;/related-urls&gt;&lt;/urls&gt;&lt;electronic-resource-num&gt;10.1103/PhysRevB.59.1758&lt;/electronic-resource-num&gt;&lt;/record&gt;&lt;/Cite&gt;&lt;/EndNote&gt;</w:instrText>
      </w:r>
      <w:r>
        <w:rPr>
          <w:rFonts w:eastAsia="宋体"/>
        </w:rPr>
        <w:fldChar w:fldCharType="separate"/>
      </w:r>
      <w:r>
        <w:rPr>
          <w:rFonts w:eastAsia="宋体"/>
          <w:vertAlign w:val="superscript"/>
        </w:rPr>
        <w:t>[1]</w:t>
      </w:r>
      <w:r>
        <w:rPr>
          <w:rFonts w:eastAsia="宋体"/>
        </w:rPr>
        <w:fldChar w:fldCharType="end"/>
      </w:r>
      <w:r>
        <w:rPr>
          <w:rFonts w:eastAsia="宋体"/>
        </w:rPr>
        <w:t xml:space="preserve"> Generalized gradient approximation of the Perdew-Burke-Ernzerhof (PBE) functional was used as the exchange-correlation functional.</w:t>
      </w:r>
      <w:r>
        <w:rPr>
          <w:rFonts w:eastAsia="宋体"/>
        </w:rPr>
        <w:fldChar w:fldCharType="begin"/>
      </w:r>
      <w:r>
        <w:rPr>
          <w:rFonts w:eastAsia="宋体"/>
        </w:rPr>
        <w:instrText xml:space="preserve"> ADDIN EN.CITE &lt;EndNote&gt;&lt;Cite&gt;&lt;Author&gt;Perdew&lt;/Author&gt;&lt;Year&gt;1996&lt;/Year&gt;&lt;RecNum&gt;127&lt;/RecNum&gt;&lt;DisplayText&gt;&lt;style face="superscript"&gt;[2]&lt;/style&gt;&lt;/DisplayText&gt;&lt;record&gt;&lt;rec-number&gt;127&lt;/rec-number&gt;&lt;foreign-keys&gt;&lt;key app="EN" db-id="5zfzed2pbp0pehetzf0paps4990waww9ds2z" timestamp="1707209582"&gt;127&lt;/key&gt;&lt;/foreign-keys&gt;&lt;ref-type name="Journal Article"&gt;17&lt;/ref-type&gt;&lt;contributors&gt;&lt;authors&gt;&lt;author&gt;Perdew, John P.&lt;/author&gt;&lt;author&gt;Burke, Kieron&lt;/author&gt;&lt;author&gt;Ernzerhof, Matthias&lt;/author&gt;&lt;/authors&gt;&lt;/contributors&gt;&lt;titles&gt;&lt;title&gt;Generalized Gradient Approximation Made Simple&lt;/title&gt;&lt;secondary-title&gt;Physical Review Letters&lt;/secondary-title&gt;&lt;/titles&gt;&lt;periodical&gt;&lt;full-title&gt;Physical Review Letters&lt;/full-title&gt;&lt;abbr-1&gt;Phys. Rev. Lett.&lt;/abbr-1&gt;&lt;/periodical&gt;&lt;pages&gt;3865-3868&lt;/pages&gt;&lt;volume&gt;77&lt;/volume&gt;&lt;number&gt;18&lt;/number&gt;&lt;dates&gt;&lt;year&gt;1996&lt;/year&gt;&lt;pub-dates&gt;&lt;date&gt;10/28/&lt;/date&gt;&lt;/pub-dates&gt;&lt;/dates&gt;&lt;publisher&gt;American Physical Society&lt;/publisher&gt;&lt;urls&gt;&lt;related-urls&gt;&lt;url&gt;https://link.aps.org/doi/10.1103/PhysRevLett.77.3865&lt;/url&gt;&lt;/related-urls&gt;&lt;/urls&gt;&lt;electronic-resource-num&gt;10.1103/PhysRevLett.77.3865&lt;/electronic-resource-num&gt;&lt;/record&gt;&lt;/Cite&gt;&lt;/EndNote&gt;</w:instrText>
      </w:r>
      <w:r>
        <w:rPr>
          <w:rFonts w:eastAsia="宋体"/>
        </w:rPr>
        <w:fldChar w:fldCharType="separate"/>
      </w:r>
      <w:r>
        <w:rPr>
          <w:rFonts w:eastAsia="宋体"/>
          <w:vertAlign w:val="superscript"/>
        </w:rPr>
        <w:t>[2]</w:t>
      </w:r>
      <w:r>
        <w:rPr>
          <w:rFonts w:eastAsia="宋体"/>
        </w:rPr>
        <w:fldChar w:fldCharType="end"/>
      </w:r>
      <w:r>
        <w:rPr>
          <w:rFonts w:eastAsia="宋体"/>
        </w:rPr>
        <w:t xml:space="preserve"> The Brillouin zone was sampled with 2 × 2 × 1 K points for surface calculation. The cutoff energy was set as 500 eV, and structure relaxation was performed until the convergence criteria of energy and force reached 1 × 10</w:t>
      </w:r>
      <w:r>
        <w:rPr>
          <w:rFonts w:eastAsia="宋体"/>
          <w:vertAlign w:val="superscript"/>
        </w:rPr>
        <w:t>–5</w:t>
      </w:r>
      <w:r>
        <w:rPr>
          <w:rFonts w:eastAsia="宋体"/>
        </w:rPr>
        <w:t xml:space="preserve"> eV and 0.02 eV Å</w:t>
      </w:r>
      <w:r>
        <w:rPr>
          <w:rFonts w:eastAsia="宋体"/>
          <w:vertAlign w:val="superscript"/>
        </w:rPr>
        <w:t>–1</w:t>
      </w:r>
      <w:r>
        <w:rPr>
          <w:rFonts w:eastAsia="宋体"/>
        </w:rPr>
        <w:t>, respectively. A vacuum layer of 15 Å was constructed to eliminate interactions between periodic structures of surface models. The van der Waals (vdW) interaction was amended by the zero damping DFT-D3 method of Grimme.</w:t>
      </w:r>
      <w:r>
        <w:rPr>
          <w:rFonts w:eastAsia="宋体"/>
        </w:rPr>
        <w:fldChar w:fldCharType="begin"/>
      </w:r>
      <w:r>
        <w:rPr>
          <w:rFonts w:eastAsia="宋体"/>
        </w:rPr>
        <w:instrText xml:space="preserve"> ADDIN EN.CITE &lt;EndNote&gt;&lt;Cite&gt;&lt;Author&gt;Grimme&lt;/Author&gt;&lt;Year&gt;2011&lt;/Year&gt;&lt;RecNum&gt;119&lt;/RecNum&gt;&lt;DisplayText&gt;&lt;style face="superscript"&gt;[3]&lt;/style&gt;&lt;/DisplayText&gt;&lt;record&gt;&lt;rec-number&gt;119&lt;/rec-number&gt;&lt;foreign-keys&gt;&lt;key app="EN" db-id="5zfzed2pbp0pehetzf0paps4990waww9ds2z" timestamp="1707208572"&gt;119&lt;/key&gt;&lt;key app="ENWeb" db-id=""&gt;0&lt;/key&gt;&lt;/foreign-keys&gt;&lt;ref-type name="Journal Article"&gt;17&lt;/ref-type&gt;&lt;contributors&gt;&lt;authors&gt;&lt;author&gt;Grimme, Stefan&lt;/author&gt;&lt;author&gt;Ehrlich, Stephan&lt;/author&gt;&lt;author&gt;Goerigk, Lars&lt;/author&gt;&lt;/authors&gt;&lt;/contributors&gt;&lt;titles&gt;&lt;title&gt;Effect of the damping function in dispersion corrected density functional theory&lt;/title&gt;&lt;secondary-title&gt;Journal of Computational Chemistry&lt;/secondary-title&gt;&lt;/titles&gt;&lt;periodical&gt;&lt;full-title&gt;Journal of Computational Chemistry&lt;/full-title&gt;&lt;abbr-1&gt;J. Comput. Chem.&lt;/abbr-1&gt;&lt;/periodical&gt;&lt;pages&gt;1456-1465&lt;/pages&gt;&lt;volume&gt;32&lt;/volume&gt;&lt;number&gt;7&lt;/number&gt;&lt;section&gt;1456&lt;/section&gt;&lt;dates&gt;&lt;year&gt;2011&lt;/year&gt;&lt;/dates&gt;&lt;isbn&gt;0192-8651&amp;#xD;1096-987X&lt;/isbn&gt;&lt;urls&gt;&lt;/urls&gt;&lt;electronic-resource-num&gt;10.1002/jcc.21759&lt;/electronic-resource-num&gt;&lt;/record&gt;&lt;/Cite&gt;&lt;/EndNote&gt;</w:instrText>
      </w:r>
      <w:r>
        <w:rPr>
          <w:rFonts w:eastAsia="宋体"/>
        </w:rPr>
        <w:fldChar w:fldCharType="separate"/>
      </w:r>
      <w:r>
        <w:rPr>
          <w:rFonts w:eastAsia="宋体"/>
          <w:vertAlign w:val="superscript"/>
        </w:rPr>
        <w:t>[3]</w:t>
      </w:r>
      <w:r>
        <w:rPr>
          <w:rFonts w:eastAsia="宋体"/>
        </w:rPr>
        <w:fldChar w:fldCharType="end"/>
      </w:r>
      <w:r>
        <w:rPr>
          <w:rFonts w:eastAsia="宋体"/>
        </w:rPr>
        <w:t xml:space="preserve"> </w:t>
      </w:r>
    </w:p>
    <w:p>
      <w:pPr>
        <w:spacing w:line="360" w:lineRule="auto"/>
        <w:ind w:firstLine="240" w:firstLineChars="100"/>
        <w:jc w:val="both"/>
        <w:rPr>
          <w:rFonts w:eastAsia="宋体"/>
        </w:rPr>
      </w:pPr>
      <w:r>
        <w:rPr>
          <w:rFonts w:eastAsia="宋体"/>
        </w:rPr>
        <w:t>The adsorption energy (</w:t>
      </w:r>
      <w:r>
        <w:rPr>
          <w:rFonts w:eastAsia="宋体"/>
          <w:lang w:val="el-GR"/>
        </w:rPr>
        <w:t>Δ</w:t>
      </w:r>
      <w:r>
        <w:rPr>
          <w:rFonts w:eastAsia="宋体"/>
        </w:rPr>
        <w:t>E</w:t>
      </w:r>
      <w:r>
        <w:rPr>
          <w:rFonts w:eastAsia="宋体"/>
          <w:vertAlign w:val="subscript"/>
        </w:rPr>
        <w:t>ads</w:t>
      </w:r>
      <w:r>
        <w:rPr>
          <w:rFonts w:eastAsia="宋体"/>
        </w:rPr>
        <w:t xml:space="preserve">) of adsorbate adsorption on surface is defined as </w:t>
      </w:r>
    </w:p>
    <w:p>
      <w:pPr>
        <w:spacing w:line="360" w:lineRule="auto"/>
        <w:ind w:firstLine="240" w:firstLineChars="100"/>
        <w:jc w:val="center"/>
        <w:rPr>
          <w:rFonts w:eastAsia="宋体"/>
          <w:lang w:val="pt-BR"/>
        </w:rPr>
      </w:pPr>
      <w:r>
        <w:rPr>
          <w:rFonts w:eastAsia="宋体"/>
          <w:lang w:val="el-GR"/>
        </w:rPr>
        <w:t>Δ</w:t>
      </w:r>
      <w:r>
        <w:rPr>
          <w:rFonts w:eastAsia="宋体"/>
          <w:lang w:val="pt-BR"/>
        </w:rPr>
        <w:t>E</w:t>
      </w:r>
      <w:r>
        <w:rPr>
          <w:rFonts w:eastAsia="宋体"/>
          <w:vertAlign w:val="subscript"/>
          <w:lang w:val="pt-BR"/>
        </w:rPr>
        <w:t>ads</w:t>
      </w:r>
      <w:r>
        <w:rPr>
          <w:rFonts w:eastAsia="宋体"/>
          <w:lang w:val="pt-BR"/>
        </w:rPr>
        <w:t xml:space="preserve"> = E(*adsorbate) − E(*) − E(adsorbate)</w:t>
      </w:r>
    </w:p>
    <w:p>
      <w:pPr>
        <w:spacing w:line="360" w:lineRule="auto"/>
        <w:jc w:val="both"/>
        <w:rPr>
          <w:rFonts w:eastAsia="宋体"/>
        </w:rPr>
      </w:pPr>
      <w:r>
        <w:rPr>
          <w:rFonts w:eastAsia="宋体"/>
        </w:rPr>
        <w:t>where E(*adsorbate) and E(*) are the total energy of surface systems with and without adsorbate, respectively, E(adsorbate) is the energy of an isolated adsorbate. According to this definition, negative adsorption energy suggests that the adsorption process is exothermic and the adsorption system is thermodynamically stable. Contrarily, a positive value corresponds to an endothermic and unstable adsorption.</w:t>
      </w:r>
    </w:p>
    <w:p>
      <w:pPr>
        <w:spacing w:line="360" w:lineRule="auto"/>
        <w:ind w:firstLine="240" w:firstLineChars="100"/>
        <w:jc w:val="both"/>
        <w:rPr>
          <w:rFonts w:eastAsia="宋体"/>
        </w:rPr>
      </w:pPr>
      <w:r>
        <w:rPr>
          <w:rFonts w:eastAsia="宋体"/>
        </w:rPr>
        <w:t>The Gibbs free energy was calculated as ΔG = ΔE + ΔE</w:t>
      </w:r>
      <w:r>
        <w:rPr>
          <w:rFonts w:eastAsia="宋体"/>
          <w:vertAlign w:val="subscript"/>
        </w:rPr>
        <w:t>ZPE</w:t>
      </w:r>
      <w:r>
        <w:rPr>
          <w:rFonts w:eastAsia="宋体"/>
        </w:rPr>
        <w:t xml:space="preserve"> −TΔS, where the ΔE, ΔE</w:t>
      </w:r>
      <w:r>
        <w:rPr>
          <w:rFonts w:eastAsia="宋体"/>
          <w:vertAlign w:val="subscript"/>
        </w:rPr>
        <w:t>ZPE</w:t>
      </w:r>
      <w:r>
        <w:rPr>
          <w:rFonts w:eastAsia="宋体"/>
        </w:rPr>
        <w:t>, and ΔS are electronic energy, zero-point energy, and entropy difference between products and reactants. The zero-point energies of isolated and absorbed intermediate products were calculated from the frequency analysis.</w:t>
      </w:r>
      <w:r>
        <w:rPr>
          <w:rFonts w:eastAsia="宋体"/>
        </w:rPr>
        <w:fldChar w:fldCharType="begin"/>
      </w:r>
      <w:r>
        <w:rPr>
          <w:rFonts w:eastAsia="宋体"/>
        </w:rPr>
        <w:instrText xml:space="preserve"> ADDIN EN.CITE &lt;EndNote&gt;&lt;Cite&gt;&lt;Author&gt;Wang&lt;/Author&gt;&lt;Year&gt;2021&lt;/Year&gt;&lt;RecNum&gt;120&lt;/RecNum&gt;&lt;DisplayText&gt;&lt;style face="superscript"&gt;[4]&lt;/style&gt;&lt;/DisplayText&gt;&lt;record&gt;&lt;rec-number&gt;120&lt;/rec-number&gt;&lt;foreign-keys&gt;&lt;key app="EN" db-id="5zfzed2pbp0pehetzf0paps4990waww9ds2z" timestamp="1707208621"&gt;120&lt;/key&gt;&lt;key app="ENWeb" db-id=""&gt;0&lt;/key&gt;&lt;/foreign-keys&gt;&lt;ref-type name="Journal Article"&gt;17&lt;/ref-type&gt;&lt;contributors&gt;&lt;authors&gt;&lt;author&gt;Wang, Vei&lt;/author&gt;&lt;author&gt;Xu, Nan&lt;/author&gt;&lt;author&gt;Liu, Jin Cheng&lt;/author&gt;&lt;author&gt;Tang, Gang&lt;/author&gt;&lt;author&gt;Geng, Wen Tong&lt;/author&gt;&lt;/authors&gt;&lt;/contributors&gt;&lt;titles&gt;&lt;title&gt;VASPKIT: A user-friendly interface facilitating high-throughput computing and analysis using VASP code&lt;/title&gt;&lt;secondary-title&gt;Computer Physics Communications&lt;/secondary-title&gt;&lt;/titles&gt;&lt;periodical&gt;&lt;full-title&gt;Computer Physics Communications&lt;/full-title&gt;&lt;abbr-1&gt;Comput. Phys. Commun.&lt;/abbr-1&gt;&lt;/periodical&gt;&lt;volume&gt;267&lt;/volume&gt;&lt;section&gt;108033&lt;/section&gt;&lt;dates&gt;&lt;year&gt;2021&lt;/year&gt;&lt;/dates&gt;&lt;isbn&gt;00104655&lt;/isbn&gt;&lt;urls&gt;&lt;/urls&gt;&lt;electronic-resource-num&gt;10.1016/j.cpc.2021.108033&lt;/electronic-resource-num&gt;&lt;/record&gt;&lt;/Cite&gt;&lt;/EndNote&gt;</w:instrText>
      </w:r>
      <w:r>
        <w:rPr>
          <w:rFonts w:eastAsia="宋体"/>
        </w:rPr>
        <w:fldChar w:fldCharType="separate"/>
      </w:r>
      <w:r>
        <w:rPr>
          <w:rFonts w:eastAsia="宋体"/>
          <w:vertAlign w:val="superscript"/>
        </w:rPr>
        <w:t>[4]</w:t>
      </w:r>
      <w:r>
        <w:rPr>
          <w:rFonts w:eastAsia="宋体"/>
        </w:rPr>
        <w:fldChar w:fldCharType="end"/>
      </w:r>
      <w:r>
        <w:rPr>
          <w:rFonts w:eastAsia="宋体"/>
        </w:rPr>
        <w:t xml:space="preserve"> The vibrational frequencies and entropies of molecules in the gas phase were obtained from the National Institute of Standards and Technology (NIST) database.</w:t>
      </w:r>
      <w:r>
        <w:rPr>
          <w:rFonts w:eastAsia="宋体"/>
        </w:rPr>
        <w:fldChar w:fldCharType="begin">
          <w:fldData xml:space="preserve">PEVuZE5vdGU+PENpdGU+PEF1dGhvcj5Ob2Vyc2tvdjwvQXV0aG9yPjxZZWFyPjIwMDU8L1llYXI+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</w:fldData>
        </w:fldChar>
      </w:r>
      <w:r>
        <w:rPr>
          <w:rFonts w:eastAsia="宋体"/>
        </w:rPr>
        <w:instrText xml:space="preserve"> ADDIN EN.CITE </w:instrText>
      </w:r>
      <w:r>
        <w:rPr>
          <w:rFonts w:eastAsia="宋体"/>
        </w:rPr>
        <w:fldChar w:fldCharType="begin">
          <w:fldData xml:space="preserve">PEVuZE5vdGU+PENpdGU+PEF1dGhvcj5Ob2Vyc2tvdjwvQXV0aG9yPjxZZWFyPjIwMDU8L1llYXI+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</w:fldData>
        </w:fldChar>
      </w:r>
      <w:r>
        <w:rPr>
          <w:rFonts w:eastAsia="宋体"/>
        </w:rPr>
        <w:instrText xml:space="preserve"> ADDIN EN.CITE.DATA </w:instrText>
      </w:r>
      <w:r>
        <w:rPr>
          <w:rFonts w:eastAsia="宋体"/>
        </w:rPr>
        <w:fldChar w:fldCharType="end"/>
      </w:r>
      <w:r>
        <w:rPr>
          <w:rFonts w:eastAsia="宋体"/>
        </w:rPr>
        <w:fldChar w:fldCharType="separate"/>
      </w:r>
      <w:r>
        <w:rPr>
          <w:rFonts w:eastAsia="宋体"/>
          <w:vertAlign w:val="superscript"/>
        </w:rPr>
        <w:t>[5]</w:t>
      </w:r>
      <w:r>
        <w:rPr>
          <w:rFonts w:eastAsia="宋体"/>
        </w:rPr>
        <w:fldChar w:fldCharType="end"/>
      </w:r>
    </w:p>
    <w:p>
      <w:pPr>
        <w:rPr>
          <w:rFonts w:eastAsia="宋体"/>
        </w:rPr>
      </w:pPr>
      <w:r>
        <w:rPr>
          <w:rFonts w:eastAsia="宋体"/>
        </w:rPr>
        <w:br w:type="page"/>
      </w:r>
    </w:p>
    <w:p>
      <w:pPr>
        <w:rPr>
          <w:rFonts w:eastAsia="宋体"/>
        </w:rPr>
      </w:pPr>
      <w:r>
        <w:rPr>
          <w:rFonts w:eastAsia="宋体"/>
        </w:rPr>
        <w:drawing>
          <wp:inline distT="0" distB="0" distL="0" distR="0">
            <wp:extent cx="5759450" cy="2873375"/>
            <wp:effectExtent l="0" t="0" r="0" b="3175"/>
            <wp:docPr id="5754255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25510" name="图片 3"/>
                    <pic:cNvPicPr>
                      <a:picLocks noChangeAspect="1"/>
                    </pic:cNvPicPr>
                  </pic:nvPicPr>
                  <pic:blipFill>
                    <a:blip r:embed="rId6"/>
                    <a:srcRect r="1130"/>
                    <a:stretch>
                      <a:fillRect/>
                    </a:stretch>
                  </pic:blipFill>
                  <pic:spPr>
                    <a:xfrm>
                      <a:off x="0" y="0"/>
                      <a:ext cx="5760000" cy="2873742"/>
                    </a:xfrm>
                    <a:prstGeom prst="rect">
                      <a:avLst/>
                    </a:prstGeom>
                    <a:ln>
                      <a:noFill/>
                    </a:ln>
                  </pic:spPr>
                </pic:pic>
              </a:graphicData>
            </a:graphic>
          </wp:inline>
        </w:drawing>
      </w:r>
    </w:p>
    <w:p>
      <w:pPr>
        <w:jc w:val="both"/>
        <w:rPr>
          <w:rFonts w:eastAsia="宋体"/>
          <w:sz w:val="21"/>
          <w:szCs w:val="21"/>
        </w:rPr>
      </w:pPr>
      <w:r>
        <w:rPr>
          <w:rFonts w:hint="eastAsia" w:eastAsia="宋体"/>
          <w:b/>
          <w:bCs/>
          <w:sz w:val="21"/>
          <w:szCs w:val="21"/>
        </w:rPr>
        <w:t>F</w:t>
      </w:r>
      <w:r>
        <w:rPr>
          <w:rFonts w:eastAsia="宋体"/>
          <w:b/>
          <w:bCs/>
          <w:sz w:val="21"/>
          <w:szCs w:val="21"/>
        </w:rPr>
        <w:t>ig</w:t>
      </w:r>
      <w:r>
        <w:rPr>
          <w:rFonts w:hint="eastAsia" w:eastAsia="宋体"/>
          <w:b/>
          <w:bCs/>
          <w:sz w:val="21"/>
          <w:szCs w:val="21"/>
        </w:rPr>
        <w:t>ure</w:t>
      </w:r>
      <w:r>
        <w:rPr>
          <w:rFonts w:eastAsia="宋体"/>
          <w:b/>
          <w:bCs/>
          <w:sz w:val="21"/>
          <w:szCs w:val="21"/>
        </w:rPr>
        <w:t xml:space="preserve"> S1.</w:t>
      </w:r>
      <w:r>
        <w:rPr>
          <w:rFonts w:eastAsia="宋体"/>
          <w:sz w:val="21"/>
          <w:szCs w:val="21"/>
        </w:rPr>
        <w:t xml:space="preserve"> TEM images of (a) ZGO/Au-0.1, (b) ZGO/Au-0.25, (c) ZGO/Au-0.75, and (d) ZGO/Au-1.0. HRTEM images of (e) ZGO/Au-0.1, (f) ZGO/Au-0.25, (g) ZGO/Au-0.75, and (h) ZGO/Au-1.0.</w:t>
      </w:r>
    </w:p>
    <w:p>
      <w:pPr>
        <w:rPr>
          <w:rFonts w:eastAsia="宋体"/>
        </w:rPr>
      </w:pPr>
      <w:r>
        <w:rPr>
          <w:rFonts w:eastAsia="宋体"/>
        </w:rPr>
        <w:br w:type="page"/>
      </w:r>
    </w:p>
    <w:p>
      <w:pPr>
        <w:rPr>
          <w:rFonts w:eastAsia="宋体"/>
        </w:rPr>
      </w:pPr>
      <w:r>
        <w:rPr>
          <w:rFonts w:eastAsia="宋体"/>
        </w:rPr>
        <w:drawing>
          <wp:inline distT="0" distB="0" distL="0" distR="0">
            <wp:extent cx="5760720" cy="2400300"/>
            <wp:effectExtent l="0" t="0" r="0" b="0"/>
            <wp:docPr id="14920065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06541" name="图片 4"/>
                    <pic:cNvPicPr>
                      <a:picLocks noChangeAspect="1"/>
                    </pic:cNvPicPr>
                  </pic:nvPicPr>
                  <pic:blipFill>
                    <a:blip r:embed="rId7"/>
                    <a:stretch>
                      <a:fillRect/>
                    </a:stretch>
                  </pic:blipFill>
                  <pic:spPr>
                    <a:xfrm>
                      <a:off x="0" y="0"/>
                      <a:ext cx="5760720" cy="2400300"/>
                    </a:xfrm>
                    <a:prstGeom prst="rect">
                      <a:avLst/>
                    </a:prstGeom>
                  </pic:spPr>
                </pic:pic>
              </a:graphicData>
            </a:graphic>
          </wp:inline>
        </w:drawing>
      </w:r>
    </w:p>
    <w:p>
      <w:pPr>
        <w:jc w:val="center"/>
        <w:rPr>
          <w:rFonts w:eastAsia="宋体"/>
          <w:sz w:val="21"/>
          <w:szCs w:val="21"/>
        </w:rPr>
      </w:pPr>
      <w:r>
        <w:rPr>
          <w:rFonts w:hint="eastAsia" w:eastAsia="宋体"/>
          <w:b/>
          <w:bCs/>
          <w:sz w:val="21"/>
          <w:szCs w:val="21"/>
        </w:rPr>
        <w:t>F</w:t>
      </w:r>
      <w:r>
        <w:rPr>
          <w:rFonts w:eastAsia="宋体"/>
          <w:b/>
          <w:bCs/>
          <w:sz w:val="21"/>
          <w:szCs w:val="21"/>
        </w:rPr>
        <w:t>ig</w:t>
      </w:r>
      <w:r>
        <w:rPr>
          <w:rFonts w:hint="eastAsia" w:eastAsia="宋体"/>
          <w:b/>
          <w:bCs/>
          <w:sz w:val="21"/>
          <w:szCs w:val="21"/>
        </w:rPr>
        <w:t>ure</w:t>
      </w:r>
      <w:r>
        <w:rPr>
          <w:rFonts w:eastAsia="宋体"/>
          <w:b/>
          <w:bCs/>
          <w:sz w:val="21"/>
          <w:szCs w:val="21"/>
        </w:rPr>
        <w:t xml:space="preserve"> S2.</w:t>
      </w:r>
      <w:r>
        <w:rPr>
          <w:rFonts w:eastAsia="宋体"/>
          <w:sz w:val="21"/>
          <w:szCs w:val="21"/>
        </w:rPr>
        <w:t xml:space="preserve"> XRD patterns of (a) ZnO and ZGO, and (b) ZGO/Au.</w:t>
      </w:r>
    </w:p>
    <w:p>
      <w:pPr>
        <w:rPr>
          <w:rFonts w:eastAsia="宋体"/>
        </w:rPr>
      </w:pPr>
      <w:r>
        <w:rPr>
          <w:rFonts w:eastAsia="宋体"/>
        </w:rPr>
        <w:br w:type="page"/>
      </w:r>
    </w:p>
    <w:p>
      <w:pPr>
        <w:jc w:val="center"/>
        <w:rPr>
          <w:rFonts w:eastAsia="宋体"/>
        </w:rPr>
      </w:pPr>
      <w:r>
        <w:rPr>
          <w:rFonts w:eastAsia="宋体"/>
        </w:rPr>
        <w:drawing>
          <wp:inline distT="0" distB="0" distL="0" distR="0">
            <wp:extent cx="4499610" cy="3223895"/>
            <wp:effectExtent l="0" t="0" r="0" b="0"/>
            <wp:docPr id="16741220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22083" name="图片 6"/>
                    <pic:cNvPicPr>
                      <a:picLocks noChangeAspect="1"/>
                    </pic:cNvPicPr>
                  </pic:nvPicPr>
                  <pic:blipFill>
                    <a:blip r:embed="rId8"/>
                    <a:srcRect l="11030" t="9898" r="11619" b="10157"/>
                    <a:stretch>
                      <a:fillRect/>
                    </a:stretch>
                  </pic:blipFill>
                  <pic:spPr>
                    <a:xfrm>
                      <a:off x="0" y="0"/>
                      <a:ext cx="4500000" cy="3224148"/>
                    </a:xfrm>
                    <a:prstGeom prst="rect">
                      <a:avLst/>
                    </a:prstGeom>
                    <a:ln>
                      <a:noFill/>
                    </a:ln>
                  </pic:spPr>
                </pic:pic>
              </a:graphicData>
            </a:graphic>
          </wp:inline>
        </w:drawing>
      </w:r>
    </w:p>
    <w:p>
      <w:pPr>
        <w:jc w:val="center"/>
        <w:rPr>
          <w:rFonts w:eastAsia="宋体"/>
          <w:sz w:val="21"/>
          <w:szCs w:val="21"/>
        </w:rPr>
      </w:pPr>
      <w:r>
        <w:rPr>
          <w:rFonts w:hint="eastAsia" w:eastAsia="宋体"/>
          <w:b/>
          <w:bCs/>
          <w:sz w:val="21"/>
          <w:szCs w:val="21"/>
        </w:rPr>
        <w:t>F</w:t>
      </w:r>
      <w:r>
        <w:rPr>
          <w:rFonts w:eastAsia="宋体"/>
          <w:b/>
          <w:bCs/>
          <w:sz w:val="21"/>
          <w:szCs w:val="21"/>
        </w:rPr>
        <w:t>ig</w:t>
      </w:r>
      <w:r>
        <w:rPr>
          <w:rFonts w:hint="eastAsia" w:eastAsia="宋体"/>
          <w:b/>
          <w:bCs/>
          <w:sz w:val="21"/>
          <w:szCs w:val="21"/>
        </w:rPr>
        <w:t>ure</w:t>
      </w:r>
      <w:r>
        <w:rPr>
          <w:rFonts w:eastAsia="宋体"/>
          <w:b/>
          <w:bCs/>
          <w:sz w:val="21"/>
          <w:szCs w:val="21"/>
        </w:rPr>
        <w:t xml:space="preserve"> S3.</w:t>
      </w:r>
      <w:r>
        <w:rPr>
          <w:rFonts w:eastAsia="宋体"/>
          <w:sz w:val="21"/>
          <w:szCs w:val="21"/>
        </w:rPr>
        <w:t xml:space="preserve"> XRD patterns of all the as-prepared samples.</w:t>
      </w:r>
    </w:p>
    <w:p>
      <w:pPr>
        <w:rPr>
          <w:rFonts w:eastAsia="宋体"/>
        </w:rPr>
      </w:pPr>
    </w:p>
    <w:p>
      <w:pPr>
        <w:rPr>
          <w:rFonts w:eastAsia="宋体"/>
        </w:rPr>
      </w:pPr>
    </w:p>
    <w:p>
      <w:pPr>
        <w:rPr>
          <w:rFonts w:eastAsia="宋体"/>
        </w:rPr>
      </w:pPr>
    </w:p>
    <w:p>
      <w:pPr>
        <w:rPr>
          <w:rFonts w:eastAsia="宋体"/>
        </w:rPr>
      </w:pPr>
    </w:p>
    <w:p>
      <w:pPr>
        <w:rPr>
          <w:rFonts w:eastAsia="宋体"/>
        </w:rPr>
      </w:pPr>
    </w:p>
    <w:p>
      <w:pPr>
        <w:jc w:val="center"/>
        <w:rPr>
          <w:rFonts w:eastAsia="宋体"/>
        </w:rPr>
      </w:pPr>
      <w:r>
        <w:rPr>
          <w:rFonts w:eastAsia="宋体"/>
        </w:rPr>
        <w:drawing>
          <wp:inline distT="0" distB="0" distL="0" distR="0">
            <wp:extent cx="5759450" cy="2567940"/>
            <wp:effectExtent l="0" t="0" r="0" b="3810"/>
            <wp:docPr id="12838925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892529" name="图片 7"/>
                    <pic:cNvPicPr>
                      <a:picLocks noChangeAspect="1"/>
                    </pic:cNvPicPr>
                  </pic:nvPicPr>
                  <pic:blipFill>
                    <a:blip r:embed="rId9"/>
                    <a:srcRect r="2867" b="2831"/>
                    <a:stretch>
                      <a:fillRect/>
                    </a:stretch>
                  </pic:blipFill>
                  <pic:spPr>
                    <a:xfrm>
                      <a:off x="0" y="0"/>
                      <a:ext cx="5760000" cy="2568541"/>
                    </a:xfrm>
                    <a:prstGeom prst="rect">
                      <a:avLst/>
                    </a:prstGeom>
                    <a:ln>
                      <a:noFill/>
                    </a:ln>
                  </pic:spPr>
                </pic:pic>
              </a:graphicData>
            </a:graphic>
          </wp:inline>
        </w:drawing>
      </w:r>
    </w:p>
    <w:p>
      <w:pPr>
        <w:jc w:val="both"/>
        <w:rPr>
          <w:rFonts w:eastAsia="宋体"/>
          <w:sz w:val="21"/>
          <w:szCs w:val="21"/>
        </w:rPr>
      </w:pPr>
      <w:r>
        <w:rPr>
          <w:rFonts w:hint="eastAsia" w:eastAsia="宋体"/>
          <w:b/>
          <w:bCs/>
          <w:sz w:val="21"/>
          <w:szCs w:val="21"/>
        </w:rPr>
        <w:t>F</w:t>
      </w:r>
      <w:r>
        <w:rPr>
          <w:rFonts w:eastAsia="宋体"/>
          <w:b/>
          <w:bCs/>
          <w:sz w:val="21"/>
          <w:szCs w:val="21"/>
        </w:rPr>
        <w:t>ig</w:t>
      </w:r>
      <w:r>
        <w:rPr>
          <w:rFonts w:hint="eastAsia" w:eastAsia="宋体"/>
          <w:b/>
          <w:bCs/>
          <w:sz w:val="21"/>
          <w:szCs w:val="21"/>
        </w:rPr>
        <w:t>ure</w:t>
      </w:r>
      <w:r>
        <w:rPr>
          <w:rFonts w:eastAsia="宋体"/>
          <w:b/>
          <w:bCs/>
          <w:sz w:val="21"/>
          <w:szCs w:val="21"/>
        </w:rPr>
        <w:t xml:space="preserve"> S4.</w:t>
      </w:r>
      <w:r>
        <w:rPr>
          <w:rFonts w:eastAsia="宋体"/>
          <w:sz w:val="21"/>
          <w:szCs w:val="21"/>
        </w:rPr>
        <w:t xml:space="preserve"> (a)</w:t>
      </w:r>
      <w:r>
        <w:rPr>
          <w:rFonts w:eastAsia="宋体"/>
          <w:color w:val="000000" w:themeColor="text1"/>
          <w:sz w:val="21"/>
          <w:szCs w:val="21"/>
          <w14:textFill>
            <w14:solidFill>
              <w14:schemeClr w14:val="tx1"/>
            </w14:solidFill>
          </w14:textFill>
        </w:rPr>
        <w:t xml:space="preserve"> </w:t>
      </w:r>
      <w:r>
        <w:rPr>
          <w:rFonts w:hint="eastAsia" w:eastAsia="宋体"/>
          <w:color w:val="000000" w:themeColor="text1"/>
          <w:sz w:val="21"/>
          <w:szCs w:val="21"/>
          <w14:textFill>
            <w14:solidFill>
              <w14:schemeClr w14:val="tx1"/>
            </w14:solidFill>
          </w14:textFill>
        </w:rPr>
        <w:t>XRD</w:t>
      </w:r>
      <w:r>
        <w:rPr>
          <w:rFonts w:eastAsia="宋体"/>
          <w:color w:val="000000" w:themeColor="text1"/>
          <w:sz w:val="21"/>
          <w:szCs w:val="21"/>
          <w14:textFill>
            <w14:solidFill>
              <w14:schemeClr w14:val="tx1"/>
            </w14:solidFill>
          </w14:textFill>
        </w:rPr>
        <w:t xml:space="preserve"> </w:t>
      </w:r>
      <w:r>
        <w:rPr>
          <w:rFonts w:hint="eastAsia" w:eastAsia="宋体"/>
          <w:color w:val="000000" w:themeColor="text1"/>
          <w:sz w:val="21"/>
          <w:szCs w:val="21"/>
          <w14:textFill>
            <w14:solidFill>
              <w14:schemeClr w14:val="tx1"/>
            </w14:solidFill>
          </w14:textFill>
        </w:rPr>
        <w:t>p</w:t>
      </w:r>
      <w:r>
        <w:rPr>
          <w:rFonts w:eastAsia="宋体"/>
          <w:color w:val="000000" w:themeColor="text1"/>
          <w:sz w:val="21"/>
          <w:szCs w:val="21"/>
          <w14:textFill>
            <w14:solidFill>
              <w14:schemeClr w14:val="tx1"/>
            </w14:solidFill>
          </w14:textFill>
        </w:rPr>
        <w:t xml:space="preserve">atterns and </w:t>
      </w:r>
      <w:r>
        <w:rPr>
          <w:rFonts w:hint="eastAsia" w:eastAsia="宋体"/>
          <w:color w:val="000000" w:themeColor="text1"/>
          <w:sz w:val="21"/>
          <w:szCs w:val="21"/>
          <w14:textFill>
            <w14:solidFill>
              <w14:schemeClr w14:val="tx1"/>
            </w14:solidFill>
          </w14:textFill>
        </w:rPr>
        <w:t>SEM</w:t>
      </w:r>
      <w:r>
        <w:rPr>
          <w:rFonts w:eastAsia="宋体"/>
          <w:color w:val="000000" w:themeColor="text1"/>
          <w:sz w:val="21"/>
          <w:szCs w:val="21"/>
          <w14:textFill>
            <w14:solidFill>
              <w14:schemeClr w14:val="tx1"/>
            </w14:solidFill>
          </w14:textFill>
        </w:rPr>
        <w:t xml:space="preserve"> images of ZGO/Au-0.5 before and after cycling test. (b-c) TEM, (d) HRTEM, and (e-i) EDS images of ZGO/Au-0.5 after cycling test.</w:t>
      </w:r>
    </w:p>
    <w:p>
      <w:pPr>
        <w:rPr>
          <w:rFonts w:eastAsia="宋体"/>
          <w:sz w:val="21"/>
          <w:szCs w:val="21"/>
        </w:rPr>
      </w:pPr>
      <w:r>
        <w:rPr>
          <w:rFonts w:eastAsia="宋体"/>
          <w:sz w:val="21"/>
          <w:szCs w:val="21"/>
        </w:rPr>
        <w:br w:type="page"/>
      </w:r>
    </w:p>
    <w:p>
      <w:pPr>
        <w:rPr>
          <w:rFonts w:eastAsia="宋体"/>
        </w:rPr>
      </w:pPr>
      <w:r>
        <w:rPr>
          <w:rFonts w:eastAsia="宋体"/>
        </w:rPr>
        <w:drawing>
          <wp:inline distT="0" distB="0" distL="0" distR="0">
            <wp:extent cx="5760720" cy="2341245"/>
            <wp:effectExtent l="0" t="0" r="0" b="1905"/>
            <wp:docPr id="5588177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817761" name="图片 8"/>
                    <pic:cNvPicPr>
                      <a:picLocks noChangeAspect="1"/>
                    </pic:cNvPicPr>
                  </pic:nvPicPr>
                  <pic:blipFill>
                    <a:blip r:embed="rId10"/>
                    <a:stretch>
                      <a:fillRect/>
                    </a:stretch>
                  </pic:blipFill>
                  <pic:spPr>
                    <a:xfrm>
                      <a:off x="0" y="0"/>
                      <a:ext cx="5760720" cy="2341245"/>
                    </a:xfrm>
                    <a:prstGeom prst="rect">
                      <a:avLst/>
                    </a:prstGeom>
                  </pic:spPr>
                </pic:pic>
              </a:graphicData>
            </a:graphic>
          </wp:inline>
        </w:drawing>
      </w:r>
    </w:p>
    <w:p>
      <w:pPr>
        <w:jc w:val="both"/>
        <w:rPr>
          <w:rFonts w:eastAsia="宋体"/>
          <w:sz w:val="21"/>
          <w:szCs w:val="21"/>
        </w:rPr>
      </w:pPr>
      <w:r>
        <w:rPr>
          <w:rFonts w:hint="eastAsia" w:eastAsia="宋体"/>
          <w:b/>
          <w:bCs/>
          <w:sz w:val="21"/>
          <w:szCs w:val="21"/>
        </w:rPr>
        <w:t>F</w:t>
      </w:r>
      <w:r>
        <w:rPr>
          <w:rFonts w:eastAsia="宋体"/>
          <w:b/>
          <w:bCs/>
          <w:sz w:val="21"/>
          <w:szCs w:val="21"/>
        </w:rPr>
        <w:t>ig</w:t>
      </w:r>
      <w:r>
        <w:rPr>
          <w:rFonts w:hint="eastAsia" w:eastAsia="宋体"/>
          <w:b/>
          <w:bCs/>
          <w:sz w:val="21"/>
          <w:szCs w:val="21"/>
        </w:rPr>
        <w:t>ure</w:t>
      </w:r>
      <w:r>
        <w:rPr>
          <w:rFonts w:eastAsia="宋体"/>
          <w:b/>
          <w:bCs/>
          <w:sz w:val="21"/>
          <w:szCs w:val="21"/>
        </w:rPr>
        <w:t xml:space="preserve"> S5.</w:t>
      </w:r>
      <w:r>
        <w:rPr>
          <w:rFonts w:eastAsia="宋体"/>
          <w:sz w:val="21"/>
          <w:szCs w:val="21"/>
        </w:rPr>
        <w:t xml:space="preserve"> (a) N</w:t>
      </w:r>
      <w:r>
        <w:rPr>
          <w:rFonts w:eastAsia="宋体"/>
          <w:sz w:val="21"/>
          <w:szCs w:val="21"/>
          <w:vertAlign w:val="subscript"/>
        </w:rPr>
        <w:t>2</w:t>
      </w:r>
      <w:r>
        <w:rPr>
          <w:rFonts w:eastAsia="宋体"/>
          <w:sz w:val="21"/>
          <w:szCs w:val="21"/>
        </w:rPr>
        <w:t xml:space="preserve"> adsorption-desorption isotherm curves, and (b) pore diameter distribution curves of ZGO and ZGO/Au-0.5.</w:t>
      </w:r>
    </w:p>
    <w:p>
      <w:pPr>
        <w:rPr>
          <w:rFonts w:eastAsia="宋体"/>
        </w:rPr>
      </w:pPr>
      <w:r>
        <w:rPr>
          <w:rFonts w:eastAsia="宋体"/>
        </w:rPr>
        <w:br w:type="page"/>
      </w:r>
    </w:p>
    <w:p>
      <w:pPr>
        <w:jc w:val="center"/>
        <w:rPr>
          <w:rFonts w:eastAsia="宋体"/>
          <w:lang w:eastAsia="zh-CN"/>
        </w:rPr>
      </w:pPr>
      <w:r>
        <w:rPr>
          <w:rFonts w:hint="eastAsia" w:eastAsia="宋体"/>
          <w:lang w:eastAsia="zh-CN"/>
        </w:rPr>
        <w:drawing>
          <wp:inline distT="0" distB="0" distL="0" distR="0">
            <wp:extent cx="4392930" cy="3757295"/>
            <wp:effectExtent l="0" t="0" r="7620" b="0"/>
            <wp:docPr id="11732972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297284" name="图片 5"/>
                    <pic:cNvPicPr>
                      <a:picLocks noChangeAspect="1"/>
                    </pic:cNvPicPr>
                  </pic:nvPicPr>
                  <pic:blipFill>
                    <a:blip r:embed="rId11"/>
                    <a:srcRect l="10895" t="12410" r="12828" b="5147"/>
                    <a:stretch>
                      <a:fillRect/>
                    </a:stretch>
                  </pic:blipFill>
                  <pic:spPr>
                    <a:xfrm>
                      <a:off x="0" y="0"/>
                      <a:ext cx="4394056" cy="3758796"/>
                    </a:xfrm>
                    <a:prstGeom prst="rect">
                      <a:avLst/>
                    </a:prstGeom>
                    <a:ln>
                      <a:noFill/>
                    </a:ln>
                  </pic:spPr>
                </pic:pic>
              </a:graphicData>
            </a:graphic>
          </wp:inline>
        </w:drawing>
      </w:r>
    </w:p>
    <w:p>
      <w:pPr>
        <w:jc w:val="center"/>
        <w:rPr>
          <w:rFonts w:eastAsia="宋体"/>
          <w:sz w:val="21"/>
          <w:szCs w:val="21"/>
        </w:rPr>
      </w:pPr>
      <w:r>
        <w:rPr>
          <w:rFonts w:hint="eastAsia" w:eastAsia="宋体"/>
          <w:b/>
          <w:bCs/>
          <w:sz w:val="21"/>
          <w:szCs w:val="21"/>
        </w:rPr>
        <w:t>F</w:t>
      </w:r>
      <w:r>
        <w:rPr>
          <w:rFonts w:eastAsia="宋体"/>
          <w:b/>
          <w:bCs/>
          <w:sz w:val="21"/>
          <w:szCs w:val="21"/>
        </w:rPr>
        <w:t>ig</w:t>
      </w:r>
      <w:r>
        <w:rPr>
          <w:rFonts w:hint="eastAsia" w:eastAsia="宋体"/>
          <w:b/>
          <w:bCs/>
          <w:sz w:val="21"/>
          <w:szCs w:val="21"/>
        </w:rPr>
        <w:t>ure</w:t>
      </w:r>
      <w:r>
        <w:rPr>
          <w:rFonts w:eastAsia="宋体"/>
          <w:b/>
          <w:bCs/>
          <w:sz w:val="21"/>
          <w:szCs w:val="21"/>
        </w:rPr>
        <w:t xml:space="preserve"> S6.</w:t>
      </w:r>
      <w:r>
        <w:rPr>
          <w:rFonts w:eastAsia="宋体"/>
          <w:sz w:val="21"/>
          <w:szCs w:val="21"/>
        </w:rPr>
        <w:t xml:space="preserve"> XPS survey spectra of ZnO, ZnGa</w:t>
      </w:r>
      <w:r>
        <w:rPr>
          <w:rFonts w:eastAsia="宋体"/>
          <w:sz w:val="21"/>
          <w:szCs w:val="21"/>
          <w:vertAlign w:val="subscript"/>
        </w:rPr>
        <w:t>2</w:t>
      </w:r>
      <w:r>
        <w:rPr>
          <w:rFonts w:eastAsia="宋体"/>
          <w:sz w:val="21"/>
          <w:szCs w:val="21"/>
        </w:rPr>
        <w:t>O</w:t>
      </w:r>
      <w:r>
        <w:rPr>
          <w:rFonts w:eastAsia="宋体"/>
          <w:sz w:val="21"/>
          <w:szCs w:val="21"/>
          <w:vertAlign w:val="subscript"/>
        </w:rPr>
        <w:t>4</w:t>
      </w:r>
      <w:r>
        <w:rPr>
          <w:rFonts w:eastAsia="宋体"/>
          <w:sz w:val="21"/>
          <w:szCs w:val="21"/>
        </w:rPr>
        <w:t>, ZGO, and ZGO/Au-0.5.</w:t>
      </w:r>
    </w:p>
    <w:p>
      <w:pPr>
        <w:rPr>
          <w:rFonts w:eastAsia="宋体"/>
        </w:rPr>
      </w:pPr>
    </w:p>
    <w:p>
      <w:pPr>
        <w:rPr>
          <w:rFonts w:eastAsia="宋体"/>
        </w:rPr>
      </w:pPr>
    </w:p>
    <w:p>
      <w:pPr>
        <w:jc w:val="center"/>
        <w:rPr>
          <w:rFonts w:eastAsia="宋体"/>
        </w:rPr>
      </w:pPr>
      <w:r>
        <w:rPr>
          <w:rFonts w:eastAsia="宋体"/>
        </w:rPr>
        <w:drawing>
          <wp:inline distT="0" distB="0" distL="0" distR="0">
            <wp:extent cx="5760720" cy="2359025"/>
            <wp:effectExtent l="0" t="0" r="0" b="3175"/>
            <wp:docPr id="3593979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97912" name="图片 9"/>
                    <pic:cNvPicPr>
                      <a:picLocks noChangeAspect="1"/>
                    </pic:cNvPicPr>
                  </pic:nvPicPr>
                  <pic:blipFill>
                    <a:blip r:embed="rId12"/>
                    <a:stretch>
                      <a:fillRect/>
                    </a:stretch>
                  </pic:blipFill>
                  <pic:spPr>
                    <a:xfrm>
                      <a:off x="0" y="0"/>
                      <a:ext cx="5760720" cy="2359025"/>
                    </a:xfrm>
                    <a:prstGeom prst="rect">
                      <a:avLst/>
                    </a:prstGeom>
                  </pic:spPr>
                </pic:pic>
              </a:graphicData>
            </a:graphic>
          </wp:inline>
        </w:drawing>
      </w:r>
    </w:p>
    <w:p>
      <w:pPr>
        <w:jc w:val="both"/>
        <w:rPr>
          <w:rFonts w:eastAsia="宋体"/>
          <w:sz w:val="21"/>
          <w:szCs w:val="21"/>
        </w:rPr>
      </w:pPr>
      <w:r>
        <w:rPr>
          <w:rFonts w:hint="eastAsia" w:eastAsia="宋体"/>
          <w:b/>
          <w:bCs/>
          <w:sz w:val="21"/>
          <w:szCs w:val="21"/>
        </w:rPr>
        <w:t>F</w:t>
      </w:r>
      <w:r>
        <w:rPr>
          <w:rFonts w:eastAsia="宋体"/>
          <w:b/>
          <w:bCs/>
          <w:sz w:val="21"/>
          <w:szCs w:val="21"/>
        </w:rPr>
        <w:t>ig</w:t>
      </w:r>
      <w:r>
        <w:rPr>
          <w:rFonts w:hint="eastAsia" w:eastAsia="宋体"/>
          <w:b/>
          <w:bCs/>
          <w:sz w:val="21"/>
          <w:szCs w:val="21"/>
        </w:rPr>
        <w:t>ure</w:t>
      </w:r>
      <w:r>
        <w:rPr>
          <w:rFonts w:eastAsia="宋体"/>
          <w:b/>
          <w:bCs/>
          <w:sz w:val="21"/>
          <w:szCs w:val="21"/>
        </w:rPr>
        <w:t xml:space="preserve"> S7.</w:t>
      </w:r>
      <w:r>
        <w:rPr>
          <w:rFonts w:eastAsia="宋体"/>
          <w:sz w:val="21"/>
          <w:szCs w:val="21"/>
        </w:rPr>
        <w:t xml:space="preserve"> XPS survey spectra for O 1s of (a) ZnO, ZnGa</w:t>
      </w:r>
      <w:r>
        <w:rPr>
          <w:rFonts w:eastAsia="宋体"/>
          <w:sz w:val="21"/>
          <w:szCs w:val="21"/>
          <w:vertAlign w:val="subscript"/>
        </w:rPr>
        <w:t>2</w:t>
      </w:r>
      <w:r>
        <w:rPr>
          <w:rFonts w:eastAsia="宋体"/>
          <w:sz w:val="21"/>
          <w:szCs w:val="21"/>
        </w:rPr>
        <w:t>O</w:t>
      </w:r>
      <w:r>
        <w:rPr>
          <w:rFonts w:eastAsia="宋体"/>
          <w:sz w:val="21"/>
          <w:szCs w:val="21"/>
          <w:vertAlign w:val="subscript"/>
        </w:rPr>
        <w:t>4</w:t>
      </w:r>
      <w:r>
        <w:rPr>
          <w:rFonts w:eastAsia="宋体"/>
          <w:sz w:val="21"/>
          <w:szCs w:val="21"/>
        </w:rPr>
        <w:t>, ZGO, and ZGO/Au-0.5 and (b) for ZGO/Au-0.5 under light irradiation.</w:t>
      </w:r>
    </w:p>
    <w:p>
      <w:pPr>
        <w:rPr>
          <w:rFonts w:eastAsia="宋体"/>
        </w:rPr>
      </w:pPr>
    </w:p>
    <w:p>
      <w:pPr>
        <w:rPr>
          <w:rFonts w:eastAsia="宋体"/>
        </w:rPr>
      </w:pPr>
    </w:p>
    <w:p>
      <w:pPr>
        <w:rPr>
          <w:rFonts w:eastAsia="宋体"/>
        </w:rPr>
      </w:pPr>
    </w:p>
    <w:p>
      <w:pPr>
        <w:rPr>
          <w:rFonts w:eastAsia="宋体"/>
        </w:rPr>
      </w:pPr>
      <w:r>
        <w:rPr>
          <w:rFonts w:eastAsia="宋体"/>
        </w:rPr>
        <w:br w:type="page"/>
      </w:r>
    </w:p>
    <w:p>
      <w:pPr>
        <w:rPr>
          <w:rFonts w:eastAsia="宋体"/>
        </w:rPr>
      </w:pPr>
      <w:r>
        <w:rPr>
          <w:rFonts w:eastAsia="宋体"/>
        </w:rPr>
        <w:drawing>
          <wp:inline distT="0" distB="0" distL="0" distR="0">
            <wp:extent cx="5760720" cy="3914140"/>
            <wp:effectExtent l="0" t="0" r="0" b="0"/>
            <wp:docPr id="12822712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271255" name="图片 10"/>
                    <pic:cNvPicPr>
                      <a:picLocks noChangeAspect="1"/>
                    </pic:cNvPicPr>
                  </pic:nvPicPr>
                  <pic:blipFill>
                    <a:blip r:embed="rId13"/>
                    <a:stretch>
                      <a:fillRect/>
                    </a:stretch>
                  </pic:blipFill>
                  <pic:spPr>
                    <a:xfrm>
                      <a:off x="0" y="0"/>
                      <a:ext cx="5760720" cy="3914140"/>
                    </a:xfrm>
                    <a:prstGeom prst="rect">
                      <a:avLst/>
                    </a:prstGeom>
                  </pic:spPr>
                </pic:pic>
              </a:graphicData>
            </a:graphic>
          </wp:inline>
        </w:drawing>
      </w:r>
    </w:p>
    <w:p>
      <w:pPr>
        <w:jc w:val="center"/>
        <w:rPr>
          <w:rFonts w:eastAsia="宋体"/>
          <w:sz w:val="21"/>
          <w:szCs w:val="21"/>
        </w:rPr>
      </w:pPr>
      <w:r>
        <w:rPr>
          <w:rFonts w:hint="eastAsia" w:eastAsia="宋体"/>
          <w:b/>
          <w:bCs/>
          <w:sz w:val="21"/>
          <w:szCs w:val="21"/>
        </w:rPr>
        <w:t>F</w:t>
      </w:r>
      <w:r>
        <w:rPr>
          <w:rFonts w:eastAsia="宋体"/>
          <w:b/>
          <w:bCs/>
          <w:sz w:val="21"/>
          <w:szCs w:val="21"/>
        </w:rPr>
        <w:t>ig</w:t>
      </w:r>
      <w:r>
        <w:rPr>
          <w:rFonts w:hint="eastAsia" w:eastAsia="宋体"/>
          <w:b/>
          <w:bCs/>
          <w:sz w:val="21"/>
          <w:szCs w:val="21"/>
        </w:rPr>
        <w:t>ure</w:t>
      </w:r>
      <w:r>
        <w:rPr>
          <w:rFonts w:eastAsia="宋体"/>
          <w:b/>
          <w:bCs/>
          <w:sz w:val="21"/>
          <w:szCs w:val="21"/>
        </w:rPr>
        <w:t xml:space="preserve"> S8.</w:t>
      </w:r>
      <w:r>
        <w:rPr>
          <w:rFonts w:eastAsia="宋体"/>
          <w:sz w:val="21"/>
          <w:szCs w:val="21"/>
        </w:rPr>
        <w:t xml:space="preserve"> </w:t>
      </w:r>
      <w:r>
        <w:rPr>
          <w:rFonts w:eastAsia="宋体"/>
          <w:color w:val="000000" w:themeColor="text1"/>
          <w:sz w:val="21"/>
          <w:szCs w:val="21"/>
          <w14:textFill>
            <w14:solidFill>
              <w14:schemeClr w14:val="tx1"/>
            </w14:solidFill>
          </w14:textFill>
        </w:rPr>
        <w:t>Electrostatic potentials of Au (111) surface.</w:t>
      </w:r>
    </w:p>
    <w:p>
      <w:pPr>
        <w:rPr>
          <w:rFonts w:eastAsia="宋体"/>
        </w:rPr>
      </w:pPr>
      <w:r>
        <w:rPr>
          <w:rFonts w:eastAsia="宋体"/>
        </w:rPr>
        <w:br w:type="page"/>
      </w:r>
    </w:p>
    <w:p>
      <w:pPr>
        <w:spacing w:line="360" w:lineRule="auto"/>
        <w:jc w:val="both"/>
        <w:rPr>
          <w:rFonts w:eastAsia="宋体"/>
        </w:rPr>
      </w:pPr>
      <w:r>
        <w:rPr>
          <w:rFonts w:hint="eastAsia" w:eastAsia="宋体"/>
          <w:b/>
          <w:bCs/>
        </w:rPr>
        <w:t>T</w:t>
      </w:r>
      <w:r>
        <w:rPr>
          <w:rFonts w:eastAsia="宋体"/>
          <w:b/>
          <w:bCs/>
        </w:rPr>
        <w:t>able S1.</w:t>
      </w:r>
      <w:r>
        <w:rPr>
          <w:rFonts w:eastAsia="宋体"/>
        </w:rPr>
        <w:t xml:space="preserve"> Comparison of photocatalytic CO</w:t>
      </w:r>
      <w:r>
        <w:rPr>
          <w:rFonts w:eastAsia="宋体"/>
          <w:vertAlign w:val="subscript"/>
        </w:rPr>
        <w:t>2</w:t>
      </w:r>
      <w:r>
        <w:rPr>
          <w:rFonts w:eastAsia="宋体"/>
        </w:rPr>
        <w:t xml:space="preserve"> reduction performance of several similar catalysts that have been reported.</w:t>
      </w:r>
    </w:p>
    <w:tbl>
      <w:tblPr>
        <w:tblStyle w:val="9"/>
        <w:tblW w:w="9219" w:type="dxa"/>
        <w:tblInd w:w="-147"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51"/>
        <w:gridCol w:w="2982"/>
        <w:gridCol w:w="1417"/>
        <w:gridCol w:w="1560"/>
        <w:gridCol w:w="2409"/>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0" w:hRule="atLeast"/>
        </w:trPr>
        <w:tc>
          <w:tcPr>
            <w:tcW w:w="851" w:type="dxa"/>
            <w:tcBorders>
              <w:top w:val="single" w:color="auto" w:sz="12" w:space="0"/>
              <w:bottom w:val="single" w:color="auto" w:sz="12" w:space="0"/>
            </w:tcBorders>
          </w:tcPr>
          <w:p>
            <w:pPr>
              <w:spacing w:before="120" w:beforeLines="50" w:line="360" w:lineRule="auto"/>
              <w:jc w:val="center"/>
              <w:rPr>
                <w:rFonts w:ascii="Times New Roman" w:hAnsi="Times New Roman" w:eastAsia="宋体" w:cstheme="minorBidi"/>
                <w:b/>
                <w:bCs/>
                <w:kern w:val="2"/>
                <w14:ligatures w14:val="standardContextual"/>
              </w:rPr>
            </w:pPr>
            <w:r>
              <w:rPr>
                <w:rFonts w:hint="eastAsia" w:ascii="Times New Roman" w:hAnsi="Times New Roman" w:eastAsia="宋体" w:cstheme="minorBidi"/>
                <w:b/>
                <w:bCs/>
                <w:kern w:val="2"/>
                <w14:ligatures w14:val="standardContextual"/>
              </w:rPr>
              <w:t>N</w:t>
            </w:r>
            <w:r>
              <w:rPr>
                <w:rFonts w:ascii="Times New Roman" w:hAnsi="Times New Roman" w:eastAsia="宋体" w:cstheme="minorBidi"/>
                <w:b/>
                <w:bCs/>
                <w:kern w:val="2"/>
                <w14:ligatures w14:val="standardContextual"/>
              </w:rPr>
              <w:t>ame</w:t>
            </w:r>
          </w:p>
        </w:tc>
        <w:tc>
          <w:tcPr>
            <w:tcW w:w="2982" w:type="dxa"/>
            <w:tcBorders>
              <w:top w:val="single" w:color="auto" w:sz="12" w:space="0"/>
              <w:bottom w:val="single" w:color="auto" w:sz="12" w:space="0"/>
            </w:tcBorders>
          </w:tcPr>
          <w:p>
            <w:pPr>
              <w:spacing w:before="120" w:beforeLines="50" w:line="360" w:lineRule="auto"/>
              <w:jc w:val="center"/>
              <w:rPr>
                <w:rFonts w:ascii="Times New Roman" w:hAnsi="Times New Roman" w:eastAsia="宋体" w:cstheme="minorBidi"/>
                <w:b/>
                <w:bCs/>
                <w:kern w:val="2"/>
                <w14:ligatures w14:val="standardContextual"/>
              </w:rPr>
            </w:pPr>
            <w:r>
              <w:rPr>
                <w:rFonts w:ascii="Times New Roman" w:hAnsi="Times New Roman" w:eastAsia="宋体" w:cstheme="minorBidi"/>
                <w:b/>
                <w:bCs/>
                <w:kern w:val="2"/>
                <w14:ligatures w14:val="standardContextual"/>
              </w:rPr>
              <w:t>Photocatalysts</w:t>
            </w:r>
          </w:p>
        </w:tc>
        <w:tc>
          <w:tcPr>
            <w:tcW w:w="1417" w:type="dxa"/>
            <w:tcBorders>
              <w:top w:val="single" w:color="auto" w:sz="12" w:space="0"/>
              <w:bottom w:val="single" w:color="auto" w:sz="12" w:space="0"/>
            </w:tcBorders>
          </w:tcPr>
          <w:p>
            <w:pPr>
              <w:jc w:val="center"/>
              <w:rPr>
                <w:rFonts w:ascii="Times New Roman" w:hAnsi="Times New Roman" w:eastAsia="宋体" w:cstheme="minorBidi"/>
                <w:kern w:val="2"/>
                <w14:ligatures w14:val="standardContextual"/>
              </w:rPr>
            </w:pPr>
            <w:r>
              <w:rPr>
                <w:rFonts w:ascii="Times New Roman" w:hAnsi="Times New Roman" w:eastAsia="宋体" w:cstheme="minorBidi"/>
                <w:b/>
                <w:bCs/>
                <w:kern w:val="2"/>
                <w14:ligatures w14:val="standardContextual"/>
              </w:rPr>
              <w:t>CH</w:t>
            </w:r>
            <w:r>
              <w:rPr>
                <w:rFonts w:ascii="Times New Roman" w:hAnsi="Times New Roman" w:eastAsia="宋体" w:cstheme="minorBidi"/>
                <w:b/>
                <w:bCs/>
                <w:kern w:val="2"/>
                <w:vertAlign w:val="subscript"/>
                <w14:ligatures w14:val="standardContextual"/>
              </w:rPr>
              <w:t>4</w:t>
            </w:r>
            <w:r>
              <w:rPr>
                <w:rFonts w:ascii="Times New Roman" w:hAnsi="Times New Roman" w:eastAsia="宋体" w:cstheme="minorBidi"/>
                <w:b/>
                <w:bCs/>
                <w:kern w:val="2"/>
                <w14:ligatures w14:val="standardContextual"/>
              </w:rPr>
              <w:t xml:space="preserve"> rate (</w:t>
            </w:r>
            <w:r>
              <w:rPr>
                <w:rFonts w:ascii="Times New Roman" w:hAnsi="Times New Roman" w:eastAsia="宋体" w:cstheme="minorBidi"/>
                <w:b/>
                <w:bCs/>
                <w:kern w:val="2"/>
                <w:lang w:val="el-GR"/>
                <w14:ligatures w14:val="standardContextual"/>
              </w:rPr>
              <w:t>μ</w:t>
            </w:r>
            <w:r>
              <w:rPr>
                <w:rFonts w:ascii="Times New Roman" w:hAnsi="Times New Roman" w:eastAsia="宋体" w:cstheme="minorBidi"/>
                <w:b/>
                <w:bCs/>
                <w:kern w:val="2"/>
                <w14:ligatures w14:val="standardContextual"/>
              </w:rPr>
              <w:t>mol/g/h)</w:t>
            </w:r>
          </w:p>
        </w:tc>
        <w:tc>
          <w:tcPr>
            <w:tcW w:w="1560" w:type="dxa"/>
            <w:tcBorders>
              <w:top w:val="single" w:color="auto" w:sz="12" w:space="0"/>
              <w:bottom w:val="single" w:color="auto" w:sz="12" w:space="0"/>
            </w:tcBorders>
          </w:tcPr>
          <w:p>
            <w:pPr>
              <w:jc w:val="center"/>
              <w:rPr>
                <w:rFonts w:ascii="Times New Roman" w:hAnsi="Times New Roman" w:eastAsia="宋体" w:cstheme="minorBidi"/>
                <w:b/>
                <w:bCs/>
                <w:kern w:val="2"/>
                <w14:ligatures w14:val="standardContextual"/>
              </w:rPr>
            </w:pPr>
            <w:r>
              <w:rPr>
                <w:rFonts w:ascii="Times New Roman" w:hAnsi="Times New Roman" w:eastAsia="宋体" w:cstheme="minorBidi"/>
                <w:b/>
                <w:bCs/>
                <w:kern w:val="2"/>
                <w14:ligatures w14:val="standardContextual"/>
              </w:rPr>
              <w:t>CO rate</w:t>
            </w:r>
          </w:p>
          <w:p>
            <w:pPr>
              <w:jc w:val="center"/>
              <w:rPr>
                <w:rFonts w:ascii="Times New Roman" w:hAnsi="Times New Roman" w:eastAsia="宋体" w:cstheme="minorBidi"/>
                <w:kern w:val="2"/>
                <w14:ligatures w14:val="standardContextual"/>
              </w:rPr>
            </w:pPr>
            <w:r>
              <w:rPr>
                <w:rFonts w:ascii="Times New Roman" w:hAnsi="Times New Roman" w:eastAsia="宋体" w:cstheme="minorBidi"/>
                <w:b/>
                <w:bCs/>
                <w:kern w:val="2"/>
                <w14:ligatures w14:val="standardContextual"/>
              </w:rPr>
              <w:t>(</w:t>
            </w:r>
            <w:r>
              <w:rPr>
                <w:rFonts w:ascii="Times New Roman" w:hAnsi="Times New Roman" w:eastAsia="宋体" w:cstheme="minorBidi"/>
                <w:b/>
                <w:bCs/>
                <w:kern w:val="2"/>
                <w:lang w:val="el-GR"/>
                <w14:ligatures w14:val="standardContextual"/>
              </w:rPr>
              <w:t>μ</w:t>
            </w:r>
            <w:r>
              <w:rPr>
                <w:rFonts w:ascii="Times New Roman" w:hAnsi="Times New Roman" w:eastAsia="宋体" w:cstheme="minorBidi"/>
                <w:b/>
                <w:bCs/>
                <w:kern w:val="2"/>
                <w14:ligatures w14:val="standardContextual"/>
              </w:rPr>
              <w:t>mol/g/h)</w:t>
            </w:r>
          </w:p>
        </w:tc>
        <w:tc>
          <w:tcPr>
            <w:tcW w:w="2409" w:type="dxa"/>
            <w:tcBorders>
              <w:top w:val="single" w:color="auto" w:sz="12" w:space="0"/>
              <w:bottom w:val="single" w:color="auto" w:sz="12" w:space="0"/>
            </w:tcBorders>
          </w:tcPr>
          <w:p>
            <w:pPr>
              <w:spacing w:before="120" w:beforeLines="5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b/>
                <w:bCs/>
                <w:kern w:val="2"/>
                <w14:ligatures w14:val="standardContextual"/>
              </w:rPr>
              <w:t>Irradiation</w:t>
            </w:r>
            <w:r>
              <w:rPr>
                <w:rFonts w:hint="eastAsia" w:ascii="Times New Roman" w:hAnsi="Times New Roman" w:eastAsia="宋体" w:cstheme="minorBidi"/>
                <w:kern w:val="2"/>
                <w14:ligatures w14:val="standardContextual"/>
              </w:rPr>
              <w:t xml:space="preserve"> </w:t>
            </w:r>
            <w:r>
              <w:rPr>
                <w:rFonts w:ascii="Times New Roman" w:hAnsi="Times New Roman" w:eastAsia="宋体" w:cstheme="minorBidi"/>
                <w:b/>
                <w:bCs/>
                <w:kern w:val="2"/>
                <w14:ligatures w14:val="standardContextual"/>
              </w:rPr>
              <w:t>condition</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Borders>
              <w:top w:val="single" w:color="auto" w:sz="12" w:space="0"/>
            </w:tcBorders>
          </w:tcPr>
          <w:p>
            <w:pPr>
              <w:spacing w:before="120" w:beforeLines="50" w:line="360" w:lineRule="auto"/>
              <w:jc w:val="center"/>
              <w:rPr>
                <w:rFonts w:ascii="Times New Roman" w:hAnsi="Times New Roman" w:eastAsia="宋体" w:cstheme="minorBidi"/>
                <w:kern w:val="2"/>
                <w14:ligatures w14:val="standardContextual"/>
              </w:rPr>
            </w:pPr>
            <w:r>
              <w:rPr>
                <w:rFonts w:hint="eastAsia" w:ascii="Times New Roman" w:hAnsi="Times New Roman" w:eastAsia="宋体" w:cstheme="minorBidi"/>
                <w:kern w:val="2"/>
                <w14:ligatures w14:val="standardContextual"/>
              </w:rPr>
              <w:t>1</w:t>
            </w:r>
            <w:r>
              <w:rPr>
                <w:rFonts w:eastAsia="宋体" w:asciiTheme="minorHAnsi" w:hAnsiTheme="minorHAnsi" w:cstheme="minorBidi"/>
                <w:kern w:val="2"/>
                <w14:ligatures w14:val="standardContextual"/>
              </w:rPr>
              <w:fldChar w:fldCharType="begin"/>
            </w:r>
            <w:r>
              <w:rPr>
                <w:rFonts w:ascii="Times New Roman" w:hAnsi="Times New Roman" w:eastAsia="宋体" w:cstheme="minorBidi"/>
                <w:kern w:val="2"/>
                <w14:ligatures w14:val="standardContextual"/>
              </w:rPr>
              <w:instrText xml:space="preserve"> ADDIN EN.CITE &lt;EndNote&gt;&lt;Cite&gt;&lt;Author&gt;Shi&lt;/Author&gt;&lt;Year&gt;2022&lt;/Year&gt;&lt;RecNum&gt;129&lt;/RecNum&gt;&lt;DisplayText&gt;&lt;style face="superscript"&gt;[6]&lt;/style&gt;&lt;/DisplayText&gt;&lt;record&gt;&lt;rec-number&gt;129&lt;/rec-number&gt;&lt;foreign-keys&gt;&lt;key app="EN" db-id="5zfzed2pbp0pehetzf0paps4990waww9ds2z" timestamp="1707210078"&gt;129&lt;/key&gt;&lt;key app="ENWeb" db-id=""&gt;0&lt;/key&gt;&lt;/foreign-keys&gt;&lt;ref-type name="Journal Article"&gt;17&lt;/ref-type&gt;&lt;contributors&gt;&lt;authors&gt;&lt;author&gt;Shi, Zhaojun&lt;/author&gt;&lt;author&gt;Shi, Dekun&lt;/author&gt;&lt;author&gt;Zhang, Lixin&lt;/author&gt;&lt;author&gt;Cao, Yaan&lt;/author&gt;&lt;/authors&gt;&lt;/contributors&gt;&lt;titles&gt;&lt;title&gt;Regulating the band structure by modifying Ti3C2 and doping Fe ions improved photocatalytic activity and selectivity of ZnGa2O4–Ti3C2–Fe for photoreducted CO2 into CH4&lt;/title&gt;&lt;secondary-title&gt;Journal of Power Sources&lt;/secondary-title&gt;&lt;/titles&gt;&lt;periodical&gt;&lt;full-title&gt;Journal of Power Sources&lt;/full-title&gt;&lt;/periodical&gt;&lt;volume&gt;535&lt;/volume&gt;&lt;section&gt;231421&lt;/section&gt;&lt;dates&gt;&lt;year&gt;2022&lt;/year&gt;&lt;/dates&gt;&lt;isbn&gt;03787753&lt;/isbn&gt;&lt;urls&gt;&lt;/urls&gt;&lt;electronic-resource-num&gt;10.1016/j.jpowsour.2022.231421&lt;/electronic-resource-num&gt;&lt;/record&gt;&lt;/Cite&gt;&lt;/EndNote&gt;</w:instrText>
            </w:r>
            <w:r>
              <w:rPr>
                <w:rFonts w:eastAsia="宋体" w:asciiTheme="minorHAnsi" w:hAnsiTheme="minorHAnsi" w:cstheme="minorBidi"/>
                <w:kern w:val="2"/>
                <w14:ligatures w14:val="standardContextual"/>
              </w:rPr>
              <w:fldChar w:fldCharType="separate"/>
            </w:r>
            <w:r>
              <w:rPr>
                <w:rFonts w:ascii="Times New Roman" w:hAnsi="Times New Roman" w:eastAsia="宋体" w:cstheme="minorBidi"/>
                <w:kern w:val="2"/>
                <w:vertAlign w:val="superscript"/>
                <w14:ligatures w14:val="standardContextual"/>
              </w:rPr>
              <w:t>[6]</w:t>
            </w:r>
            <w:r>
              <w:rPr>
                <w:rFonts w:eastAsia="宋体" w:asciiTheme="minorHAnsi" w:hAnsiTheme="minorHAnsi" w:cstheme="minorBidi"/>
                <w:kern w:val="2"/>
                <w14:ligatures w14:val="standardContextual"/>
              </w:rPr>
              <w:fldChar w:fldCharType="end"/>
            </w:r>
          </w:p>
        </w:tc>
        <w:tc>
          <w:tcPr>
            <w:tcW w:w="2982" w:type="dxa"/>
            <w:tcBorders>
              <w:top w:val="single" w:color="auto" w:sz="12" w:space="0"/>
            </w:tcBorders>
          </w:tcPr>
          <w:p>
            <w:pPr>
              <w:spacing w:before="120" w:beforeLines="5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ZnGa</w:t>
            </w:r>
            <w:r>
              <w:rPr>
                <w:rFonts w:ascii="Times New Roman" w:hAnsi="Times New Roman" w:eastAsia="宋体" w:cstheme="minorBidi"/>
                <w:kern w:val="2"/>
                <w:vertAlign w:val="subscript"/>
                <w14:ligatures w14:val="standardContextual"/>
              </w:rPr>
              <w:t>2</w:t>
            </w:r>
            <w:r>
              <w:rPr>
                <w:rFonts w:ascii="Times New Roman" w:hAnsi="Times New Roman" w:eastAsia="宋体" w:cstheme="minorBidi"/>
                <w:kern w:val="2"/>
                <w14:ligatures w14:val="standardContextual"/>
              </w:rPr>
              <w:t>O</w:t>
            </w:r>
            <w:r>
              <w:rPr>
                <w:rFonts w:ascii="Times New Roman" w:hAnsi="Times New Roman" w:eastAsia="宋体" w:cstheme="minorBidi"/>
                <w:kern w:val="2"/>
                <w:vertAlign w:val="subscript"/>
                <w14:ligatures w14:val="standardContextual"/>
              </w:rPr>
              <w:t>4</w:t>
            </w:r>
            <w:r>
              <w:rPr>
                <w:rFonts w:ascii="Times New Roman" w:hAnsi="Times New Roman" w:eastAsia="宋体" w:cstheme="minorBidi"/>
                <w:kern w:val="2"/>
                <w14:ligatures w14:val="standardContextual"/>
              </w:rPr>
              <w:t>-10%Ti</w:t>
            </w:r>
            <w:r>
              <w:rPr>
                <w:rFonts w:ascii="Times New Roman" w:hAnsi="Times New Roman" w:eastAsia="宋体" w:cstheme="minorBidi"/>
                <w:kern w:val="2"/>
                <w:vertAlign w:val="subscript"/>
                <w14:ligatures w14:val="standardContextual"/>
              </w:rPr>
              <w:t>3</w:t>
            </w:r>
            <w:r>
              <w:rPr>
                <w:rFonts w:ascii="Times New Roman" w:hAnsi="Times New Roman" w:eastAsia="宋体" w:cstheme="minorBidi"/>
                <w:kern w:val="2"/>
                <w14:ligatures w14:val="standardContextual"/>
              </w:rPr>
              <w:t>C</w:t>
            </w:r>
            <w:r>
              <w:rPr>
                <w:rFonts w:ascii="Times New Roman" w:hAnsi="Times New Roman" w:eastAsia="宋体" w:cstheme="minorBidi"/>
                <w:kern w:val="2"/>
                <w:vertAlign w:val="subscript"/>
                <w14:ligatures w14:val="standardContextual"/>
              </w:rPr>
              <w:t>2</w:t>
            </w:r>
            <w:r>
              <w:rPr>
                <w:rFonts w:ascii="Times New Roman" w:hAnsi="Times New Roman" w:eastAsia="宋体" w:cstheme="minorBidi"/>
                <w:kern w:val="2"/>
                <w14:ligatures w14:val="standardContextual"/>
              </w:rPr>
              <w:t>-0.7%Fe</w:t>
            </w:r>
          </w:p>
        </w:tc>
        <w:tc>
          <w:tcPr>
            <w:tcW w:w="1417" w:type="dxa"/>
            <w:tcBorders>
              <w:top w:val="single" w:color="auto" w:sz="12" w:space="0"/>
            </w:tcBorders>
          </w:tcPr>
          <w:p>
            <w:pPr>
              <w:spacing w:before="120" w:beforeLines="5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11.81</w:t>
            </w:r>
          </w:p>
        </w:tc>
        <w:tc>
          <w:tcPr>
            <w:tcW w:w="1560" w:type="dxa"/>
            <w:tcBorders>
              <w:top w:val="single" w:color="auto" w:sz="12" w:space="0"/>
            </w:tcBorders>
          </w:tcPr>
          <w:p>
            <w:pPr>
              <w:spacing w:before="120" w:beforeLines="5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9.72</w:t>
            </w:r>
          </w:p>
        </w:tc>
        <w:tc>
          <w:tcPr>
            <w:tcW w:w="2409" w:type="dxa"/>
            <w:tcBorders>
              <w:top w:val="single" w:color="auto" w:sz="12" w:space="0"/>
            </w:tcBorders>
          </w:tcPr>
          <w:p>
            <w:pPr>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500 W Xe lamp</w:t>
            </w:r>
          </w:p>
          <w:p>
            <w:pPr>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(UV light)</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Pr>
          <w:p>
            <w:pPr>
              <w:spacing w:before="120" w:beforeLines="50" w:line="360" w:lineRule="auto"/>
              <w:jc w:val="center"/>
              <w:rPr>
                <w:rFonts w:ascii="Times New Roman" w:hAnsi="Times New Roman" w:eastAsia="宋体" w:cstheme="minorBidi"/>
                <w:kern w:val="2"/>
                <w14:ligatures w14:val="standardContextual"/>
              </w:rPr>
            </w:pPr>
            <w:r>
              <w:rPr>
                <w:rFonts w:hint="eastAsia" w:ascii="Times New Roman" w:hAnsi="Times New Roman" w:eastAsia="宋体" w:cstheme="minorBidi"/>
                <w:kern w:val="2"/>
                <w14:ligatures w14:val="standardContextual"/>
              </w:rPr>
              <w:t>2</w:t>
            </w:r>
            <w:r>
              <w:rPr>
                <w:rFonts w:eastAsia="宋体" w:asciiTheme="minorHAnsi" w:hAnsiTheme="minorHAnsi" w:cstheme="minorBidi"/>
                <w:kern w:val="2"/>
                <w14:ligatures w14:val="standardContextual"/>
              </w:rPr>
              <w:fldChar w:fldCharType="begin"/>
            </w:r>
            <w:r>
              <w:rPr>
                <w:rFonts w:ascii="Times New Roman" w:hAnsi="Times New Roman" w:eastAsia="宋体" w:cstheme="minorBidi"/>
                <w:kern w:val="2"/>
                <w14:ligatures w14:val="standardContextual"/>
              </w:rPr>
              <w:instrText xml:space="preserve"> ADDIN EN.CITE &lt;EndNote&gt;&lt;Cite&gt;&lt;Author&gt;Liang&lt;/Author&gt;&lt;Year&gt;2020&lt;/Year&gt;&lt;RecNum&gt;130&lt;/RecNum&gt;&lt;DisplayText&gt;&lt;style face="superscript"&gt;[7]&lt;/style&gt;&lt;/DisplayText&gt;&lt;record&gt;&lt;rec-number&gt;130&lt;/rec-number&gt;&lt;foreign-keys&gt;&lt;key app="EN" db-id="5zfzed2pbp0pehetzf0paps4990waww9ds2z" timestamp="1707210300"&gt;130&lt;/key&gt;&lt;key app="ENWeb" db-id=""&gt;0&lt;/key&gt;&lt;/foreign-keys&gt;&lt;ref-type name="Journal Article"&gt;17&lt;/ref-type&gt;&lt;contributors&gt;&lt;authors&gt;&lt;author&gt;Liang, Jun&lt;/author&gt;&lt;author&gt;Chai, Yao&lt;/author&gt;&lt;author&gt;Li, Li&lt;/author&gt;&lt;author&gt;Li, Deli&lt;/author&gt;&lt;author&gt;Shen, Jinni&lt;/author&gt;&lt;author&gt;Zhang, Yongfan&lt;/author&gt;&lt;author&gt;Wang, Xuxu&lt;/author&gt;&lt;/authors&gt;&lt;/contributors&gt;&lt;titles&gt;&lt;title&gt;Germanium and iron double-substituted ZnGa2O4 solid-solution photocatalysts with modulated band structure for boosting photocatalytic CO2 reduction with H2O&lt;/title&gt;&lt;secondary-title&gt;Applied Catalysis B: Environmental&lt;/secondary-title&gt;&lt;/titles&gt;&lt;periodical&gt;&lt;full-title&gt;Applied Catalysis B: Environmental&lt;/full-title&gt;&lt;abbr-1&gt;Appl. Catal. B Environ.&lt;/abbr-1&gt;&lt;/periodical&gt;&lt;volume&gt;265&lt;/volume&gt;&lt;section&gt;118551&lt;/section&gt;&lt;dates&gt;&lt;year&gt;2020&lt;/year&gt;&lt;/dates&gt;&lt;isbn&gt;09263373&lt;/isbn&gt;&lt;urls&gt;&lt;/urls&gt;&lt;electronic-resource-num&gt;10.1016/j.apcatb.2019.118551&lt;/electronic-resource-num&gt;&lt;/record&gt;&lt;/Cite&gt;&lt;/EndNote&gt;</w:instrText>
            </w:r>
            <w:r>
              <w:rPr>
                <w:rFonts w:eastAsia="宋体" w:asciiTheme="minorHAnsi" w:hAnsiTheme="minorHAnsi" w:cstheme="minorBidi"/>
                <w:kern w:val="2"/>
                <w14:ligatures w14:val="standardContextual"/>
              </w:rPr>
              <w:fldChar w:fldCharType="separate"/>
            </w:r>
            <w:r>
              <w:rPr>
                <w:rFonts w:ascii="Times New Roman" w:hAnsi="Times New Roman" w:eastAsia="宋体" w:cstheme="minorBidi"/>
                <w:kern w:val="2"/>
                <w:vertAlign w:val="superscript"/>
                <w14:ligatures w14:val="standardContextual"/>
              </w:rPr>
              <w:t>[7]</w:t>
            </w:r>
            <w:r>
              <w:rPr>
                <w:rFonts w:eastAsia="宋体" w:asciiTheme="minorHAnsi" w:hAnsiTheme="minorHAnsi" w:cstheme="minorBidi"/>
                <w:kern w:val="2"/>
                <w14:ligatures w14:val="standardContextual"/>
              </w:rPr>
              <w:fldChar w:fldCharType="end"/>
            </w:r>
          </w:p>
        </w:tc>
        <w:tc>
          <w:tcPr>
            <w:tcW w:w="2982" w:type="dxa"/>
          </w:tcPr>
          <w:p>
            <w:pPr>
              <w:spacing w:before="120" w:beforeLines="50" w:line="360" w:lineRule="auto"/>
              <w:jc w:val="center"/>
              <w:rPr>
                <w:rFonts w:ascii="Times New Roman" w:hAnsi="Times New Roman" w:eastAsia="宋体" w:cstheme="minorBidi"/>
                <w:kern w:val="2"/>
                <w:lang w:val="pt-BR"/>
                <w14:ligatures w14:val="standardContextual"/>
              </w:rPr>
            </w:pPr>
            <w:r>
              <w:rPr>
                <w:rFonts w:ascii="Times New Roman" w:hAnsi="Times New Roman" w:eastAsia="宋体" w:cstheme="minorBidi"/>
                <w:kern w:val="2"/>
                <w:lang w:val="pt-BR"/>
                <w14:ligatures w14:val="standardContextual"/>
              </w:rPr>
              <w:t>Zn</w:t>
            </w:r>
            <w:r>
              <w:rPr>
                <w:rFonts w:hint="eastAsia" w:ascii="Times New Roman" w:hAnsi="Times New Roman" w:eastAsia="宋体" w:cstheme="minorBidi"/>
                <w:kern w:val="2"/>
                <w:vertAlign w:val="subscript"/>
                <w:lang w:val="pt-BR"/>
                <w14:ligatures w14:val="standardContextual"/>
              </w:rPr>
              <w:t>0.725</w:t>
            </w:r>
            <w:r>
              <w:rPr>
                <w:rFonts w:hint="eastAsia" w:ascii="Times New Roman" w:hAnsi="Times New Roman" w:eastAsia="宋体" w:cstheme="minorBidi"/>
                <w:kern w:val="2"/>
                <w:lang w:val="pt-BR"/>
                <w14:ligatures w14:val="standardContextual"/>
              </w:rPr>
              <w:t>G</w:t>
            </w:r>
            <w:r>
              <w:rPr>
                <w:rFonts w:ascii="Times New Roman" w:hAnsi="Times New Roman" w:eastAsia="宋体" w:cstheme="minorBidi"/>
                <w:kern w:val="2"/>
                <w:lang w:val="pt-BR"/>
                <w14:ligatures w14:val="standardContextual"/>
              </w:rPr>
              <w:t>e</w:t>
            </w:r>
            <w:r>
              <w:rPr>
                <w:rFonts w:ascii="Times New Roman" w:hAnsi="Times New Roman" w:eastAsia="宋体" w:cstheme="minorBidi"/>
                <w:kern w:val="2"/>
                <w:vertAlign w:val="subscript"/>
                <w:lang w:val="pt-BR"/>
                <w14:ligatures w14:val="standardContextual"/>
              </w:rPr>
              <w:t>0.15</w:t>
            </w:r>
            <w:r>
              <w:rPr>
                <w:rFonts w:ascii="Times New Roman" w:hAnsi="Times New Roman" w:eastAsia="宋体" w:cstheme="minorBidi"/>
                <w:kern w:val="2"/>
                <w:lang w:val="pt-BR"/>
                <w14:ligatures w14:val="standardContextual"/>
              </w:rPr>
              <w:t>Fe</w:t>
            </w:r>
            <w:r>
              <w:rPr>
                <w:rFonts w:ascii="Times New Roman" w:hAnsi="Times New Roman" w:eastAsia="宋体" w:cstheme="minorBidi"/>
                <w:kern w:val="2"/>
                <w:vertAlign w:val="subscript"/>
                <w:lang w:val="pt-BR"/>
                <w14:ligatures w14:val="standardContextual"/>
              </w:rPr>
              <w:t>0.15</w:t>
            </w:r>
            <w:r>
              <w:rPr>
                <w:rFonts w:ascii="Times New Roman" w:hAnsi="Times New Roman" w:eastAsia="宋体" w:cstheme="minorBidi"/>
                <w:kern w:val="2"/>
                <w:lang w:val="pt-BR"/>
                <w14:ligatures w14:val="standardContextual"/>
              </w:rPr>
              <w:t>Ga</w:t>
            </w:r>
            <w:r>
              <w:rPr>
                <w:rFonts w:ascii="Times New Roman" w:hAnsi="Times New Roman" w:eastAsia="宋体" w:cstheme="minorBidi"/>
                <w:kern w:val="2"/>
                <w:vertAlign w:val="subscript"/>
                <w:lang w:val="pt-BR"/>
                <w14:ligatures w14:val="standardContextual"/>
              </w:rPr>
              <w:t>0.70</w:t>
            </w:r>
            <w:r>
              <w:rPr>
                <w:rFonts w:ascii="Times New Roman" w:hAnsi="Times New Roman" w:eastAsia="宋体" w:cstheme="minorBidi"/>
                <w:kern w:val="2"/>
                <w:lang w:val="pt-BR"/>
                <w14:ligatures w14:val="standardContextual"/>
              </w:rPr>
              <w:t>O</w:t>
            </w:r>
            <w:r>
              <w:rPr>
                <w:rFonts w:ascii="Times New Roman" w:hAnsi="Times New Roman" w:eastAsia="宋体" w:cstheme="minorBidi"/>
                <w:kern w:val="2"/>
                <w:vertAlign w:val="subscript"/>
                <w:lang w:val="pt-BR"/>
                <w14:ligatures w14:val="standardContextual"/>
              </w:rPr>
              <w:t>2.3</w:t>
            </w:r>
          </w:p>
        </w:tc>
        <w:tc>
          <w:tcPr>
            <w:tcW w:w="1417" w:type="dxa"/>
          </w:tcPr>
          <w:p>
            <w:pPr>
              <w:spacing w:before="120" w:beforeLines="5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w:t>
            </w:r>
          </w:p>
        </w:tc>
        <w:tc>
          <w:tcPr>
            <w:tcW w:w="1560" w:type="dxa"/>
          </w:tcPr>
          <w:p>
            <w:pPr>
              <w:spacing w:before="120" w:beforeLines="5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19.3</w:t>
            </w:r>
          </w:p>
        </w:tc>
        <w:tc>
          <w:tcPr>
            <w:tcW w:w="2409" w:type="dxa"/>
          </w:tcPr>
          <w:p>
            <w:pPr>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300 W Xe lamp</w:t>
            </w:r>
          </w:p>
          <w:p>
            <w:pPr>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(full arc)</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Pr>
          <w:p>
            <w:pPr>
              <w:spacing w:before="240" w:beforeLines="100" w:line="360" w:lineRule="auto"/>
              <w:jc w:val="center"/>
              <w:rPr>
                <w:rFonts w:ascii="Times New Roman" w:hAnsi="Times New Roman" w:eastAsia="宋体" w:cstheme="minorBidi"/>
                <w:kern w:val="2"/>
                <w14:ligatures w14:val="standardContextual"/>
              </w:rPr>
            </w:pPr>
            <w:r>
              <w:rPr>
                <w:rFonts w:hint="eastAsia" w:ascii="Times New Roman" w:hAnsi="Times New Roman" w:eastAsia="宋体" w:cstheme="minorBidi"/>
                <w:kern w:val="2"/>
                <w14:ligatures w14:val="standardContextual"/>
              </w:rPr>
              <w:t>3</w:t>
            </w:r>
            <w:r>
              <w:rPr>
                <w:rFonts w:eastAsia="宋体" w:asciiTheme="minorHAnsi" w:hAnsiTheme="minorHAnsi" w:cstheme="minorBidi"/>
                <w:kern w:val="2"/>
                <w14:ligatures w14:val="standardContextual"/>
              </w:rPr>
              <w:fldChar w:fldCharType="begin"/>
            </w:r>
            <w:r>
              <w:rPr>
                <w:rFonts w:ascii="Times New Roman" w:hAnsi="Times New Roman" w:eastAsia="宋体" w:cstheme="minorBidi"/>
                <w:kern w:val="2"/>
                <w14:ligatures w14:val="standardContextual"/>
              </w:rPr>
              <w:instrText xml:space="preserve"> ADDIN EN.CITE &lt;EndNote&gt;&lt;Cite&gt;&lt;Author&gt;Yan&lt;/Author&gt;&lt;Year&gt;2012&lt;/Year&gt;&lt;RecNum&gt;131&lt;/RecNum&gt;&lt;DisplayText&gt;&lt;style face="superscript"&gt;[8]&lt;/style&gt;&lt;/DisplayText&gt;&lt;record&gt;&lt;rec-number&gt;131&lt;/rec-number&gt;&lt;foreign-keys&gt;&lt;key app="EN" db-id="5zfzed2pbp0pehetzf0paps4990waww9ds2z" timestamp="1707210481"&gt;131&lt;/key&gt;&lt;key app="ENWeb" db-id=""&gt;0&lt;/key&gt;&lt;/foreign-keys&gt;&lt;ref-type name="Journal Article"&gt;17&lt;/ref-type&gt;&lt;contributors&gt;&lt;authors&gt;&lt;author&gt;Yan, Shicheng&lt;/author&gt;&lt;author&gt;Wang, Jiajia&lt;/author&gt;&lt;author&gt;Gao, Honglin&lt;/author&gt;&lt;author&gt;Wang,</w:instrText>
            </w:r>
            <w:r>
              <w:rPr>
                <w:rFonts w:hint="eastAsia" w:ascii="Times New Roman" w:hAnsi="Times New Roman" w:eastAsia="宋体" w:cstheme="minorBidi"/>
                <w:kern w:val="2"/>
                <w14:ligatures w14:val="standardContextual"/>
              </w:rPr>
              <w:instrText xml:space="preserve"> Nanyan&lt;/author&gt;&lt;author&gt;Yu, He&lt;/author&gt;&lt;author&gt;Li, Zhaosheng&lt;/author&gt;&lt;author&gt;Zhou, Yong&lt;/author&gt;&lt;author&gt;Zou, Zhigang&lt;/author&gt;&lt;/authors&gt;&lt;/contributors&gt;&lt;titles&gt;&lt;title&gt;An Ion‐Exchange Phase Transformation to ZnGa2O4 Nanocube Towards Efficient Solar Fuel Synt</w:instrText>
            </w:r>
            <w:r>
              <w:rPr>
                <w:rFonts w:ascii="Times New Roman" w:hAnsi="Times New Roman" w:eastAsia="宋体" w:cstheme="minorBidi"/>
                <w:kern w:val="2"/>
                <w14:ligatures w14:val="standardContextual"/>
              </w:rPr>
              <w:instrText xml:space="preserve">hesis&lt;/title&gt;&lt;secondary-title&gt;Advanced Functional Materials&lt;/secondary-title&gt;&lt;/titles&gt;&lt;periodical&gt;&lt;full-title&gt;Advanced Functional Materials&lt;/full-title&gt;&lt;abbr-1&gt;Adv. Funct. Mater.&lt;/abbr-1&gt;&lt;/periodical&gt;&lt;pages&gt;758-763&lt;/pages&gt;&lt;volume&gt;23&lt;/volume&gt;&lt;number&gt;6&lt;/number&gt;&lt;section&gt;758&lt;/section&gt;&lt;dates&gt;&lt;year&gt;2012&lt;/year&gt;&lt;/dates&gt;&lt;isbn&gt;1616-301X&amp;#xD;1616-3028&lt;/isbn&gt;&lt;urls&gt;&lt;/urls&gt;&lt;electronic-resource-num&gt;10.1002/adfm.201202042&lt;/electronic-resource-num&gt;&lt;/record&gt;&lt;/Cite&gt;&lt;/EndNote&gt;</w:instrText>
            </w:r>
            <w:r>
              <w:rPr>
                <w:rFonts w:eastAsia="宋体" w:asciiTheme="minorHAnsi" w:hAnsiTheme="minorHAnsi" w:cstheme="minorBidi"/>
                <w:kern w:val="2"/>
                <w14:ligatures w14:val="standardContextual"/>
              </w:rPr>
              <w:fldChar w:fldCharType="separate"/>
            </w:r>
            <w:r>
              <w:rPr>
                <w:rFonts w:ascii="Times New Roman" w:hAnsi="Times New Roman" w:eastAsia="宋体" w:cstheme="minorBidi"/>
                <w:kern w:val="2"/>
                <w:vertAlign w:val="superscript"/>
                <w14:ligatures w14:val="standardContextual"/>
              </w:rPr>
              <w:t>[8]</w:t>
            </w:r>
            <w:r>
              <w:rPr>
                <w:rFonts w:eastAsia="宋体" w:asciiTheme="minorHAnsi" w:hAnsiTheme="minorHAnsi" w:cstheme="minorBidi"/>
                <w:kern w:val="2"/>
                <w14:ligatures w14:val="standardContextual"/>
              </w:rPr>
              <w:fldChar w:fldCharType="end"/>
            </w:r>
          </w:p>
        </w:tc>
        <w:tc>
          <w:tcPr>
            <w:tcW w:w="2982" w:type="dxa"/>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ZnGa</w:t>
            </w:r>
            <w:r>
              <w:rPr>
                <w:rFonts w:ascii="Times New Roman" w:hAnsi="Times New Roman" w:eastAsia="宋体" w:cstheme="minorBidi"/>
                <w:kern w:val="2"/>
                <w:vertAlign w:val="subscript"/>
                <w14:ligatures w14:val="standardContextual"/>
              </w:rPr>
              <w:t>2</w:t>
            </w:r>
            <w:r>
              <w:rPr>
                <w:rFonts w:ascii="Times New Roman" w:hAnsi="Times New Roman" w:eastAsia="宋体" w:cstheme="minorBidi"/>
                <w:kern w:val="2"/>
                <w14:ligatures w14:val="standardContextual"/>
              </w:rPr>
              <w:t>O</w:t>
            </w:r>
            <w:r>
              <w:rPr>
                <w:rFonts w:ascii="Times New Roman" w:hAnsi="Times New Roman" w:eastAsia="宋体" w:cstheme="minorBidi"/>
                <w:kern w:val="2"/>
                <w:vertAlign w:val="subscript"/>
                <w14:ligatures w14:val="standardContextual"/>
              </w:rPr>
              <w:t>4</w:t>
            </w:r>
            <w:r>
              <w:rPr>
                <w:rFonts w:ascii="Times New Roman" w:hAnsi="Times New Roman" w:eastAsia="宋体" w:cstheme="minorBidi"/>
                <w:kern w:val="2"/>
                <w14:ligatures w14:val="standardContextual"/>
              </w:rPr>
              <w:t xml:space="preserve"> nanocube</w:t>
            </w:r>
          </w:p>
        </w:tc>
        <w:tc>
          <w:tcPr>
            <w:tcW w:w="1417" w:type="dxa"/>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1.3</w:t>
            </w:r>
          </w:p>
        </w:tc>
        <w:tc>
          <w:tcPr>
            <w:tcW w:w="1560" w:type="dxa"/>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w:t>
            </w:r>
          </w:p>
        </w:tc>
        <w:tc>
          <w:tcPr>
            <w:tcW w:w="2409" w:type="dxa"/>
          </w:tcPr>
          <w:p>
            <w:pPr>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300 W UV enhanced Xe lamp</w:t>
            </w:r>
          </w:p>
          <w:p>
            <w:pPr>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(200~350 nm)</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Pr>
          <w:p>
            <w:pPr>
              <w:spacing w:before="240" w:beforeLines="100" w:line="360" w:lineRule="auto"/>
              <w:jc w:val="center"/>
              <w:rPr>
                <w:rFonts w:ascii="Times New Roman" w:hAnsi="Times New Roman" w:eastAsia="宋体" w:cstheme="minorBidi"/>
                <w:kern w:val="2"/>
                <w:lang w:val="pt-BR"/>
                <w14:ligatures w14:val="standardContextual"/>
              </w:rPr>
            </w:pPr>
            <w:r>
              <w:rPr>
                <w:rFonts w:hint="eastAsia" w:ascii="Times New Roman" w:hAnsi="Times New Roman" w:eastAsia="宋体" w:cstheme="minorBidi"/>
                <w:kern w:val="2"/>
                <w:lang w:val="pt-BR"/>
                <w14:ligatures w14:val="standardContextual"/>
              </w:rPr>
              <w:t>4</w:t>
            </w:r>
            <w:r>
              <w:rPr>
                <w:rFonts w:eastAsia="宋体" w:asciiTheme="minorHAnsi" w:hAnsiTheme="minorHAnsi" w:cstheme="minorBidi"/>
                <w:kern w:val="2"/>
                <w:lang w:val="pt-BR"/>
                <w14:ligatures w14:val="standardContextual"/>
              </w:rPr>
              <w:fldChar w:fldCharType="begin"/>
            </w:r>
            <w:r>
              <w:rPr>
                <w:rFonts w:ascii="Times New Roman" w:hAnsi="Times New Roman" w:eastAsia="宋体" w:cstheme="minorBidi"/>
                <w:kern w:val="2"/>
                <w:lang w:val="pt-BR"/>
                <w14:ligatures w14:val="standardContextual"/>
              </w:rPr>
              <w:instrText xml:space="preserve"> ADDIN EN.CITE &lt;EndNote&gt;&lt;Cite&gt;&lt;Author&gt;Yan&lt;/Author&gt;&lt;Year&gt;2012&lt;/Year&gt;&lt;RecNum&gt;132&lt;/RecNum&gt;&lt;DisplayText&gt;&lt;style face="superscript"&gt;[9]&lt;/style&gt;&lt;/DisplayText&gt;&lt;record&gt;&lt;rec-number&gt;132&lt;/rec-number&gt;&lt;foreign-keys&gt;&lt;key app="EN" db-id="5zfzed2pbp0pehetzf0paps4990waww9ds2z" timestamp="1707210644"&gt;132&lt;/key&gt;&lt;key app="ENWeb" db-id=""&gt;0&lt;/key&gt;&lt;/foreign-keys&gt;&lt;ref-type name="Journal Article"&gt;17&lt;/ref-type&gt;&lt;contributors&gt;&lt;authors&gt;&lt;author&gt;Yan, Shicheng&lt;/author&gt;&lt;author&gt;Wang, Jiajia&lt;/author&gt;&lt;author&gt;Gao, Honglin&lt;/author&gt;&lt;author&gt;Wang, Nanyan&lt;/author&gt;&lt;author&gt;Yu, He&lt;/author&gt;&lt;author&gt;Li, Zhaosheng&lt;/author&gt;&lt;author&gt;Zhou, Yong&lt;/author&gt;&lt;author&gt;Zou, Zhigang&lt;/author&gt;&lt;/authors&gt;&lt;/contributors&gt;&lt;titles&gt;&lt;title&gt;Zinc Gallogermanate Solid Solution: A Novel Photocatalyst for Efficiently Converting CO2 into Solar Fuels&lt;/title&gt;&lt;secondary-title&gt;Advanced Functional Materials&lt;/secondary-title&gt;&lt;/titles&gt;&lt;periodical&gt;&lt;full-title&gt;Advanced Functional Materials&lt;/full-title&gt;&lt;abbr-1&gt;Adv. Funct. Mater.&lt;/abbr-1&gt;&lt;/periodical&gt;&lt;pages&gt;1839-1845&lt;/pages&gt;&lt;volume&gt;23&lt;/volume&gt;&lt;number&gt;14&lt;/number&gt;&lt;section&gt;1839&lt;/section&gt;&lt;dates&gt;&lt;year&gt;2012&lt;/year&gt;&lt;/dates&gt;&lt;isbn&gt;1616-301X&amp;#xD;1616-3028&lt;/isbn&gt;&lt;urls&gt;&lt;/urls&gt;&lt;electronic-resource-num&gt;10.1002/adfm.201202484&lt;/electronic-resource-num&gt;&lt;/record&gt;&lt;/Cite&gt;&lt;/EndNote&gt;</w:instrText>
            </w:r>
            <w:r>
              <w:rPr>
                <w:rFonts w:eastAsia="宋体" w:asciiTheme="minorHAnsi" w:hAnsiTheme="minorHAnsi" w:cstheme="minorBidi"/>
                <w:kern w:val="2"/>
                <w:lang w:val="pt-BR"/>
                <w14:ligatures w14:val="standardContextual"/>
              </w:rPr>
              <w:fldChar w:fldCharType="separate"/>
            </w:r>
            <w:r>
              <w:rPr>
                <w:rFonts w:ascii="Times New Roman" w:hAnsi="Times New Roman" w:eastAsia="宋体" w:cstheme="minorBidi"/>
                <w:kern w:val="2"/>
                <w:vertAlign w:val="superscript"/>
                <w:lang w:val="pt-BR"/>
                <w14:ligatures w14:val="standardContextual"/>
              </w:rPr>
              <w:t>[9]</w:t>
            </w:r>
            <w:r>
              <w:rPr>
                <w:rFonts w:eastAsia="宋体" w:asciiTheme="minorHAnsi" w:hAnsiTheme="minorHAnsi" w:cstheme="minorBidi"/>
                <w:kern w:val="2"/>
                <w:lang w:val="pt-BR"/>
                <w14:ligatures w14:val="standardContextual"/>
              </w:rPr>
              <w:fldChar w:fldCharType="end"/>
            </w:r>
          </w:p>
        </w:tc>
        <w:tc>
          <w:tcPr>
            <w:tcW w:w="2982" w:type="dxa"/>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lang w:val="pt-BR"/>
                <w14:ligatures w14:val="standardContextual"/>
              </w:rPr>
              <w:t>4.5(ZnGa</w:t>
            </w:r>
            <w:r>
              <w:rPr>
                <w:rFonts w:ascii="Times New Roman" w:hAnsi="Times New Roman" w:eastAsia="宋体" w:cstheme="minorBidi"/>
                <w:kern w:val="2"/>
                <w:vertAlign w:val="subscript"/>
                <w:lang w:val="pt-BR"/>
                <w14:ligatures w14:val="standardContextual"/>
              </w:rPr>
              <w:t>2</w:t>
            </w:r>
            <w:r>
              <w:rPr>
                <w:rFonts w:ascii="Times New Roman" w:hAnsi="Times New Roman" w:eastAsia="宋体" w:cstheme="minorBidi"/>
                <w:kern w:val="2"/>
                <w:lang w:val="pt-BR"/>
                <w14:ligatures w14:val="standardContextual"/>
              </w:rPr>
              <w:t>O</w:t>
            </w:r>
            <w:r>
              <w:rPr>
                <w:rFonts w:ascii="Times New Roman" w:hAnsi="Times New Roman" w:eastAsia="宋体" w:cstheme="minorBidi"/>
                <w:kern w:val="2"/>
                <w:vertAlign w:val="subscript"/>
                <w:lang w:val="pt-BR"/>
                <w14:ligatures w14:val="standardContextual"/>
              </w:rPr>
              <w:t>4</w:t>
            </w:r>
            <w:r>
              <w:rPr>
                <w:rFonts w:ascii="Times New Roman" w:hAnsi="Times New Roman" w:eastAsia="宋体" w:cstheme="minorBidi"/>
                <w:kern w:val="2"/>
                <w:lang w:val="pt-BR"/>
                <w14:ligatures w14:val="standardContextual"/>
              </w:rPr>
              <w:t>):(Zn</w:t>
            </w:r>
            <w:r>
              <w:rPr>
                <w:rFonts w:ascii="Times New Roman" w:hAnsi="Times New Roman" w:eastAsia="宋体" w:cstheme="minorBidi"/>
                <w:kern w:val="2"/>
                <w:vertAlign w:val="subscript"/>
                <w:lang w:val="pt-BR"/>
                <w14:ligatures w14:val="standardContextual"/>
              </w:rPr>
              <w:t>2</w:t>
            </w:r>
            <w:r>
              <w:rPr>
                <w:rFonts w:ascii="Times New Roman" w:hAnsi="Times New Roman" w:eastAsia="宋体" w:cstheme="minorBidi"/>
                <w:kern w:val="2"/>
                <w:lang w:val="pt-BR"/>
                <w14:ligatures w14:val="standardContextual"/>
              </w:rPr>
              <w:t>GeO</w:t>
            </w:r>
            <w:r>
              <w:rPr>
                <w:rFonts w:ascii="Times New Roman" w:hAnsi="Times New Roman" w:eastAsia="宋体" w:cstheme="minorBidi"/>
                <w:kern w:val="2"/>
                <w:vertAlign w:val="subscript"/>
                <w:lang w:val="pt-BR"/>
                <w14:ligatures w14:val="standardContextual"/>
              </w:rPr>
              <w:t>4</w:t>
            </w:r>
            <w:r>
              <w:rPr>
                <w:rFonts w:ascii="Times New Roman" w:hAnsi="Times New Roman" w:eastAsia="宋体" w:cstheme="minorBidi"/>
                <w:kern w:val="2"/>
                <w:lang w:val="pt-BR"/>
                <w14:ligatures w14:val="standardContextual"/>
              </w:rPr>
              <w:t>)</w:t>
            </w:r>
          </w:p>
        </w:tc>
        <w:tc>
          <w:tcPr>
            <w:tcW w:w="1417" w:type="dxa"/>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5</w:t>
            </w:r>
          </w:p>
        </w:tc>
        <w:tc>
          <w:tcPr>
            <w:tcW w:w="1560" w:type="dxa"/>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w:t>
            </w:r>
          </w:p>
        </w:tc>
        <w:tc>
          <w:tcPr>
            <w:tcW w:w="2409" w:type="dxa"/>
          </w:tcPr>
          <w:p>
            <w:pPr>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300 W UV enhanced Xe lamp</w:t>
            </w:r>
          </w:p>
          <w:p>
            <w:pPr>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(200~350 nm)</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851" w:type="dxa"/>
          </w:tcPr>
          <w:p>
            <w:pPr>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This work</w:t>
            </w:r>
          </w:p>
        </w:tc>
        <w:tc>
          <w:tcPr>
            <w:tcW w:w="2982" w:type="dxa"/>
          </w:tcPr>
          <w:p>
            <w:pPr>
              <w:spacing w:before="120" w:beforeLines="50"/>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ZGO/Au-0.5</w:t>
            </w:r>
          </w:p>
        </w:tc>
        <w:tc>
          <w:tcPr>
            <w:tcW w:w="1417" w:type="dxa"/>
          </w:tcPr>
          <w:p>
            <w:pPr>
              <w:spacing w:before="120" w:beforeLines="50"/>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21.1</w:t>
            </w:r>
          </w:p>
        </w:tc>
        <w:tc>
          <w:tcPr>
            <w:tcW w:w="1560" w:type="dxa"/>
          </w:tcPr>
          <w:p>
            <w:pPr>
              <w:spacing w:before="120" w:beforeLines="50"/>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1.4</w:t>
            </w:r>
          </w:p>
        </w:tc>
        <w:tc>
          <w:tcPr>
            <w:tcW w:w="2409" w:type="dxa"/>
          </w:tcPr>
          <w:p>
            <w:pPr>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300 W Xe lamp</w:t>
            </w:r>
          </w:p>
          <w:p>
            <w:pPr>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(full spectrum)</w:t>
            </w:r>
          </w:p>
        </w:tc>
      </w:tr>
    </w:tbl>
    <w:p>
      <w:pPr>
        <w:rPr>
          <w:rFonts w:eastAsia="宋体"/>
        </w:rPr>
      </w:pPr>
      <w:r>
        <w:rPr>
          <w:rFonts w:eastAsia="宋体"/>
        </w:rPr>
        <w:br w:type="page"/>
      </w:r>
    </w:p>
    <w:p>
      <w:pPr>
        <w:spacing w:line="360" w:lineRule="auto"/>
        <w:jc w:val="both"/>
        <w:rPr>
          <w:rFonts w:eastAsia="宋体"/>
        </w:rPr>
      </w:pPr>
      <w:r>
        <w:rPr>
          <w:rFonts w:hint="eastAsia" w:eastAsia="宋体"/>
          <w:b/>
          <w:bCs/>
        </w:rPr>
        <w:t>T</w:t>
      </w:r>
      <w:r>
        <w:rPr>
          <w:rFonts w:eastAsia="宋体"/>
          <w:b/>
          <w:bCs/>
        </w:rPr>
        <w:t xml:space="preserve">able </w:t>
      </w:r>
      <w:r>
        <w:rPr>
          <w:rFonts w:hint="eastAsia" w:eastAsia="宋体"/>
          <w:b/>
          <w:bCs/>
        </w:rPr>
        <w:t>S</w:t>
      </w:r>
      <w:r>
        <w:rPr>
          <w:rFonts w:eastAsia="宋体"/>
          <w:b/>
          <w:bCs/>
        </w:rPr>
        <w:t>2</w:t>
      </w:r>
      <w:r>
        <w:rPr>
          <w:rFonts w:eastAsia="宋体"/>
        </w:rPr>
        <w:t xml:space="preserve">. </w:t>
      </w:r>
      <w:r>
        <w:rPr>
          <w:rFonts w:hint="eastAsia" w:eastAsia="宋体"/>
        </w:rPr>
        <w:t xml:space="preserve">BET surface area, pore volume, and average pore diameter of </w:t>
      </w:r>
      <w:r>
        <w:rPr>
          <w:rFonts w:eastAsia="宋体"/>
        </w:rPr>
        <w:t>ZGO</w:t>
      </w:r>
      <w:r>
        <w:rPr>
          <w:rFonts w:hint="eastAsia" w:eastAsia="宋体"/>
        </w:rPr>
        <w:t xml:space="preserve"> and </w:t>
      </w:r>
      <w:r>
        <w:rPr>
          <w:rFonts w:eastAsia="宋体"/>
        </w:rPr>
        <w:t>ZGO/Au-0.5</w:t>
      </w:r>
      <w:r>
        <w:rPr>
          <w:rFonts w:hint="eastAsia" w:eastAsia="宋体"/>
        </w:rPr>
        <w:t>.</w:t>
      </w:r>
    </w:p>
    <w:tbl>
      <w:tblPr>
        <w:tblStyle w:val="9"/>
        <w:tblW w:w="0" w:type="auto"/>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074"/>
        <w:gridCol w:w="2074"/>
        <w:gridCol w:w="2231"/>
        <w:gridCol w:w="2693"/>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PrEx>
        <w:trPr>
          <w:trHeight w:val="624" w:hRule="atLeast"/>
        </w:trPr>
        <w:tc>
          <w:tcPr>
            <w:tcW w:w="2074" w:type="dxa"/>
            <w:tcBorders>
              <w:top w:val="single" w:color="auto" w:sz="12" w:space="0"/>
              <w:bottom w:val="single" w:color="auto" w:sz="12" w:space="0"/>
            </w:tcBorders>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b/>
                <w:bCs/>
                <w:kern w:val="2"/>
                <w14:ligatures w14:val="standardContextual"/>
              </w:rPr>
              <w:t>Sample</w:t>
            </w:r>
          </w:p>
        </w:tc>
        <w:tc>
          <w:tcPr>
            <w:tcW w:w="2074" w:type="dxa"/>
            <w:tcBorders>
              <w:top w:val="single" w:color="auto" w:sz="12" w:space="0"/>
              <w:bottom w:val="single" w:color="auto" w:sz="12" w:space="0"/>
            </w:tcBorders>
          </w:tcPr>
          <w:p>
            <w:pPr>
              <w:spacing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b/>
                <w:bCs/>
                <w:kern w:val="2"/>
                <w14:ligatures w14:val="standardContextual"/>
              </w:rPr>
              <w:t xml:space="preserve">Surface area </w:t>
            </w:r>
            <w:r>
              <w:rPr>
                <w:rFonts w:ascii="Times New Roman" w:hAnsi="Times New Roman" w:eastAsia="宋体" w:cstheme="minorBidi"/>
                <w:b/>
                <w:bCs/>
                <w:kern w:val="2"/>
                <w:vertAlign w:val="superscript"/>
                <w14:ligatures w14:val="standardContextual"/>
              </w:rPr>
              <w:t>a</w:t>
            </w:r>
          </w:p>
          <w:p>
            <w:pPr>
              <w:spacing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b/>
                <w:bCs/>
                <w:kern w:val="2"/>
                <w14:ligatures w14:val="standardContextual"/>
              </w:rPr>
              <w:t>(m</w:t>
            </w:r>
            <w:r>
              <w:rPr>
                <w:rFonts w:ascii="Times New Roman" w:hAnsi="Times New Roman" w:eastAsia="宋体" w:cstheme="minorBidi"/>
                <w:b/>
                <w:bCs/>
                <w:kern w:val="2"/>
                <w:vertAlign w:val="superscript"/>
                <w14:ligatures w14:val="standardContextual"/>
              </w:rPr>
              <w:t>2</w:t>
            </w:r>
            <w:r>
              <w:rPr>
                <w:rFonts w:ascii="Times New Roman" w:hAnsi="Times New Roman" w:eastAsia="宋体" w:cstheme="minorBidi"/>
                <w:b/>
                <w:bCs/>
                <w:kern w:val="2"/>
                <w14:ligatures w14:val="standardContextual"/>
              </w:rPr>
              <w:t>/g)</w:t>
            </w:r>
          </w:p>
        </w:tc>
        <w:tc>
          <w:tcPr>
            <w:tcW w:w="2231" w:type="dxa"/>
            <w:tcBorders>
              <w:top w:val="single" w:color="auto" w:sz="12" w:space="0"/>
              <w:bottom w:val="single" w:color="auto" w:sz="12" w:space="0"/>
            </w:tcBorders>
          </w:tcPr>
          <w:p>
            <w:pPr>
              <w:spacing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b/>
                <w:bCs/>
                <w:kern w:val="2"/>
                <w14:ligatures w14:val="standardContextual"/>
              </w:rPr>
              <w:t xml:space="preserve">Pore volume </w:t>
            </w:r>
            <w:r>
              <w:rPr>
                <w:rFonts w:ascii="Times New Roman" w:hAnsi="Times New Roman" w:eastAsia="宋体" w:cstheme="minorBidi"/>
                <w:b/>
                <w:bCs/>
                <w:kern w:val="2"/>
                <w:vertAlign w:val="superscript"/>
                <w14:ligatures w14:val="standardContextual"/>
              </w:rPr>
              <w:t>b</w:t>
            </w:r>
          </w:p>
          <w:p>
            <w:pPr>
              <w:spacing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b/>
                <w:bCs/>
                <w:kern w:val="2"/>
                <w14:ligatures w14:val="standardContextual"/>
              </w:rPr>
              <w:t>(cm</w:t>
            </w:r>
            <w:r>
              <w:rPr>
                <w:rFonts w:ascii="Times New Roman" w:hAnsi="Times New Roman" w:eastAsia="宋体" w:cstheme="minorBidi"/>
                <w:b/>
                <w:bCs/>
                <w:kern w:val="2"/>
                <w:vertAlign w:val="superscript"/>
                <w14:ligatures w14:val="standardContextual"/>
              </w:rPr>
              <w:t>3</w:t>
            </w:r>
            <w:r>
              <w:rPr>
                <w:rFonts w:ascii="Times New Roman" w:hAnsi="Times New Roman" w:eastAsia="宋体" w:cstheme="minorBidi"/>
                <w:b/>
                <w:bCs/>
                <w:kern w:val="2"/>
                <w14:ligatures w14:val="standardContextual"/>
              </w:rPr>
              <w:t>/g)</w:t>
            </w:r>
          </w:p>
        </w:tc>
        <w:tc>
          <w:tcPr>
            <w:tcW w:w="2693" w:type="dxa"/>
            <w:tcBorders>
              <w:top w:val="single" w:color="auto" w:sz="12" w:space="0"/>
              <w:bottom w:val="single" w:color="auto" w:sz="12" w:space="0"/>
            </w:tcBorders>
          </w:tcPr>
          <w:p>
            <w:pPr>
              <w:spacing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b/>
                <w:bCs/>
                <w:kern w:val="2"/>
                <w14:ligatures w14:val="standardContextual"/>
              </w:rPr>
              <w:t xml:space="preserve">Average pore size </w:t>
            </w:r>
            <w:r>
              <w:rPr>
                <w:rFonts w:ascii="Times New Roman" w:hAnsi="Times New Roman" w:eastAsia="宋体" w:cstheme="minorBidi"/>
                <w:b/>
                <w:bCs/>
                <w:kern w:val="2"/>
                <w:vertAlign w:val="superscript"/>
                <w14:ligatures w14:val="standardContextual"/>
              </w:rPr>
              <w:t>c</w:t>
            </w:r>
          </w:p>
          <w:p>
            <w:pPr>
              <w:spacing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b/>
                <w:bCs/>
                <w:kern w:val="2"/>
                <w14:ligatures w14:val="standardContextual"/>
              </w:rPr>
              <w:t>(nm)</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2074" w:type="dxa"/>
            <w:tcBorders>
              <w:top w:val="single" w:color="auto" w:sz="12" w:space="0"/>
            </w:tcBorders>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ZGO</w:t>
            </w:r>
          </w:p>
        </w:tc>
        <w:tc>
          <w:tcPr>
            <w:tcW w:w="2074" w:type="dxa"/>
            <w:tcBorders>
              <w:top w:val="single" w:color="auto" w:sz="12" w:space="0"/>
            </w:tcBorders>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29.25</w:t>
            </w:r>
          </w:p>
        </w:tc>
        <w:tc>
          <w:tcPr>
            <w:tcW w:w="2231" w:type="dxa"/>
            <w:tcBorders>
              <w:top w:val="single" w:color="auto" w:sz="12" w:space="0"/>
            </w:tcBorders>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0.269</w:t>
            </w:r>
          </w:p>
        </w:tc>
        <w:tc>
          <w:tcPr>
            <w:tcW w:w="2693" w:type="dxa"/>
            <w:tcBorders>
              <w:top w:val="single" w:color="auto" w:sz="12" w:space="0"/>
            </w:tcBorders>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44.43</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2074" w:type="dxa"/>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ZGO/Au-0.5</w:t>
            </w:r>
          </w:p>
        </w:tc>
        <w:tc>
          <w:tcPr>
            <w:tcW w:w="2074" w:type="dxa"/>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26.69</w:t>
            </w:r>
          </w:p>
        </w:tc>
        <w:tc>
          <w:tcPr>
            <w:tcW w:w="2231" w:type="dxa"/>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0.201</w:t>
            </w:r>
          </w:p>
        </w:tc>
        <w:tc>
          <w:tcPr>
            <w:tcW w:w="2693" w:type="dxa"/>
          </w:tcPr>
          <w:p>
            <w:pPr>
              <w:spacing w:before="240" w:beforeLines="100" w:line="360" w:lineRule="auto"/>
              <w:jc w:val="center"/>
              <w:rPr>
                <w:rFonts w:ascii="Times New Roman" w:hAnsi="Times New Roman" w:eastAsia="宋体" w:cstheme="minorBidi"/>
                <w:kern w:val="2"/>
                <w14:ligatures w14:val="standardContextual"/>
              </w:rPr>
            </w:pPr>
            <w:r>
              <w:rPr>
                <w:rFonts w:ascii="Times New Roman" w:hAnsi="Times New Roman" w:eastAsia="宋体" w:cstheme="minorBidi"/>
                <w:kern w:val="2"/>
                <w14:ligatures w14:val="standardContextual"/>
              </w:rPr>
              <w:t>29.74</w:t>
            </w:r>
          </w:p>
        </w:tc>
      </w:tr>
    </w:tbl>
    <w:p>
      <w:pPr>
        <w:spacing w:line="360" w:lineRule="auto"/>
        <w:jc w:val="both"/>
        <w:rPr>
          <w:rFonts w:eastAsia="宋体"/>
        </w:rPr>
      </w:pPr>
      <w:r>
        <w:rPr>
          <w:rFonts w:eastAsia="宋体"/>
          <w:vertAlign w:val="superscript"/>
        </w:rPr>
        <w:t>a.</w:t>
      </w:r>
      <w:r>
        <w:rPr>
          <w:rFonts w:eastAsia="宋体"/>
        </w:rPr>
        <w:t xml:space="preserve"> The surface area is measured with the Brunauer–Emmett–Teller (BET) method. </w:t>
      </w:r>
      <w:r>
        <w:rPr>
          <w:rFonts w:eastAsia="宋体"/>
          <w:vertAlign w:val="superscript"/>
        </w:rPr>
        <w:t>b.</w:t>
      </w:r>
      <w:r>
        <w:rPr>
          <w:rFonts w:eastAsia="宋体"/>
        </w:rPr>
        <w:t xml:space="preserve"> The pore volume is the single-point total pore volume at P/P</w:t>
      </w:r>
      <w:r>
        <w:rPr>
          <w:rFonts w:eastAsia="宋体"/>
          <w:vertAlign w:val="subscript"/>
        </w:rPr>
        <w:t>0</w:t>
      </w:r>
      <w:r>
        <w:rPr>
          <w:rFonts w:eastAsia="宋体"/>
        </w:rPr>
        <w:t xml:space="preserve"> = 0.99. </w:t>
      </w:r>
      <w:r>
        <w:rPr>
          <w:rFonts w:eastAsia="宋体"/>
          <w:vertAlign w:val="superscript"/>
        </w:rPr>
        <w:t>c.</w:t>
      </w:r>
      <w:r>
        <w:rPr>
          <w:rFonts w:eastAsia="宋体"/>
        </w:rPr>
        <w:t xml:space="preserve"> The average pore size is calculated using the adsorption branch by Barrett–Joyner–Halenda (BJH) method.</w:t>
      </w:r>
    </w:p>
    <w:p>
      <w:pPr>
        <w:rPr>
          <w:rFonts w:eastAsia="宋体"/>
        </w:rPr>
      </w:pPr>
      <w:r>
        <w:rPr>
          <w:rFonts w:eastAsia="宋体"/>
        </w:rPr>
        <w:br w:type="page"/>
      </w:r>
    </w:p>
    <w:p>
      <w:pPr>
        <w:spacing w:line="480" w:lineRule="auto"/>
        <w:rPr>
          <w:rFonts w:eastAsia="宋体"/>
          <w:b/>
          <w:bCs/>
        </w:rPr>
      </w:pPr>
      <w:r>
        <w:rPr>
          <w:rFonts w:hint="eastAsia" w:eastAsia="宋体"/>
          <w:b/>
          <w:bCs/>
        </w:rPr>
        <w:t>Re</w:t>
      </w:r>
      <w:r>
        <w:rPr>
          <w:rFonts w:eastAsia="宋体"/>
          <w:b/>
          <w:bCs/>
        </w:rPr>
        <w:t>ferences</w:t>
      </w:r>
    </w:p>
    <w:p>
      <w:pPr>
        <w:pStyle w:val="53"/>
        <w:spacing w:line="360" w:lineRule="auto"/>
        <w:rPr>
          <w:sz w:val="24"/>
          <w:szCs w:val="24"/>
        </w:rPr>
      </w:pPr>
      <w:r>
        <w:rPr>
          <w:sz w:val="24"/>
          <w:szCs w:val="24"/>
        </w:rPr>
        <w:fldChar w:fldCharType="begin"/>
      </w:r>
      <w:r>
        <w:rPr>
          <w:sz w:val="24"/>
          <w:szCs w:val="24"/>
        </w:rPr>
        <w:instrText xml:space="preserve"> ADDIN EN.REFLIST </w:instrText>
      </w:r>
      <w:r>
        <w:rPr>
          <w:sz w:val="24"/>
          <w:szCs w:val="24"/>
        </w:rPr>
        <w:fldChar w:fldCharType="separate"/>
      </w:r>
      <w:r>
        <w:rPr>
          <w:sz w:val="24"/>
          <w:szCs w:val="24"/>
        </w:rPr>
        <w:t>[1]</w:t>
      </w:r>
      <w:r>
        <w:rPr>
          <w:sz w:val="24"/>
          <w:szCs w:val="24"/>
        </w:rPr>
        <w:tab/>
      </w:r>
      <w:r>
        <w:rPr>
          <w:sz w:val="24"/>
          <w:szCs w:val="24"/>
        </w:rPr>
        <w:t>a)</w:t>
      </w:r>
      <w:r>
        <w:rPr>
          <w:rFonts w:hint="eastAsia"/>
          <w:sz w:val="24"/>
          <w:szCs w:val="24"/>
        </w:rPr>
        <w:t xml:space="preserve"> </w:t>
      </w:r>
      <w:r>
        <w:rPr>
          <w:sz w:val="24"/>
          <w:szCs w:val="24"/>
        </w:rPr>
        <w:t xml:space="preserve">P. E. Blöchl, </w:t>
      </w:r>
      <w:r>
        <w:rPr>
          <w:i/>
          <w:sz w:val="24"/>
          <w:szCs w:val="24"/>
        </w:rPr>
        <w:t>Phys. Rev. B</w:t>
      </w:r>
      <w:r>
        <w:rPr>
          <w:sz w:val="24"/>
          <w:szCs w:val="24"/>
        </w:rPr>
        <w:t xml:space="preserve"> </w:t>
      </w:r>
      <w:r>
        <w:rPr>
          <w:b/>
          <w:sz w:val="24"/>
          <w:szCs w:val="24"/>
        </w:rPr>
        <w:t>1994</w:t>
      </w:r>
      <w:r>
        <w:rPr>
          <w:sz w:val="24"/>
          <w:szCs w:val="24"/>
        </w:rPr>
        <w:t>, 50, 17953; b)</w:t>
      </w:r>
      <w:r>
        <w:rPr>
          <w:rFonts w:hint="eastAsia"/>
          <w:sz w:val="24"/>
          <w:szCs w:val="24"/>
        </w:rPr>
        <w:t xml:space="preserve"> </w:t>
      </w:r>
      <w:r>
        <w:rPr>
          <w:sz w:val="24"/>
          <w:szCs w:val="24"/>
        </w:rPr>
        <w:t xml:space="preserve">G. Kresse, D. Joubert, </w:t>
      </w:r>
      <w:r>
        <w:rPr>
          <w:i/>
          <w:sz w:val="24"/>
          <w:szCs w:val="24"/>
        </w:rPr>
        <w:t>Phys. Rev. B</w:t>
      </w:r>
      <w:r>
        <w:rPr>
          <w:sz w:val="24"/>
          <w:szCs w:val="24"/>
        </w:rPr>
        <w:t xml:space="preserve"> </w:t>
      </w:r>
      <w:r>
        <w:rPr>
          <w:b/>
          <w:sz w:val="24"/>
          <w:szCs w:val="24"/>
        </w:rPr>
        <w:t>1999</w:t>
      </w:r>
      <w:r>
        <w:rPr>
          <w:sz w:val="24"/>
          <w:szCs w:val="24"/>
        </w:rPr>
        <w:t>, 59, 1758.</w:t>
      </w:r>
    </w:p>
    <w:p>
      <w:pPr>
        <w:pStyle w:val="53"/>
        <w:spacing w:line="360" w:lineRule="auto"/>
        <w:rPr>
          <w:sz w:val="24"/>
          <w:szCs w:val="24"/>
        </w:rPr>
      </w:pPr>
      <w:r>
        <w:rPr>
          <w:sz w:val="24"/>
          <w:szCs w:val="24"/>
        </w:rPr>
        <w:t>[2]</w:t>
      </w:r>
      <w:r>
        <w:rPr>
          <w:sz w:val="24"/>
          <w:szCs w:val="24"/>
        </w:rPr>
        <w:tab/>
      </w:r>
      <w:r>
        <w:rPr>
          <w:sz w:val="24"/>
          <w:szCs w:val="24"/>
        </w:rPr>
        <w:t xml:space="preserve">J. P. Perdew, K. Burke, M. Ernzerhof, </w:t>
      </w:r>
      <w:r>
        <w:rPr>
          <w:i/>
          <w:sz w:val="24"/>
          <w:szCs w:val="24"/>
        </w:rPr>
        <w:t>Phys. Rev. Lett.</w:t>
      </w:r>
      <w:r>
        <w:rPr>
          <w:sz w:val="24"/>
          <w:szCs w:val="24"/>
        </w:rPr>
        <w:t xml:space="preserve"> </w:t>
      </w:r>
      <w:r>
        <w:rPr>
          <w:b/>
          <w:sz w:val="24"/>
          <w:szCs w:val="24"/>
        </w:rPr>
        <w:t>1996</w:t>
      </w:r>
      <w:r>
        <w:rPr>
          <w:sz w:val="24"/>
          <w:szCs w:val="24"/>
        </w:rPr>
        <w:t>, 77, 3865.</w:t>
      </w:r>
    </w:p>
    <w:p>
      <w:pPr>
        <w:pStyle w:val="53"/>
        <w:spacing w:line="360" w:lineRule="auto"/>
        <w:rPr>
          <w:sz w:val="24"/>
          <w:szCs w:val="24"/>
        </w:rPr>
      </w:pPr>
      <w:r>
        <w:rPr>
          <w:sz w:val="24"/>
          <w:szCs w:val="24"/>
        </w:rPr>
        <w:t>[3]</w:t>
      </w:r>
      <w:r>
        <w:rPr>
          <w:sz w:val="24"/>
          <w:szCs w:val="24"/>
        </w:rPr>
        <w:tab/>
      </w:r>
      <w:r>
        <w:rPr>
          <w:sz w:val="24"/>
          <w:szCs w:val="24"/>
        </w:rPr>
        <w:t xml:space="preserve">S. Grimme, S. Ehrlich, L. Goerigk, </w:t>
      </w:r>
      <w:r>
        <w:rPr>
          <w:i/>
          <w:sz w:val="24"/>
          <w:szCs w:val="24"/>
        </w:rPr>
        <w:t>J. Comput. Chem.</w:t>
      </w:r>
      <w:r>
        <w:rPr>
          <w:sz w:val="24"/>
          <w:szCs w:val="24"/>
        </w:rPr>
        <w:t xml:space="preserve"> </w:t>
      </w:r>
      <w:r>
        <w:rPr>
          <w:b/>
          <w:sz w:val="24"/>
          <w:szCs w:val="24"/>
        </w:rPr>
        <w:t>2011</w:t>
      </w:r>
      <w:r>
        <w:rPr>
          <w:sz w:val="24"/>
          <w:szCs w:val="24"/>
        </w:rPr>
        <w:t>, 32, 1456.</w:t>
      </w:r>
    </w:p>
    <w:p>
      <w:pPr>
        <w:pStyle w:val="53"/>
        <w:spacing w:line="360" w:lineRule="auto"/>
        <w:rPr>
          <w:sz w:val="24"/>
          <w:szCs w:val="24"/>
        </w:rPr>
      </w:pPr>
      <w:r>
        <w:rPr>
          <w:sz w:val="24"/>
          <w:szCs w:val="24"/>
        </w:rPr>
        <w:t>[4]</w:t>
      </w:r>
      <w:r>
        <w:rPr>
          <w:sz w:val="24"/>
          <w:szCs w:val="24"/>
        </w:rPr>
        <w:tab/>
      </w:r>
      <w:r>
        <w:rPr>
          <w:sz w:val="24"/>
          <w:szCs w:val="24"/>
        </w:rPr>
        <w:t xml:space="preserve">V. Wang, N. Xu, J. C. Liu, G. Tang, W. T. Geng, </w:t>
      </w:r>
      <w:r>
        <w:rPr>
          <w:i/>
          <w:sz w:val="24"/>
          <w:szCs w:val="24"/>
        </w:rPr>
        <w:t>Comput. Phys. Commun.</w:t>
      </w:r>
      <w:r>
        <w:rPr>
          <w:sz w:val="24"/>
          <w:szCs w:val="24"/>
        </w:rPr>
        <w:t xml:space="preserve"> </w:t>
      </w:r>
      <w:r>
        <w:rPr>
          <w:b/>
          <w:sz w:val="24"/>
          <w:szCs w:val="24"/>
        </w:rPr>
        <w:t>2021</w:t>
      </w:r>
      <w:r>
        <w:rPr>
          <w:sz w:val="24"/>
          <w:szCs w:val="24"/>
        </w:rPr>
        <w:t>, 267.</w:t>
      </w:r>
    </w:p>
    <w:p>
      <w:pPr>
        <w:pStyle w:val="53"/>
        <w:spacing w:line="360" w:lineRule="auto"/>
        <w:rPr>
          <w:sz w:val="24"/>
          <w:szCs w:val="24"/>
        </w:rPr>
      </w:pPr>
      <w:r>
        <w:rPr>
          <w:sz w:val="24"/>
          <w:szCs w:val="24"/>
        </w:rPr>
        <w:t>[5]</w:t>
      </w:r>
      <w:r>
        <w:rPr>
          <w:sz w:val="24"/>
          <w:szCs w:val="24"/>
        </w:rPr>
        <w:tab/>
      </w:r>
      <w:r>
        <w:rPr>
          <w:sz w:val="24"/>
          <w:szCs w:val="24"/>
        </w:rPr>
        <w:t>a)</w:t>
      </w:r>
      <w:r>
        <w:rPr>
          <w:rFonts w:hint="eastAsia"/>
          <w:sz w:val="24"/>
          <w:szCs w:val="24"/>
        </w:rPr>
        <w:t xml:space="preserve"> </w:t>
      </w:r>
      <w:r>
        <w:rPr>
          <w:sz w:val="24"/>
          <w:szCs w:val="24"/>
        </w:rPr>
        <w:t xml:space="preserve">J. K. Noerskov, T. Bligaard, A. Logadottir, J. R. Kitchin, J. G. Chen, S. Pandelov, U. Stimming, </w:t>
      </w:r>
      <w:r>
        <w:rPr>
          <w:i/>
          <w:sz w:val="24"/>
          <w:szCs w:val="24"/>
        </w:rPr>
        <w:t>ChemInform</w:t>
      </w:r>
      <w:r>
        <w:rPr>
          <w:sz w:val="24"/>
          <w:szCs w:val="24"/>
        </w:rPr>
        <w:t xml:space="preserve"> </w:t>
      </w:r>
      <w:r>
        <w:rPr>
          <w:b/>
          <w:sz w:val="24"/>
          <w:szCs w:val="24"/>
        </w:rPr>
        <w:t>2005</w:t>
      </w:r>
      <w:r>
        <w:rPr>
          <w:sz w:val="24"/>
          <w:szCs w:val="24"/>
        </w:rPr>
        <w:t>, 36; b)</w:t>
      </w:r>
      <w:r>
        <w:rPr>
          <w:rFonts w:hint="eastAsia"/>
          <w:sz w:val="24"/>
          <w:szCs w:val="24"/>
        </w:rPr>
        <w:t xml:space="preserve"> </w:t>
      </w:r>
      <w:r>
        <w:rPr>
          <w:sz w:val="24"/>
          <w:szCs w:val="24"/>
        </w:rPr>
        <w:t xml:space="preserve">J. K. Nørskov, J. Rossmeisl, A. Logadottir, L. Lindqvist, J. R. Kitchin, T. Bligaard, H. Jónsson, </w:t>
      </w:r>
      <w:r>
        <w:rPr>
          <w:i/>
          <w:sz w:val="24"/>
          <w:szCs w:val="24"/>
        </w:rPr>
        <w:t>J. Phys. Chem. B</w:t>
      </w:r>
      <w:r>
        <w:rPr>
          <w:sz w:val="24"/>
          <w:szCs w:val="24"/>
        </w:rPr>
        <w:t xml:space="preserve"> </w:t>
      </w:r>
      <w:r>
        <w:rPr>
          <w:b/>
          <w:sz w:val="24"/>
          <w:szCs w:val="24"/>
        </w:rPr>
        <w:t>2004</w:t>
      </w:r>
      <w:r>
        <w:rPr>
          <w:sz w:val="24"/>
          <w:szCs w:val="24"/>
        </w:rPr>
        <w:t>, 108, 17886.</w:t>
      </w:r>
    </w:p>
    <w:p>
      <w:pPr>
        <w:pStyle w:val="53"/>
        <w:spacing w:line="360" w:lineRule="auto"/>
        <w:rPr>
          <w:sz w:val="24"/>
          <w:szCs w:val="24"/>
        </w:rPr>
      </w:pPr>
      <w:r>
        <w:rPr>
          <w:sz w:val="24"/>
          <w:szCs w:val="24"/>
        </w:rPr>
        <w:t>[6]</w:t>
      </w:r>
      <w:r>
        <w:rPr>
          <w:sz w:val="24"/>
          <w:szCs w:val="24"/>
        </w:rPr>
        <w:tab/>
      </w:r>
      <w:r>
        <w:rPr>
          <w:sz w:val="24"/>
          <w:szCs w:val="24"/>
        </w:rPr>
        <w:t xml:space="preserve">Z. Shi, D. Shi, L. Zhang, Y. Cao, </w:t>
      </w:r>
      <w:r>
        <w:rPr>
          <w:i/>
          <w:sz w:val="24"/>
          <w:szCs w:val="24"/>
        </w:rPr>
        <w:t>Journal of Power Sources</w:t>
      </w:r>
      <w:r>
        <w:rPr>
          <w:sz w:val="24"/>
          <w:szCs w:val="24"/>
        </w:rPr>
        <w:t xml:space="preserve"> </w:t>
      </w:r>
      <w:r>
        <w:rPr>
          <w:b/>
          <w:sz w:val="24"/>
          <w:szCs w:val="24"/>
        </w:rPr>
        <w:t>2022</w:t>
      </w:r>
      <w:r>
        <w:rPr>
          <w:sz w:val="24"/>
          <w:szCs w:val="24"/>
        </w:rPr>
        <w:t>, 535.</w:t>
      </w:r>
    </w:p>
    <w:p>
      <w:pPr>
        <w:pStyle w:val="53"/>
        <w:spacing w:line="360" w:lineRule="auto"/>
        <w:rPr>
          <w:sz w:val="24"/>
          <w:szCs w:val="24"/>
        </w:rPr>
      </w:pPr>
      <w:r>
        <w:rPr>
          <w:sz w:val="24"/>
          <w:szCs w:val="24"/>
        </w:rPr>
        <w:t>[7]</w:t>
      </w:r>
      <w:r>
        <w:rPr>
          <w:sz w:val="24"/>
          <w:szCs w:val="24"/>
        </w:rPr>
        <w:tab/>
      </w:r>
      <w:r>
        <w:rPr>
          <w:sz w:val="24"/>
          <w:szCs w:val="24"/>
        </w:rPr>
        <w:t xml:space="preserve">J. Liang, Y. Chai, L. Li, D. Li, J. Shen, Y. Zhang, X. Wang, </w:t>
      </w:r>
      <w:r>
        <w:rPr>
          <w:i/>
          <w:sz w:val="24"/>
          <w:szCs w:val="24"/>
        </w:rPr>
        <w:t>Appl. Catal. B Environ.</w:t>
      </w:r>
      <w:r>
        <w:rPr>
          <w:sz w:val="24"/>
          <w:szCs w:val="24"/>
        </w:rPr>
        <w:t xml:space="preserve"> </w:t>
      </w:r>
      <w:r>
        <w:rPr>
          <w:b/>
          <w:sz w:val="24"/>
          <w:szCs w:val="24"/>
        </w:rPr>
        <w:t>2020</w:t>
      </w:r>
      <w:r>
        <w:rPr>
          <w:sz w:val="24"/>
          <w:szCs w:val="24"/>
        </w:rPr>
        <w:t>, 265.</w:t>
      </w:r>
    </w:p>
    <w:p>
      <w:pPr>
        <w:pStyle w:val="53"/>
        <w:spacing w:line="360" w:lineRule="auto"/>
        <w:rPr>
          <w:sz w:val="24"/>
          <w:szCs w:val="24"/>
        </w:rPr>
      </w:pPr>
      <w:r>
        <w:rPr>
          <w:sz w:val="24"/>
          <w:szCs w:val="24"/>
        </w:rPr>
        <w:t>[8]</w:t>
      </w:r>
      <w:r>
        <w:rPr>
          <w:sz w:val="24"/>
          <w:szCs w:val="24"/>
        </w:rPr>
        <w:tab/>
      </w:r>
      <w:r>
        <w:rPr>
          <w:sz w:val="24"/>
          <w:szCs w:val="24"/>
        </w:rPr>
        <w:t xml:space="preserve">S. Yan, J. Wang, H. Gao, N. Wang, H. Yu, Z. Li, Y. Zhou, Z. Zou, </w:t>
      </w:r>
      <w:r>
        <w:rPr>
          <w:i/>
          <w:sz w:val="24"/>
          <w:szCs w:val="24"/>
        </w:rPr>
        <w:t>Adv. Funct. Mater.</w:t>
      </w:r>
      <w:r>
        <w:rPr>
          <w:sz w:val="24"/>
          <w:szCs w:val="24"/>
        </w:rPr>
        <w:t xml:space="preserve"> </w:t>
      </w:r>
      <w:r>
        <w:rPr>
          <w:b/>
          <w:sz w:val="24"/>
          <w:szCs w:val="24"/>
        </w:rPr>
        <w:t>2012</w:t>
      </w:r>
      <w:r>
        <w:rPr>
          <w:sz w:val="24"/>
          <w:szCs w:val="24"/>
        </w:rPr>
        <w:t>, 23, 758.</w:t>
      </w:r>
    </w:p>
    <w:p>
      <w:pPr>
        <w:pStyle w:val="53"/>
        <w:spacing w:line="360" w:lineRule="auto"/>
        <w:rPr>
          <w:sz w:val="24"/>
          <w:szCs w:val="24"/>
        </w:rPr>
      </w:pPr>
      <w:r>
        <w:rPr>
          <w:sz w:val="24"/>
          <w:szCs w:val="24"/>
        </w:rPr>
        <w:t>[9]</w:t>
      </w:r>
      <w:r>
        <w:rPr>
          <w:sz w:val="24"/>
          <w:szCs w:val="24"/>
        </w:rPr>
        <w:tab/>
      </w:r>
      <w:r>
        <w:rPr>
          <w:sz w:val="24"/>
          <w:szCs w:val="24"/>
        </w:rPr>
        <w:t xml:space="preserve">S. Yan, J. Wang, H. Gao, N. Wang, H. Yu, Z. Li, Y. Zhou, Z. Zou, </w:t>
      </w:r>
      <w:r>
        <w:rPr>
          <w:i/>
          <w:sz w:val="24"/>
          <w:szCs w:val="24"/>
        </w:rPr>
        <w:t>Adv. Funct. Mater.</w:t>
      </w:r>
      <w:r>
        <w:rPr>
          <w:sz w:val="24"/>
          <w:szCs w:val="24"/>
        </w:rPr>
        <w:t xml:space="preserve"> </w:t>
      </w:r>
      <w:r>
        <w:rPr>
          <w:b/>
          <w:sz w:val="24"/>
          <w:szCs w:val="24"/>
        </w:rPr>
        <w:t>2012</w:t>
      </w:r>
      <w:r>
        <w:rPr>
          <w:sz w:val="24"/>
          <w:szCs w:val="24"/>
        </w:rPr>
        <w:t>, 23, 1839.</w:t>
      </w:r>
    </w:p>
    <w:p>
      <w:pPr>
        <w:rPr>
          <w:rFonts w:eastAsia="宋体"/>
          <w:lang w:eastAsia="zh-CN"/>
        </w:rPr>
      </w:pPr>
      <w:r>
        <w:rPr>
          <w:rFonts w:eastAsia="宋体"/>
        </w:rPr>
        <w:fldChar w:fldCharType="end"/>
      </w:r>
    </w:p>
    <w:sectPr>
      <w:headerReference r:id="rId3" w:type="default"/>
      <w:footerReference r:id="rId4" w:type="default"/>
      <w:type w:val="continuous"/>
      <w:pgSz w:w="11906" w:h="16838"/>
      <w:pgMar w:top="1417" w:right="1417" w:bottom="1134" w:left="1417" w:header="708" w:footer="708"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S Mincho">
    <w:altName w:val="Yu Gothic UI"/>
    <w:panose1 w:val="02020609040205080304"/>
    <w:charset w:val="80"/>
    <w:family w:val="modern"/>
    <w:pitch w:val="default"/>
    <w:sig w:usb0="00000000" w:usb1="00000000" w:usb2="08000012" w:usb3="00000000" w:csb0="0002009F" w:csb1="00000000"/>
  </w:font>
  <w:font w:name="Tahoma">
    <w:panose1 w:val="020B0604030504040204"/>
    <w:charset w:val="00"/>
    <w:family w:val="swiss"/>
    <w:pitch w:val="default"/>
    <w:sig w:usb0="E1002EFF" w:usb1="C000605B" w:usb2="00000029" w:usb3="00000000" w:csb0="200101FF" w:csb1="20280000"/>
  </w:font>
  <w:font w:name="等线">
    <w:panose1 w:val="02010600030101010101"/>
    <w:charset w:val="86"/>
    <w:family w:val="auto"/>
    <w:pitch w:val="default"/>
    <w:sig w:usb0="A00002BF" w:usb1="38CF7CFA" w:usb2="00000016" w:usb3="00000000" w:csb0="0004000F" w:csb1="00000000"/>
  </w:font>
  <w:font w:name="Times">
    <w:altName w:val="Times New Roman"/>
    <w:panose1 w:val="02020603050405020304"/>
    <w:charset w:val="00"/>
    <w:family w:val="roman"/>
    <w:pitch w:val="default"/>
    <w:sig w:usb0="00000000" w:usb1="00000000" w:usb2="00000009" w:usb3="00000000" w:csb0="000001FF" w:csb1="00000000"/>
  </w:font>
  <w:font w:name="Cambria Math">
    <w:panose1 w:val="02040503050406030204"/>
    <w:charset w:val="00"/>
    <w:family w:val="roman"/>
    <w:pitch w:val="default"/>
    <w:sig w:usb0="E00006FF" w:usb1="420024FF" w:usb2="02000000" w:usb3="00000000" w:csb0="2000019F" w:csb1="0000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center"/>
    </w:pPr>
    <w:r>
      <w:fldChar w:fldCharType="begin"/>
    </w:r>
    <w:r>
      <w:instrText xml:space="preserve">PAGE   \* MERGEFORMAT</w:instrText>
    </w:r>
    <w:r>
      <w:fldChar w:fldCharType="separate"/>
    </w:r>
    <w:r>
      <w:t>2</w:t>
    </w:r>
    <w:r>
      <w:fldChar w:fldCharType="end"/>
    </w:r>
  </w:p>
  <w:p>
    <w:pPr>
      <w:pStyle w:val="4"/>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tabs>
        <w:tab w:val="left" w:pos="5003"/>
      </w:tabs>
      <w:jc w:val="right"/>
      <w:rPr>
        <w:lang w:val="en-US"/>
      </w:rPr>
    </w:pPr>
    <w:r>
      <w:tab/>
    </w:r>
    <w:bookmarkStart w:id="1" w:name="_GoBack"/>
    <w:bookmarkEnd w:id="1"/>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removePersonalInformation/>
  <w:bordersDoNotSurroundHeader w:val="1"/>
  <w:bordersDoNotSurroundFooter w:val="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nforcement="0"/>
  <w:defaultTabStop w:val="708"/>
  <w:hyphenationZone w:val="425"/>
  <w:noPunctuationKerning w:val="1"/>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I5NWE5OWRiNmM1NjBiZWI2ZmNkM2YyMmRjYjJlMzMifQ=="/>
  </w:docVars>
  <w:rsids>
    <w:rsidRoot w:val="002D16A0"/>
    <w:rsid w:val="00000022"/>
    <w:rsid w:val="000003BB"/>
    <w:rsid w:val="0000374D"/>
    <w:rsid w:val="00004A23"/>
    <w:rsid w:val="00004DB5"/>
    <w:rsid w:val="00006A0A"/>
    <w:rsid w:val="0000703E"/>
    <w:rsid w:val="000112FC"/>
    <w:rsid w:val="000118B0"/>
    <w:rsid w:val="00011F40"/>
    <w:rsid w:val="0001454A"/>
    <w:rsid w:val="0001683C"/>
    <w:rsid w:val="000172E7"/>
    <w:rsid w:val="000214A8"/>
    <w:rsid w:val="00023F64"/>
    <w:rsid w:val="00027308"/>
    <w:rsid w:val="00027FB5"/>
    <w:rsid w:val="000314D2"/>
    <w:rsid w:val="0003187D"/>
    <w:rsid w:val="0003318F"/>
    <w:rsid w:val="0004094E"/>
    <w:rsid w:val="00040B7B"/>
    <w:rsid w:val="00041C1B"/>
    <w:rsid w:val="000437F7"/>
    <w:rsid w:val="00047B98"/>
    <w:rsid w:val="00050985"/>
    <w:rsid w:val="0005501E"/>
    <w:rsid w:val="00055883"/>
    <w:rsid w:val="0006044D"/>
    <w:rsid w:val="00060D37"/>
    <w:rsid w:val="00062324"/>
    <w:rsid w:val="00062CA0"/>
    <w:rsid w:val="00063C0E"/>
    <w:rsid w:val="00072EA7"/>
    <w:rsid w:val="00076EAD"/>
    <w:rsid w:val="0008287E"/>
    <w:rsid w:val="00083031"/>
    <w:rsid w:val="0008740B"/>
    <w:rsid w:val="000904D3"/>
    <w:rsid w:val="0009309C"/>
    <w:rsid w:val="00093F1B"/>
    <w:rsid w:val="000A1F4B"/>
    <w:rsid w:val="000A21A9"/>
    <w:rsid w:val="000A3E93"/>
    <w:rsid w:val="000A472C"/>
    <w:rsid w:val="000A5773"/>
    <w:rsid w:val="000A682F"/>
    <w:rsid w:val="000B05A0"/>
    <w:rsid w:val="000B33EE"/>
    <w:rsid w:val="000B4293"/>
    <w:rsid w:val="000C259E"/>
    <w:rsid w:val="000C3E0C"/>
    <w:rsid w:val="000C6252"/>
    <w:rsid w:val="000C6F8A"/>
    <w:rsid w:val="000D2D4B"/>
    <w:rsid w:val="000D45F4"/>
    <w:rsid w:val="000D5AB4"/>
    <w:rsid w:val="000D66DB"/>
    <w:rsid w:val="000D7EBA"/>
    <w:rsid w:val="000E788B"/>
    <w:rsid w:val="000E7A5B"/>
    <w:rsid w:val="000E7BBA"/>
    <w:rsid w:val="000F512F"/>
    <w:rsid w:val="001013F4"/>
    <w:rsid w:val="001054D4"/>
    <w:rsid w:val="0010686C"/>
    <w:rsid w:val="00107C5F"/>
    <w:rsid w:val="00107CCC"/>
    <w:rsid w:val="00110011"/>
    <w:rsid w:val="001105BD"/>
    <w:rsid w:val="00116C82"/>
    <w:rsid w:val="00120BE6"/>
    <w:rsid w:val="00120E85"/>
    <w:rsid w:val="00123ADA"/>
    <w:rsid w:val="00125573"/>
    <w:rsid w:val="0012642A"/>
    <w:rsid w:val="00126D17"/>
    <w:rsid w:val="001305BF"/>
    <w:rsid w:val="00131D58"/>
    <w:rsid w:val="001370B1"/>
    <w:rsid w:val="001377CA"/>
    <w:rsid w:val="00140971"/>
    <w:rsid w:val="00140B94"/>
    <w:rsid w:val="001450FB"/>
    <w:rsid w:val="0014658A"/>
    <w:rsid w:val="00147DB8"/>
    <w:rsid w:val="00151683"/>
    <w:rsid w:val="0015392F"/>
    <w:rsid w:val="0015563E"/>
    <w:rsid w:val="00155F66"/>
    <w:rsid w:val="0016335A"/>
    <w:rsid w:val="0016390D"/>
    <w:rsid w:val="00164057"/>
    <w:rsid w:val="00165B37"/>
    <w:rsid w:val="00170369"/>
    <w:rsid w:val="00173757"/>
    <w:rsid w:val="00174176"/>
    <w:rsid w:val="00181D92"/>
    <w:rsid w:val="001823B6"/>
    <w:rsid w:val="001848EB"/>
    <w:rsid w:val="00187DB9"/>
    <w:rsid w:val="0019077D"/>
    <w:rsid w:val="0019194D"/>
    <w:rsid w:val="001957D3"/>
    <w:rsid w:val="0019723B"/>
    <w:rsid w:val="001A3465"/>
    <w:rsid w:val="001A4240"/>
    <w:rsid w:val="001A6821"/>
    <w:rsid w:val="001A734D"/>
    <w:rsid w:val="001B1D07"/>
    <w:rsid w:val="001B4224"/>
    <w:rsid w:val="001B7472"/>
    <w:rsid w:val="001C10AC"/>
    <w:rsid w:val="001C55FB"/>
    <w:rsid w:val="001D12BC"/>
    <w:rsid w:val="001D561D"/>
    <w:rsid w:val="001E18CC"/>
    <w:rsid w:val="001E3D2D"/>
    <w:rsid w:val="001E4605"/>
    <w:rsid w:val="001E5F4E"/>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4D95"/>
    <w:rsid w:val="00215531"/>
    <w:rsid w:val="002162B2"/>
    <w:rsid w:val="00216F54"/>
    <w:rsid w:val="00220933"/>
    <w:rsid w:val="00220C72"/>
    <w:rsid w:val="0022540C"/>
    <w:rsid w:val="00226AA4"/>
    <w:rsid w:val="00233C8A"/>
    <w:rsid w:val="00236036"/>
    <w:rsid w:val="00240863"/>
    <w:rsid w:val="00240D90"/>
    <w:rsid w:val="00253CB1"/>
    <w:rsid w:val="002543F9"/>
    <w:rsid w:val="00257ADD"/>
    <w:rsid w:val="00263723"/>
    <w:rsid w:val="00263CF8"/>
    <w:rsid w:val="00265635"/>
    <w:rsid w:val="00266389"/>
    <w:rsid w:val="002675F7"/>
    <w:rsid w:val="002725A5"/>
    <w:rsid w:val="0027314F"/>
    <w:rsid w:val="0028289F"/>
    <w:rsid w:val="00284157"/>
    <w:rsid w:val="00285631"/>
    <w:rsid w:val="00290D94"/>
    <w:rsid w:val="0029203C"/>
    <w:rsid w:val="00294873"/>
    <w:rsid w:val="002A4A81"/>
    <w:rsid w:val="002A73A2"/>
    <w:rsid w:val="002A7CE8"/>
    <w:rsid w:val="002B0671"/>
    <w:rsid w:val="002B262F"/>
    <w:rsid w:val="002B3553"/>
    <w:rsid w:val="002B5E06"/>
    <w:rsid w:val="002C0CFF"/>
    <w:rsid w:val="002D09B9"/>
    <w:rsid w:val="002D16A0"/>
    <w:rsid w:val="002D2930"/>
    <w:rsid w:val="002D2DFF"/>
    <w:rsid w:val="002D3D6D"/>
    <w:rsid w:val="002D5BF8"/>
    <w:rsid w:val="002D7ECC"/>
    <w:rsid w:val="002E1B8F"/>
    <w:rsid w:val="002E2DEF"/>
    <w:rsid w:val="002E4E3E"/>
    <w:rsid w:val="002E76B2"/>
    <w:rsid w:val="002E79A2"/>
    <w:rsid w:val="002F3060"/>
    <w:rsid w:val="002F4E53"/>
    <w:rsid w:val="002F4F4B"/>
    <w:rsid w:val="002F55FD"/>
    <w:rsid w:val="002F594C"/>
    <w:rsid w:val="00301984"/>
    <w:rsid w:val="00301B0B"/>
    <w:rsid w:val="00301E84"/>
    <w:rsid w:val="00302E7A"/>
    <w:rsid w:val="00303D1B"/>
    <w:rsid w:val="003046B7"/>
    <w:rsid w:val="00317A57"/>
    <w:rsid w:val="00320A99"/>
    <w:rsid w:val="0032144B"/>
    <w:rsid w:val="00321E38"/>
    <w:rsid w:val="00322D5B"/>
    <w:rsid w:val="00325AC2"/>
    <w:rsid w:val="00326A1C"/>
    <w:rsid w:val="00327FDC"/>
    <w:rsid w:val="003360E3"/>
    <w:rsid w:val="003371D5"/>
    <w:rsid w:val="003376CD"/>
    <w:rsid w:val="003452C3"/>
    <w:rsid w:val="003501A7"/>
    <w:rsid w:val="0035048A"/>
    <w:rsid w:val="0035117E"/>
    <w:rsid w:val="0036263B"/>
    <w:rsid w:val="00363B62"/>
    <w:rsid w:val="003645B0"/>
    <w:rsid w:val="00364B2C"/>
    <w:rsid w:val="003664F1"/>
    <w:rsid w:val="00367E3F"/>
    <w:rsid w:val="00377EA5"/>
    <w:rsid w:val="00377F77"/>
    <w:rsid w:val="00383073"/>
    <w:rsid w:val="0038438F"/>
    <w:rsid w:val="00387C67"/>
    <w:rsid w:val="00387D98"/>
    <w:rsid w:val="00390B0F"/>
    <w:rsid w:val="00390B38"/>
    <w:rsid w:val="00390B6B"/>
    <w:rsid w:val="00391CFE"/>
    <w:rsid w:val="0039353B"/>
    <w:rsid w:val="00394F9E"/>
    <w:rsid w:val="00395426"/>
    <w:rsid w:val="00395B91"/>
    <w:rsid w:val="00396615"/>
    <w:rsid w:val="0039700D"/>
    <w:rsid w:val="00397089"/>
    <w:rsid w:val="003978A8"/>
    <w:rsid w:val="003A0F30"/>
    <w:rsid w:val="003A4C44"/>
    <w:rsid w:val="003A5AD0"/>
    <w:rsid w:val="003A6CE3"/>
    <w:rsid w:val="003A7899"/>
    <w:rsid w:val="003B15EE"/>
    <w:rsid w:val="003B517D"/>
    <w:rsid w:val="003B60EC"/>
    <w:rsid w:val="003C00ED"/>
    <w:rsid w:val="003C1C0A"/>
    <w:rsid w:val="003C35DF"/>
    <w:rsid w:val="003C4A68"/>
    <w:rsid w:val="003C554F"/>
    <w:rsid w:val="003C61DD"/>
    <w:rsid w:val="003D064D"/>
    <w:rsid w:val="003D4F7A"/>
    <w:rsid w:val="003D63E7"/>
    <w:rsid w:val="003E05F1"/>
    <w:rsid w:val="003E113B"/>
    <w:rsid w:val="003E1626"/>
    <w:rsid w:val="003E5092"/>
    <w:rsid w:val="003E715D"/>
    <w:rsid w:val="003F103E"/>
    <w:rsid w:val="003F2E48"/>
    <w:rsid w:val="003F440C"/>
    <w:rsid w:val="003F525A"/>
    <w:rsid w:val="003F7BE6"/>
    <w:rsid w:val="004006A9"/>
    <w:rsid w:val="00404548"/>
    <w:rsid w:val="004052AE"/>
    <w:rsid w:val="004118A5"/>
    <w:rsid w:val="00413672"/>
    <w:rsid w:val="00414041"/>
    <w:rsid w:val="00414465"/>
    <w:rsid w:val="00414729"/>
    <w:rsid w:val="00414C80"/>
    <w:rsid w:val="00414F4B"/>
    <w:rsid w:val="00415202"/>
    <w:rsid w:val="00415EF9"/>
    <w:rsid w:val="00416629"/>
    <w:rsid w:val="00417DA1"/>
    <w:rsid w:val="00423478"/>
    <w:rsid w:val="00425B76"/>
    <w:rsid w:val="004260A2"/>
    <w:rsid w:val="00426FC6"/>
    <w:rsid w:val="004273BC"/>
    <w:rsid w:val="00427C5F"/>
    <w:rsid w:val="00441EAC"/>
    <w:rsid w:val="004507E5"/>
    <w:rsid w:val="004519AD"/>
    <w:rsid w:val="0045459A"/>
    <w:rsid w:val="004545DB"/>
    <w:rsid w:val="0045786A"/>
    <w:rsid w:val="00460F76"/>
    <w:rsid w:val="00462F12"/>
    <w:rsid w:val="00463050"/>
    <w:rsid w:val="0046340F"/>
    <w:rsid w:val="00466168"/>
    <w:rsid w:val="0046778B"/>
    <w:rsid w:val="004714D4"/>
    <w:rsid w:val="00475712"/>
    <w:rsid w:val="00476329"/>
    <w:rsid w:val="00480CCE"/>
    <w:rsid w:val="00482FAA"/>
    <w:rsid w:val="00487211"/>
    <w:rsid w:val="0049075F"/>
    <w:rsid w:val="00492DA8"/>
    <w:rsid w:val="004A0888"/>
    <w:rsid w:val="004A43B6"/>
    <w:rsid w:val="004A70EE"/>
    <w:rsid w:val="004A774E"/>
    <w:rsid w:val="004A7D3E"/>
    <w:rsid w:val="004A7FF9"/>
    <w:rsid w:val="004B379D"/>
    <w:rsid w:val="004B5F0C"/>
    <w:rsid w:val="004B6031"/>
    <w:rsid w:val="004C046E"/>
    <w:rsid w:val="004C1609"/>
    <w:rsid w:val="004C20CE"/>
    <w:rsid w:val="004C216B"/>
    <w:rsid w:val="004C5DD3"/>
    <w:rsid w:val="004D30F9"/>
    <w:rsid w:val="004D4A32"/>
    <w:rsid w:val="004D5819"/>
    <w:rsid w:val="004D64AB"/>
    <w:rsid w:val="004E7CE8"/>
    <w:rsid w:val="004F271D"/>
    <w:rsid w:val="004F2D26"/>
    <w:rsid w:val="004F5114"/>
    <w:rsid w:val="004F756C"/>
    <w:rsid w:val="005001FA"/>
    <w:rsid w:val="005019AF"/>
    <w:rsid w:val="0050488D"/>
    <w:rsid w:val="00504D12"/>
    <w:rsid w:val="0050527A"/>
    <w:rsid w:val="0050535A"/>
    <w:rsid w:val="005106F5"/>
    <w:rsid w:val="00511192"/>
    <w:rsid w:val="005118AD"/>
    <w:rsid w:val="00512353"/>
    <w:rsid w:val="005220C2"/>
    <w:rsid w:val="00522E88"/>
    <w:rsid w:val="00523369"/>
    <w:rsid w:val="0052398F"/>
    <w:rsid w:val="00532960"/>
    <w:rsid w:val="00545A73"/>
    <w:rsid w:val="00546DEB"/>
    <w:rsid w:val="00546F0F"/>
    <w:rsid w:val="005477E7"/>
    <w:rsid w:val="00550159"/>
    <w:rsid w:val="00551897"/>
    <w:rsid w:val="00551FFD"/>
    <w:rsid w:val="00552A0F"/>
    <w:rsid w:val="005540DD"/>
    <w:rsid w:val="005551ED"/>
    <w:rsid w:val="00556419"/>
    <w:rsid w:val="005572B4"/>
    <w:rsid w:val="005572DD"/>
    <w:rsid w:val="00560564"/>
    <w:rsid w:val="00562E2B"/>
    <w:rsid w:val="00564668"/>
    <w:rsid w:val="00570353"/>
    <w:rsid w:val="005715F5"/>
    <w:rsid w:val="0057171E"/>
    <w:rsid w:val="00571EEC"/>
    <w:rsid w:val="00572666"/>
    <w:rsid w:val="0057267E"/>
    <w:rsid w:val="005726BD"/>
    <w:rsid w:val="00574A5A"/>
    <w:rsid w:val="005753B8"/>
    <w:rsid w:val="00583ED5"/>
    <w:rsid w:val="00584320"/>
    <w:rsid w:val="00587437"/>
    <w:rsid w:val="00592678"/>
    <w:rsid w:val="00594644"/>
    <w:rsid w:val="0059526F"/>
    <w:rsid w:val="00596F36"/>
    <w:rsid w:val="005A1741"/>
    <w:rsid w:val="005A235F"/>
    <w:rsid w:val="005A751F"/>
    <w:rsid w:val="005A7719"/>
    <w:rsid w:val="005A77C2"/>
    <w:rsid w:val="005B291B"/>
    <w:rsid w:val="005B76C5"/>
    <w:rsid w:val="005B7AF0"/>
    <w:rsid w:val="005B7B8A"/>
    <w:rsid w:val="005C09C6"/>
    <w:rsid w:val="005C458D"/>
    <w:rsid w:val="005C491E"/>
    <w:rsid w:val="005C5E0A"/>
    <w:rsid w:val="005C6C0C"/>
    <w:rsid w:val="005C7D7B"/>
    <w:rsid w:val="005D2276"/>
    <w:rsid w:val="005D25FD"/>
    <w:rsid w:val="005D2808"/>
    <w:rsid w:val="005E0858"/>
    <w:rsid w:val="005E2794"/>
    <w:rsid w:val="005E3CBF"/>
    <w:rsid w:val="005E6F9D"/>
    <w:rsid w:val="005E7B5A"/>
    <w:rsid w:val="005F01FC"/>
    <w:rsid w:val="005F0C89"/>
    <w:rsid w:val="005F3701"/>
    <w:rsid w:val="005F41DF"/>
    <w:rsid w:val="005F4521"/>
    <w:rsid w:val="005F5478"/>
    <w:rsid w:val="006006FC"/>
    <w:rsid w:val="006045BA"/>
    <w:rsid w:val="0060583A"/>
    <w:rsid w:val="00611649"/>
    <w:rsid w:val="00611A0E"/>
    <w:rsid w:val="00614154"/>
    <w:rsid w:val="00614BD3"/>
    <w:rsid w:val="00623A77"/>
    <w:rsid w:val="006256F5"/>
    <w:rsid w:val="0063097B"/>
    <w:rsid w:val="006364B8"/>
    <w:rsid w:val="00636A64"/>
    <w:rsid w:val="00636B93"/>
    <w:rsid w:val="00637E18"/>
    <w:rsid w:val="00640550"/>
    <w:rsid w:val="0064326A"/>
    <w:rsid w:val="00644D5D"/>
    <w:rsid w:val="00645E75"/>
    <w:rsid w:val="0064695B"/>
    <w:rsid w:val="00646DC7"/>
    <w:rsid w:val="006511FB"/>
    <w:rsid w:val="00651A9D"/>
    <w:rsid w:val="00651E41"/>
    <w:rsid w:val="00654C93"/>
    <w:rsid w:val="00654E96"/>
    <w:rsid w:val="00656092"/>
    <w:rsid w:val="0065741C"/>
    <w:rsid w:val="00660B85"/>
    <w:rsid w:val="006622E0"/>
    <w:rsid w:val="00662DCE"/>
    <w:rsid w:val="006639A8"/>
    <w:rsid w:val="006644A7"/>
    <w:rsid w:val="00664F6D"/>
    <w:rsid w:val="006650B8"/>
    <w:rsid w:val="00666329"/>
    <w:rsid w:val="006672EE"/>
    <w:rsid w:val="0067011F"/>
    <w:rsid w:val="0067015E"/>
    <w:rsid w:val="006756DD"/>
    <w:rsid w:val="00680453"/>
    <w:rsid w:val="00682526"/>
    <w:rsid w:val="00683555"/>
    <w:rsid w:val="006866ED"/>
    <w:rsid w:val="00686F1D"/>
    <w:rsid w:val="00692F7A"/>
    <w:rsid w:val="00695E06"/>
    <w:rsid w:val="00696315"/>
    <w:rsid w:val="006A0D51"/>
    <w:rsid w:val="006A1C05"/>
    <w:rsid w:val="006A225B"/>
    <w:rsid w:val="006A30D2"/>
    <w:rsid w:val="006A5A6A"/>
    <w:rsid w:val="006A5FE3"/>
    <w:rsid w:val="006B23B2"/>
    <w:rsid w:val="006B4845"/>
    <w:rsid w:val="006B635C"/>
    <w:rsid w:val="006C1708"/>
    <w:rsid w:val="006C1C29"/>
    <w:rsid w:val="006C3782"/>
    <w:rsid w:val="006C3CDE"/>
    <w:rsid w:val="006C4745"/>
    <w:rsid w:val="006D0EE8"/>
    <w:rsid w:val="006D3162"/>
    <w:rsid w:val="006D37E7"/>
    <w:rsid w:val="006D5146"/>
    <w:rsid w:val="006D59D6"/>
    <w:rsid w:val="006D5C04"/>
    <w:rsid w:val="006D7508"/>
    <w:rsid w:val="006E0F2F"/>
    <w:rsid w:val="006E19D7"/>
    <w:rsid w:val="006E5FAD"/>
    <w:rsid w:val="006E6256"/>
    <w:rsid w:val="006E71B9"/>
    <w:rsid w:val="006F39B2"/>
    <w:rsid w:val="006F5384"/>
    <w:rsid w:val="006F6604"/>
    <w:rsid w:val="006F6896"/>
    <w:rsid w:val="006F71D8"/>
    <w:rsid w:val="006F7D1A"/>
    <w:rsid w:val="00700F7F"/>
    <w:rsid w:val="00702F6F"/>
    <w:rsid w:val="0070346C"/>
    <w:rsid w:val="007051A0"/>
    <w:rsid w:val="00706496"/>
    <w:rsid w:val="00711A12"/>
    <w:rsid w:val="00711F11"/>
    <w:rsid w:val="007154C4"/>
    <w:rsid w:val="00715DB9"/>
    <w:rsid w:val="007174BE"/>
    <w:rsid w:val="007218A0"/>
    <w:rsid w:val="007238AF"/>
    <w:rsid w:val="00726908"/>
    <w:rsid w:val="007270C7"/>
    <w:rsid w:val="00730F3A"/>
    <w:rsid w:val="00735F34"/>
    <w:rsid w:val="00736944"/>
    <w:rsid w:val="00741200"/>
    <w:rsid w:val="00741333"/>
    <w:rsid w:val="00742FF2"/>
    <w:rsid w:val="00744D6A"/>
    <w:rsid w:val="00746138"/>
    <w:rsid w:val="0074620A"/>
    <w:rsid w:val="00751D50"/>
    <w:rsid w:val="007527D5"/>
    <w:rsid w:val="00752F3C"/>
    <w:rsid w:val="007561FC"/>
    <w:rsid w:val="00761C87"/>
    <w:rsid w:val="00761D34"/>
    <w:rsid w:val="00762D2D"/>
    <w:rsid w:val="00764622"/>
    <w:rsid w:val="00764CAD"/>
    <w:rsid w:val="00770FA1"/>
    <w:rsid w:val="00773884"/>
    <w:rsid w:val="00774813"/>
    <w:rsid w:val="0078052A"/>
    <w:rsid w:val="007812FB"/>
    <w:rsid w:val="00784032"/>
    <w:rsid w:val="00786E79"/>
    <w:rsid w:val="00787925"/>
    <w:rsid w:val="00790822"/>
    <w:rsid w:val="00790E31"/>
    <w:rsid w:val="00791578"/>
    <w:rsid w:val="00793B87"/>
    <w:rsid w:val="0079566E"/>
    <w:rsid w:val="00796509"/>
    <w:rsid w:val="0079691E"/>
    <w:rsid w:val="00797723"/>
    <w:rsid w:val="007B1EEE"/>
    <w:rsid w:val="007B249B"/>
    <w:rsid w:val="007B6D4D"/>
    <w:rsid w:val="007B6FAF"/>
    <w:rsid w:val="007B7A09"/>
    <w:rsid w:val="007C0F7A"/>
    <w:rsid w:val="007C1DE4"/>
    <w:rsid w:val="007D24A9"/>
    <w:rsid w:val="007D27FA"/>
    <w:rsid w:val="007D30B5"/>
    <w:rsid w:val="007D6218"/>
    <w:rsid w:val="007D6699"/>
    <w:rsid w:val="007D7E30"/>
    <w:rsid w:val="007E0A75"/>
    <w:rsid w:val="007E0B33"/>
    <w:rsid w:val="007E6419"/>
    <w:rsid w:val="007F6815"/>
    <w:rsid w:val="007F6BA8"/>
    <w:rsid w:val="0080681B"/>
    <w:rsid w:val="0080738C"/>
    <w:rsid w:val="00810B77"/>
    <w:rsid w:val="00817436"/>
    <w:rsid w:val="00822217"/>
    <w:rsid w:val="0082542D"/>
    <w:rsid w:val="00827834"/>
    <w:rsid w:val="00832835"/>
    <w:rsid w:val="00835110"/>
    <w:rsid w:val="008351FC"/>
    <w:rsid w:val="00840D98"/>
    <w:rsid w:val="00841F50"/>
    <w:rsid w:val="00843A0E"/>
    <w:rsid w:val="00844464"/>
    <w:rsid w:val="00845DFE"/>
    <w:rsid w:val="00846E17"/>
    <w:rsid w:val="0085200A"/>
    <w:rsid w:val="00854283"/>
    <w:rsid w:val="00854359"/>
    <w:rsid w:val="008573E3"/>
    <w:rsid w:val="00861E81"/>
    <w:rsid w:val="008645FF"/>
    <w:rsid w:val="0086610E"/>
    <w:rsid w:val="00866D42"/>
    <w:rsid w:val="0087030E"/>
    <w:rsid w:val="00870AAC"/>
    <w:rsid w:val="008734F7"/>
    <w:rsid w:val="00874E9F"/>
    <w:rsid w:val="00877842"/>
    <w:rsid w:val="008806F8"/>
    <w:rsid w:val="008808E2"/>
    <w:rsid w:val="00881456"/>
    <w:rsid w:val="00881ACB"/>
    <w:rsid w:val="00885FC9"/>
    <w:rsid w:val="00891328"/>
    <w:rsid w:val="00891A47"/>
    <w:rsid w:val="00892809"/>
    <w:rsid w:val="0089370F"/>
    <w:rsid w:val="008939AF"/>
    <w:rsid w:val="00893FED"/>
    <w:rsid w:val="0089449A"/>
    <w:rsid w:val="00895E48"/>
    <w:rsid w:val="00896687"/>
    <w:rsid w:val="008971F4"/>
    <w:rsid w:val="008A0E7D"/>
    <w:rsid w:val="008A3023"/>
    <w:rsid w:val="008A403F"/>
    <w:rsid w:val="008A6815"/>
    <w:rsid w:val="008B1031"/>
    <w:rsid w:val="008B2303"/>
    <w:rsid w:val="008B34A0"/>
    <w:rsid w:val="008B5740"/>
    <w:rsid w:val="008C0B84"/>
    <w:rsid w:val="008C41DA"/>
    <w:rsid w:val="008C553A"/>
    <w:rsid w:val="008C588E"/>
    <w:rsid w:val="008C6D5F"/>
    <w:rsid w:val="008C7226"/>
    <w:rsid w:val="008D7B80"/>
    <w:rsid w:val="008E243B"/>
    <w:rsid w:val="008E4184"/>
    <w:rsid w:val="008E46DD"/>
    <w:rsid w:val="008E549F"/>
    <w:rsid w:val="008E6301"/>
    <w:rsid w:val="008F10BC"/>
    <w:rsid w:val="008F2052"/>
    <w:rsid w:val="008F26ED"/>
    <w:rsid w:val="008F2A38"/>
    <w:rsid w:val="008F3012"/>
    <w:rsid w:val="008F592B"/>
    <w:rsid w:val="00901D14"/>
    <w:rsid w:val="00903775"/>
    <w:rsid w:val="009109F7"/>
    <w:rsid w:val="00912137"/>
    <w:rsid w:val="00915BED"/>
    <w:rsid w:val="00916B64"/>
    <w:rsid w:val="00917306"/>
    <w:rsid w:val="0092145D"/>
    <w:rsid w:val="009245DE"/>
    <w:rsid w:val="00930762"/>
    <w:rsid w:val="00930C0C"/>
    <w:rsid w:val="00936B81"/>
    <w:rsid w:val="00944701"/>
    <w:rsid w:val="00950ED1"/>
    <w:rsid w:val="00952A7A"/>
    <w:rsid w:val="00953A02"/>
    <w:rsid w:val="0095444E"/>
    <w:rsid w:val="00955C67"/>
    <w:rsid w:val="00957B65"/>
    <w:rsid w:val="00960AFF"/>
    <w:rsid w:val="00963F62"/>
    <w:rsid w:val="00965EFC"/>
    <w:rsid w:val="0097161B"/>
    <w:rsid w:val="009762D2"/>
    <w:rsid w:val="009762F1"/>
    <w:rsid w:val="0097692D"/>
    <w:rsid w:val="009776D2"/>
    <w:rsid w:val="00977EA8"/>
    <w:rsid w:val="0098140D"/>
    <w:rsid w:val="00981CED"/>
    <w:rsid w:val="00987225"/>
    <w:rsid w:val="00990870"/>
    <w:rsid w:val="00990DCF"/>
    <w:rsid w:val="009920F5"/>
    <w:rsid w:val="00992B56"/>
    <w:rsid w:val="00992CDA"/>
    <w:rsid w:val="00993342"/>
    <w:rsid w:val="00996CE4"/>
    <w:rsid w:val="009A0FB3"/>
    <w:rsid w:val="009A3F36"/>
    <w:rsid w:val="009A48D8"/>
    <w:rsid w:val="009A6C59"/>
    <w:rsid w:val="009A74B0"/>
    <w:rsid w:val="009A7878"/>
    <w:rsid w:val="009B0888"/>
    <w:rsid w:val="009B33DF"/>
    <w:rsid w:val="009B4270"/>
    <w:rsid w:val="009B44CC"/>
    <w:rsid w:val="009B5651"/>
    <w:rsid w:val="009B62E4"/>
    <w:rsid w:val="009B706A"/>
    <w:rsid w:val="009C4319"/>
    <w:rsid w:val="009D109E"/>
    <w:rsid w:val="009D1CD9"/>
    <w:rsid w:val="009D1F28"/>
    <w:rsid w:val="009D28E5"/>
    <w:rsid w:val="009D4830"/>
    <w:rsid w:val="009D520D"/>
    <w:rsid w:val="009D797A"/>
    <w:rsid w:val="009E026A"/>
    <w:rsid w:val="009E3B56"/>
    <w:rsid w:val="009E49B5"/>
    <w:rsid w:val="009E551E"/>
    <w:rsid w:val="009E7066"/>
    <w:rsid w:val="009F1EF8"/>
    <w:rsid w:val="009F4604"/>
    <w:rsid w:val="009F4B78"/>
    <w:rsid w:val="009F606B"/>
    <w:rsid w:val="009F6E66"/>
    <w:rsid w:val="009F7888"/>
    <w:rsid w:val="00A02AC3"/>
    <w:rsid w:val="00A06840"/>
    <w:rsid w:val="00A06EAD"/>
    <w:rsid w:val="00A1293C"/>
    <w:rsid w:val="00A14F9B"/>
    <w:rsid w:val="00A167F1"/>
    <w:rsid w:val="00A2085F"/>
    <w:rsid w:val="00A20EC0"/>
    <w:rsid w:val="00A2150B"/>
    <w:rsid w:val="00A215D9"/>
    <w:rsid w:val="00A2292C"/>
    <w:rsid w:val="00A23FC3"/>
    <w:rsid w:val="00A25F1B"/>
    <w:rsid w:val="00A3288D"/>
    <w:rsid w:val="00A329DC"/>
    <w:rsid w:val="00A41135"/>
    <w:rsid w:val="00A41FEB"/>
    <w:rsid w:val="00A42FBA"/>
    <w:rsid w:val="00A44DA6"/>
    <w:rsid w:val="00A50921"/>
    <w:rsid w:val="00A5160D"/>
    <w:rsid w:val="00A56CA4"/>
    <w:rsid w:val="00A65F04"/>
    <w:rsid w:val="00A65F2E"/>
    <w:rsid w:val="00A7086D"/>
    <w:rsid w:val="00A71AD5"/>
    <w:rsid w:val="00A8073E"/>
    <w:rsid w:val="00A80883"/>
    <w:rsid w:val="00A81BED"/>
    <w:rsid w:val="00A82FC6"/>
    <w:rsid w:val="00A85A0D"/>
    <w:rsid w:val="00A92270"/>
    <w:rsid w:val="00AA10AE"/>
    <w:rsid w:val="00AA329F"/>
    <w:rsid w:val="00AA7B6A"/>
    <w:rsid w:val="00AB593E"/>
    <w:rsid w:val="00AB5D37"/>
    <w:rsid w:val="00AB683F"/>
    <w:rsid w:val="00AC4A2E"/>
    <w:rsid w:val="00AD1885"/>
    <w:rsid w:val="00AD50BA"/>
    <w:rsid w:val="00AE02E7"/>
    <w:rsid w:val="00AE0F75"/>
    <w:rsid w:val="00AE319E"/>
    <w:rsid w:val="00AE3B2C"/>
    <w:rsid w:val="00AE3B4E"/>
    <w:rsid w:val="00AE676F"/>
    <w:rsid w:val="00AE709C"/>
    <w:rsid w:val="00AE7DD9"/>
    <w:rsid w:val="00AF2B38"/>
    <w:rsid w:val="00B004C1"/>
    <w:rsid w:val="00B0168B"/>
    <w:rsid w:val="00B01C19"/>
    <w:rsid w:val="00B03458"/>
    <w:rsid w:val="00B04B8E"/>
    <w:rsid w:val="00B1072F"/>
    <w:rsid w:val="00B15820"/>
    <w:rsid w:val="00B215D8"/>
    <w:rsid w:val="00B2218A"/>
    <w:rsid w:val="00B246ED"/>
    <w:rsid w:val="00B26DD0"/>
    <w:rsid w:val="00B338C8"/>
    <w:rsid w:val="00B341CC"/>
    <w:rsid w:val="00B35321"/>
    <w:rsid w:val="00B35505"/>
    <w:rsid w:val="00B35CB3"/>
    <w:rsid w:val="00B35E0A"/>
    <w:rsid w:val="00B40124"/>
    <w:rsid w:val="00B40552"/>
    <w:rsid w:val="00B40B86"/>
    <w:rsid w:val="00B42E03"/>
    <w:rsid w:val="00B443E2"/>
    <w:rsid w:val="00B46222"/>
    <w:rsid w:val="00B54092"/>
    <w:rsid w:val="00B5444C"/>
    <w:rsid w:val="00B5568B"/>
    <w:rsid w:val="00B557BF"/>
    <w:rsid w:val="00B55BD6"/>
    <w:rsid w:val="00B56147"/>
    <w:rsid w:val="00B5720A"/>
    <w:rsid w:val="00B604A0"/>
    <w:rsid w:val="00B60761"/>
    <w:rsid w:val="00B620A5"/>
    <w:rsid w:val="00B62BB1"/>
    <w:rsid w:val="00B63559"/>
    <w:rsid w:val="00B73979"/>
    <w:rsid w:val="00B751B0"/>
    <w:rsid w:val="00B762E0"/>
    <w:rsid w:val="00B82EF5"/>
    <w:rsid w:val="00B86188"/>
    <w:rsid w:val="00B86C54"/>
    <w:rsid w:val="00B874C4"/>
    <w:rsid w:val="00B94B7F"/>
    <w:rsid w:val="00B97AA2"/>
    <w:rsid w:val="00B97B8E"/>
    <w:rsid w:val="00BA00A8"/>
    <w:rsid w:val="00BA0378"/>
    <w:rsid w:val="00BA37A4"/>
    <w:rsid w:val="00BA4FB0"/>
    <w:rsid w:val="00BA6138"/>
    <w:rsid w:val="00BB1930"/>
    <w:rsid w:val="00BB3478"/>
    <w:rsid w:val="00BC2247"/>
    <w:rsid w:val="00BC2D2D"/>
    <w:rsid w:val="00BC5572"/>
    <w:rsid w:val="00BD497C"/>
    <w:rsid w:val="00BD57EE"/>
    <w:rsid w:val="00BE4E8A"/>
    <w:rsid w:val="00BF2A79"/>
    <w:rsid w:val="00BF375F"/>
    <w:rsid w:val="00C02372"/>
    <w:rsid w:val="00C044C3"/>
    <w:rsid w:val="00C10453"/>
    <w:rsid w:val="00C12E60"/>
    <w:rsid w:val="00C13BCA"/>
    <w:rsid w:val="00C141B9"/>
    <w:rsid w:val="00C158CF"/>
    <w:rsid w:val="00C16518"/>
    <w:rsid w:val="00C1787D"/>
    <w:rsid w:val="00C20F14"/>
    <w:rsid w:val="00C22B7C"/>
    <w:rsid w:val="00C23B8E"/>
    <w:rsid w:val="00C26773"/>
    <w:rsid w:val="00C3184D"/>
    <w:rsid w:val="00C331FD"/>
    <w:rsid w:val="00C34DCB"/>
    <w:rsid w:val="00C36D0C"/>
    <w:rsid w:val="00C3708D"/>
    <w:rsid w:val="00C403C5"/>
    <w:rsid w:val="00C4138A"/>
    <w:rsid w:val="00C440B4"/>
    <w:rsid w:val="00C446F9"/>
    <w:rsid w:val="00C462CB"/>
    <w:rsid w:val="00C46F39"/>
    <w:rsid w:val="00C47AFE"/>
    <w:rsid w:val="00C5067F"/>
    <w:rsid w:val="00C515C3"/>
    <w:rsid w:val="00C51AA2"/>
    <w:rsid w:val="00C52E43"/>
    <w:rsid w:val="00C56CD4"/>
    <w:rsid w:val="00C609C3"/>
    <w:rsid w:val="00C60E16"/>
    <w:rsid w:val="00C65E4E"/>
    <w:rsid w:val="00C66610"/>
    <w:rsid w:val="00C66648"/>
    <w:rsid w:val="00C66FEF"/>
    <w:rsid w:val="00C70CB4"/>
    <w:rsid w:val="00C727A7"/>
    <w:rsid w:val="00C728D5"/>
    <w:rsid w:val="00C72CF7"/>
    <w:rsid w:val="00C75119"/>
    <w:rsid w:val="00C76DD6"/>
    <w:rsid w:val="00C90B62"/>
    <w:rsid w:val="00C91C08"/>
    <w:rsid w:val="00C959F3"/>
    <w:rsid w:val="00C97F0E"/>
    <w:rsid w:val="00CA06AC"/>
    <w:rsid w:val="00CA1D9E"/>
    <w:rsid w:val="00CA242A"/>
    <w:rsid w:val="00CA27BD"/>
    <w:rsid w:val="00CA2AB6"/>
    <w:rsid w:val="00CA36DE"/>
    <w:rsid w:val="00CA4BCC"/>
    <w:rsid w:val="00CA5313"/>
    <w:rsid w:val="00CB01D6"/>
    <w:rsid w:val="00CB311E"/>
    <w:rsid w:val="00CB71E1"/>
    <w:rsid w:val="00CC0ED3"/>
    <w:rsid w:val="00CC1894"/>
    <w:rsid w:val="00CC2EE2"/>
    <w:rsid w:val="00CC3D03"/>
    <w:rsid w:val="00CC45DB"/>
    <w:rsid w:val="00CC5651"/>
    <w:rsid w:val="00CC73FF"/>
    <w:rsid w:val="00CD141E"/>
    <w:rsid w:val="00CD45DA"/>
    <w:rsid w:val="00CE2EA4"/>
    <w:rsid w:val="00CE5714"/>
    <w:rsid w:val="00CE6138"/>
    <w:rsid w:val="00CE6F59"/>
    <w:rsid w:val="00CE7005"/>
    <w:rsid w:val="00CE7AAB"/>
    <w:rsid w:val="00CF2673"/>
    <w:rsid w:val="00CF2DA1"/>
    <w:rsid w:val="00CF43B1"/>
    <w:rsid w:val="00D0614B"/>
    <w:rsid w:val="00D06AD1"/>
    <w:rsid w:val="00D07DC6"/>
    <w:rsid w:val="00D17549"/>
    <w:rsid w:val="00D23372"/>
    <w:rsid w:val="00D24D97"/>
    <w:rsid w:val="00D275F5"/>
    <w:rsid w:val="00D376F1"/>
    <w:rsid w:val="00D43CA8"/>
    <w:rsid w:val="00D4523D"/>
    <w:rsid w:val="00D4593F"/>
    <w:rsid w:val="00D45BD4"/>
    <w:rsid w:val="00D4775B"/>
    <w:rsid w:val="00D47AB8"/>
    <w:rsid w:val="00D55D94"/>
    <w:rsid w:val="00D56566"/>
    <w:rsid w:val="00D647A4"/>
    <w:rsid w:val="00D6487A"/>
    <w:rsid w:val="00D648BB"/>
    <w:rsid w:val="00D64E04"/>
    <w:rsid w:val="00D65A5E"/>
    <w:rsid w:val="00D669D1"/>
    <w:rsid w:val="00D7049A"/>
    <w:rsid w:val="00D704F6"/>
    <w:rsid w:val="00D722B1"/>
    <w:rsid w:val="00D74A82"/>
    <w:rsid w:val="00D753F6"/>
    <w:rsid w:val="00D7737D"/>
    <w:rsid w:val="00D80897"/>
    <w:rsid w:val="00D81375"/>
    <w:rsid w:val="00D8540E"/>
    <w:rsid w:val="00D85C4D"/>
    <w:rsid w:val="00D8730B"/>
    <w:rsid w:val="00D9072A"/>
    <w:rsid w:val="00D94852"/>
    <w:rsid w:val="00DA039C"/>
    <w:rsid w:val="00DA10B4"/>
    <w:rsid w:val="00DA6EBE"/>
    <w:rsid w:val="00DB27CC"/>
    <w:rsid w:val="00DB2A54"/>
    <w:rsid w:val="00DB4EF9"/>
    <w:rsid w:val="00DC29FE"/>
    <w:rsid w:val="00DC430C"/>
    <w:rsid w:val="00DC60FB"/>
    <w:rsid w:val="00DC7319"/>
    <w:rsid w:val="00DC742E"/>
    <w:rsid w:val="00DD38DC"/>
    <w:rsid w:val="00DD63FF"/>
    <w:rsid w:val="00DE3C9B"/>
    <w:rsid w:val="00DF1BBF"/>
    <w:rsid w:val="00DF3145"/>
    <w:rsid w:val="00DF4B0E"/>
    <w:rsid w:val="00E01E4B"/>
    <w:rsid w:val="00E062B0"/>
    <w:rsid w:val="00E0711E"/>
    <w:rsid w:val="00E0770C"/>
    <w:rsid w:val="00E14DFA"/>
    <w:rsid w:val="00E17EA5"/>
    <w:rsid w:val="00E229DB"/>
    <w:rsid w:val="00E2571A"/>
    <w:rsid w:val="00E26EDC"/>
    <w:rsid w:val="00E2713C"/>
    <w:rsid w:val="00E30B42"/>
    <w:rsid w:val="00E32AB3"/>
    <w:rsid w:val="00E342D7"/>
    <w:rsid w:val="00E34D1F"/>
    <w:rsid w:val="00E35C26"/>
    <w:rsid w:val="00E36467"/>
    <w:rsid w:val="00E410EA"/>
    <w:rsid w:val="00E41D5C"/>
    <w:rsid w:val="00E437F7"/>
    <w:rsid w:val="00E529F9"/>
    <w:rsid w:val="00E55017"/>
    <w:rsid w:val="00E55416"/>
    <w:rsid w:val="00E557D1"/>
    <w:rsid w:val="00E56282"/>
    <w:rsid w:val="00E616BF"/>
    <w:rsid w:val="00E658AA"/>
    <w:rsid w:val="00E6656A"/>
    <w:rsid w:val="00E70D30"/>
    <w:rsid w:val="00E716BA"/>
    <w:rsid w:val="00E75977"/>
    <w:rsid w:val="00E76431"/>
    <w:rsid w:val="00E7686D"/>
    <w:rsid w:val="00E813BA"/>
    <w:rsid w:val="00E8590C"/>
    <w:rsid w:val="00E85F76"/>
    <w:rsid w:val="00E92A8E"/>
    <w:rsid w:val="00E93590"/>
    <w:rsid w:val="00E94506"/>
    <w:rsid w:val="00E95A7B"/>
    <w:rsid w:val="00E969E9"/>
    <w:rsid w:val="00EA01A0"/>
    <w:rsid w:val="00EA155A"/>
    <w:rsid w:val="00EA24D4"/>
    <w:rsid w:val="00EA2851"/>
    <w:rsid w:val="00EA3515"/>
    <w:rsid w:val="00EA55FE"/>
    <w:rsid w:val="00EB0B4F"/>
    <w:rsid w:val="00EB1B59"/>
    <w:rsid w:val="00EB4384"/>
    <w:rsid w:val="00EB6065"/>
    <w:rsid w:val="00EC0826"/>
    <w:rsid w:val="00EC4E99"/>
    <w:rsid w:val="00EC7997"/>
    <w:rsid w:val="00EC7E23"/>
    <w:rsid w:val="00ED3A21"/>
    <w:rsid w:val="00ED54F9"/>
    <w:rsid w:val="00ED6982"/>
    <w:rsid w:val="00EE0218"/>
    <w:rsid w:val="00EE0E54"/>
    <w:rsid w:val="00EE1033"/>
    <w:rsid w:val="00EE114E"/>
    <w:rsid w:val="00EE48C4"/>
    <w:rsid w:val="00EF24BB"/>
    <w:rsid w:val="00EF2B90"/>
    <w:rsid w:val="00EF32F6"/>
    <w:rsid w:val="00EF4114"/>
    <w:rsid w:val="00EF448F"/>
    <w:rsid w:val="00EF4634"/>
    <w:rsid w:val="00EF472E"/>
    <w:rsid w:val="00EF4A5A"/>
    <w:rsid w:val="00EF4EC4"/>
    <w:rsid w:val="00EF66A9"/>
    <w:rsid w:val="00EF74D8"/>
    <w:rsid w:val="00F01898"/>
    <w:rsid w:val="00F05EE0"/>
    <w:rsid w:val="00F06985"/>
    <w:rsid w:val="00F07DE8"/>
    <w:rsid w:val="00F156B3"/>
    <w:rsid w:val="00F15FD8"/>
    <w:rsid w:val="00F21A1A"/>
    <w:rsid w:val="00F22813"/>
    <w:rsid w:val="00F22FC8"/>
    <w:rsid w:val="00F26ADD"/>
    <w:rsid w:val="00F27F36"/>
    <w:rsid w:val="00F31208"/>
    <w:rsid w:val="00F32B8C"/>
    <w:rsid w:val="00F33383"/>
    <w:rsid w:val="00F33D5B"/>
    <w:rsid w:val="00F4030B"/>
    <w:rsid w:val="00F40EAE"/>
    <w:rsid w:val="00F42F65"/>
    <w:rsid w:val="00F444F5"/>
    <w:rsid w:val="00F4602E"/>
    <w:rsid w:val="00F46BCF"/>
    <w:rsid w:val="00F515AF"/>
    <w:rsid w:val="00F53E05"/>
    <w:rsid w:val="00F5550A"/>
    <w:rsid w:val="00F55A56"/>
    <w:rsid w:val="00F56088"/>
    <w:rsid w:val="00F6031D"/>
    <w:rsid w:val="00F61303"/>
    <w:rsid w:val="00F65606"/>
    <w:rsid w:val="00F66614"/>
    <w:rsid w:val="00F67764"/>
    <w:rsid w:val="00F71232"/>
    <w:rsid w:val="00F74722"/>
    <w:rsid w:val="00F75F45"/>
    <w:rsid w:val="00F82957"/>
    <w:rsid w:val="00F83BD2"/>
    <w:rsid w:val="00F857CA"/>
    <w:rsid w:val="00F92C2B"/>
    <w:rsid w:val="00F94241"/>
    <w:rsid w:val="00F945CD"/>
    <w:rsid w:val="00F95ECF"/>
    <w:rsid w:val="00F9792C"/>
    <w:rsid w:val="00F97AAA"/>
    <w:rsid w:val="00FA4AD8"/>
    <w:rsid w:val="00FB2176"/>
    <w:rsid w:val="00FB3597"/>
    <w:rsid w:val="00FB53CA"/>
    <w:rsid w:val="00FC3750"/>
    <w:rsid w:val="00FC487C"/>
    <w:rsid w:val="00FC51A5"/>
    <w:rsid w:val="00FD0B36"/>
    <w:rsid w:val="00FD168A"/>
    <w:rsid w:val="00FD3643"/>
    <w:rsid w:val="00FD553C"/>
    <w:rsid w:val="00FD6F5E"/>
    <w:rsid w:val="00FE087D"/>
    <w:rsid w:val="00FE133D"/>
    <w:rsid w:val="00FE2090"/>
    <w:rsid w:val="00FE359D"/>
    <w:rsid w:val="00FE47EA"/>
    <w:rsid w:val="00FE4D5F"/>
    <w:rsid w:val="00FE7BC4"/>
    <w:rsid w:val="00FF29D4"/>
    <w:rsid w:val="00FF388D"/>
    <w:rsid w:val="2AE80DE9"/>
    <w:rsid w:val="3EB35C02"/>
    <w:rsid w:val="5D952F45"/>
  </w:rsids>
  <m:mathPr>
    <m:mathFont m:val="Cambria Math"/>
    <m:brkBin m:val="before"/>
    <m:brkBinSub m:val="--"/>
    <m:smallFrac m:val="0"/>
    <m:dispDef/>
    <m:lMargin m:val="0"/>
    <m:rMargin m:val="0"/>
    <m:defJc m:val="centerGroup"/>
    <m:wrapIndent m:val="1440"/>
    <m:intLim m:val="subSup"/>
    <m:naryLim m:val="undOvr"/>
  </m:mathPr>
  <w:doNotAutoCompressPictures/>
  <w:themeFontLang w:val="en-GB" w:eastAsia="zh-CN"/>
  <w:clrSchemeMapping w:bg1="light1" w:t1="dark1" w:bg2="light2" w:t2="dark2" w:accent1="accent1" w:accent2="accent2" w:accent3="accent3" w:accent4="accent4" w:accent5="accent5" w:accent6="accent6" w:hyperlink="hyperlink" w:followedHyperlink="followedHyperlink"/>
  <w:doNotIncludeSubdocsInSta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MS Mincho"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nhideWhenUsed="0" w:uiPriority="0" w:name="footnote text"/>
    <w:lsdException w:uiPriority="99" w:name="annotation text"/>
    <w:lsdException w:unhideWhenUsed="0" w:uiPriority="0" w:semiHidden="0" w:name="header"/>
    <w:lsdException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0"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MS Mincho" w:cs="Times New Roman"/>
      <w:sz w:val="24"/>
      <w:szCs w:val="24"/>
      <w:lang w:val="de-DE" w:eastAsia="ja-JP" w:bidi="ar-SA"/>
    </w:rPr>
  </w:style>
  <w:style w:type="character" w:default="1" w:styleId="10">
    <w:name w:val="Default Paragraph Font"/>
    <w:semiHidden/>
    <w:unhideWhenUsed/>
    <w:qFormat/>
    <w:uiPriority w:val="1"/>
  </w:style>
  <w:style w:type="table" w:default="1" w:styleId="8">
    <w:name w:val="Normal Table"/>
    <w:semiHidden/>
    <w:unhideWhenUsed/>
    <w:uiPriority w:val="99"/>
    <w:tblPr>
      <w:tblCellMar>
        <w:top w:w="0" w:type="dxa"/>
        <w:left w:w="108" w:type="dxa"/>
        <w:bottom w:w="0" w:type="dxa"/>
        <w:right w:w="108" w:type="dxa"/>
      </w:tblCellMar>
    </w:tblPr>
  </w:style>
  <w:style w:type="paragraph" w:styleId="2">
    <w:name w:val="annotation text"/>
    <w:basedOn w:val="1"/>
    <w:link w:val="49"/>
    <w:semiHidden/>
    <w:unhideWhenUsed/>
    <w:uiPriority w:val="99"/>
    <w:rPr>
      <w:sz w:val="20"/>
      <w:szCs w:val="20"/>
      <w:lang w:val="zh-CN"/>
    </w:rPr>
  </w:style>
  <w:style w:type="paragraph" w:styleId="3">
    <w:name w:val="Balloon Text"/>
    <w:basedOn w:val="1"/>
    <w:semiHidden/>
    <w:uiPriority w:val="0"/>
    <w:rPr>
      <w:rFonts w:ascii="Tahoma" w:hAnsi="Tahoma" w:cs="Tahoma"/>
      <w:sz w:val="16"/>
      <w:szCs w:val="16"/>
    </w:rPr>
  </w:style>
  <w:style w:type="paragraph" w:styleId="4">
    <w:name w:val="footer"/>
    <w:basedOn w:val="1"/>
    <w:link w:val="51"/>
    <w:uiPriority w:val="99"/>
    <w:pPr>
      <w:tabs>
        <w:tab w:val="center" w:pos="4536"/>
        <w:tab w:val="right" w:pos="9072"/>
      </w:tabs>
    </w:pPr>
  </w:style>
  <w:style w:type="paragraph" w:styleId="5">
    <w:name w:val="header"/>
    <w:basedOn w:val="1"/>
    <w:link w:val="48"/>
    <w:uiPriority w:val="0"/>
    <w:pPr>
      <w:tabs>
        <w:tab w:val="center" w:pos="4536"/>
        <w:tab w:val="right" w:pos="9072"/>
      </w:tabs>
    </w:pPr>
    <w:rPr>
      <w:lang w:val="zh-CN"/>
    </w:rPr>
  </w:style>
  <w:style w:type="paragraph" w:styleId="6">
    <w:name w:val="footnote text"/>
    <w:basedOn w:val="1"/>
    <w:semiHidden/>
    <w:uiPriority w:val="0"/>
    <w:pPr>
      <w:keepLines/>
      <w:widowControl w:val="0"/>
      <w:jc w:val="both"/>
    </w:pPr>
    <w:rPr>
      <w:rFonts w:eastAsia="Times New Roman"/>
      <w:sz w:val="20"/>
      <w:szCs w:val="20"/>
      <w:lang w:val="en-GB" w:eastAsia="ro-RO"/>
    </w:rPr>
  </w:style>
  <w:style w:type="paragraph" w:styleId="7">
    <w:name w:val="annotation subject"/>
    <w:basedOn w:val="2"/>
    <w:next w:val="2"/>
    <w:link w:val="50"/>
    <w:semiHidden/>
    <w:unhideWhenUsed/>
    <w:uiPriority w:val="99"/>
    <w:rPr>
      <w:b/>
      <w:bCs/>
    </w:rPr>
  </w:style>
  <w:style w:type="table" w:styleId="9">
    <w:name w:val="Table Grid"/>
    <w:basedOn w:val="8"/>
    <w:uiPriority w:val="39"/>
    <w:rPr>
      <w:rFonts w:asciiTheme="minorHAnsi" w:hAnsiTheme="minorHAnsi" w:eastAsiaTheme="minorEastAsia" w:cstheme="minorBidi"/>
      <w:kern w:val="2"/>
      <w:sz w:val="21"/>
      <w:szCs w:val="22"/>
      <w:lang w:val="en-US" w:eastAsia="zh-CN"/>
      <w14:ligatures w14:val="standardContextu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Hyperlink"/>
    <w:unhideWhenUsed/>
    <w:uiPriority w:val="99"/>
    <w:rPr>
      <w:color w:val="0000FF"/>
      <w:u w:val="single"/>
    </w:rPr>
  </w:style>
  <w:style w:type="character" w:styleId="12">
    <w:name w:val="annotation reference"/>
    <w:semiHidden/>
    <w:unhideWhenUsed/>
    <w:uiPriority w:val="99"/>
    <w:rPr>
      <w:sz w:val="16"/>
      <w:szCs w:val="16"/>
    </w:rPr>
  </w:style>
  <w:style w:type="paragraph" w:customStyle="1" w:styleId="13">
    <w:name w:val="History"/>
    <w:basedOn w:val="1"/>
    <w:uiPriority w:val="0"/>
    <w:pPr>
      <w:spacing w:before="230" w:after="460" w:line="180" w:lineRule="exact"/>
      <w:jc w:val="right"/>
    </w:pPr>
    <w:rPr>
      <w:rFonts w:ascii="Arial" w:hAnsi="Arial"/>
      <w:sz w:val="14"/>
      <w:szCs w:val="16"/>
    </w:rPr>
  </w:style>
  <w:style w:type="paragraph" w:customStyle="1" w:styleId="14">
    <w:name w:val="References"/>
    <w:basedOn w:val="1"/>
    <w:uiPriority w:val="0"/>
    <w:pPr>
      <w:spacing w:line="200" w:lineRule="exact"/>
      <w:ind w:left="425" w:hanging="425"/>
      <w:jc w:val="both"/>
    </w:pPr>
    <w:rPr>
      <w:sz w:val="15"/>
      <w:szCs w:val="14"/>
      <w:lang w:val="en-GB"/>
    </w:rPr>
  </w:style>
  <w:style w:type="paragraph" w:customStyle="1" w:styleId="15">
    <w:name w:val="HExperimental_Section"/>
    <w:basedOn w:val="1"/>
    <w:uiPriority w:val="0"/>
    <w:pPr>
      <w:spacing w:before="460" w:after="230" w:line="230" w:lineRule="atLeast"/>
    </w:pPr>
    <w:rPr>
      <w:i/>
      <w:szCs w:val="20"/>
    </w:rPr>
  </w:style>
  <w:style w:type="paragraph" w:customStyle="1" w:styleId="16">
    <w:name w:val="ExperimentalSection"/>
    <w:basedOn w:val="1"/>
    <w:uiPriority w:val="0"/>
    <w:pPr>
      <w:spacing w:after="240" w:line="200" w:lineRule="exact"/>
      <w:ind w:firstLine="170"/>
      <w:jc w:val="both"/>
    </w:pPr>
    <w:rPr>
      <w:sz w:val="16"/>
      <w:szCs w:val="14"/>
      <w:lang w:val="en-GB"/>
    </w:rPr>
  </w:style>
  <w:style w:type="paragraph" w:customStyle="1" w:styleId="17">
    <w:name w:val="FNB"/>
    <w:basedOn w:val="1"/>
    <w:link w:val="18"/>
    <w:uiPriority w:val="0"/>
    <w:pPr>
      <w:widowControl w:val="0"/>
      <w:spacing w:after="40" w:line="160" w:lineRule="exact"/>
      <w:ind w:left="567" w:right="4434" w:hanging="567"/>
      <w:jc w:val="both"/>
    </w:pPr>
    <w:rPr>
      <w:rFonts w:ascii="Times" w:hAnsi="Times"/>
      <w:sz w:val="14"/>
      <w:szCs w:val="3276"/>
      <w:lang w:val="en-GB" w:eastAsia="de-DE"/>
    </w:rPr>
  </w:style>
  <w:style w:type="character" w:customStyle="1" w:styleId="18">
    <w:name w:val="FNB Char"/>
    <w:link w:val="17"/>
    <w:uiPriority w:val="0"/>
    <w:rPr>
      <w:rFonts w:ascii="Times" w:hAnsi="Times"/>
      <w:sz w:val="14"/>
      <w:szCs w:val="3276"/>
      <w:lang w:val="en-GB" w:eastAsia="de-DE" w:bidi="ar-SA"/>
    </w:rPr>
  </w:style>
  <w:style w:type="paragraph" w:customStyle="1" w:styleId="19">
    <w:name w:val="Ack"/>
    <w:basedOn w:val="1"/>
    <w:qFormat/>
    <w:uiPriority w:val="0"/>
  </w:style>
  <w:style w:type="paragraph" w:customStyle="1" w:styleId="20">
    <w:name w:val="TableCaption"/>
    <w:basedOn w:val="1"/>
    <w:qFormat/>
    <w:uiPriority w:val="0"/>
    <w:pPr>
      <w:spacing w:after="120" w:line="190" w:lineRule="exact"/>
      <w:jc w:val="both"/>
    </w:pPr>
    <w:rPr>
      <w:rFonts w:ascii="Arial" w:hAnsi="Arial"/>
      <w:sz w:val="16"/>
      <w:szCs w:val="14"/>
      <w:lang w:val="en-GB"/>
    </w:rPr>
  </w:style>
  <w:style w:type="paragraph" w:customStyle="1" w:styleId="21">
    <w:name w:val="TableHead"/>
    <w:basedOn w:val="20"/>
    <w:qFormat/>
    <w:uiPriority w:val="0"/>
    <w:pPr>
      <w:pBdr>
        <w:top w:val="single" w:color="FFFFFF" w:sz="4" w:space="4"/>
        <w:left w:val="single" w:color="FFFFFF" w:sz="4" w:space="4"/>
        <w:bottom w:val="single" w:color="FFFFFF" w:sz="4" w:space="4"/>
        <w:right w:val="single" w:color="FFFFFF" w:sz="4" w:space="4"/>
      </w:pBdr>
      <w:spacing w:after="0"/>
    </w:pPr>
  </w:style>
  <w:style w:type="paragraph" w:customStyle="1" w:styleId="22">
    <w:name w:val="TableBody"/>
    <w:basedOn w:val="21"/>
    <w:qFormat/>
    <w:uiPriority w:val="0"/>
  </w:style>
  <w:style w:type="paragraph" w:customStyle="1" w:styleId="23">
    <w:name w:val="TableFoot"/>
    <w:basedOn w:val="22"/>
    <w:qFormat/>
    <w:uiPriority w:val="0"/>
    <w:pPr>
      <w:spacing w:before="60" w:after="60"/>
    </w:pPr>
  </w:style>
  <w:style w:type="paragraph" w:customStyle="1" w:styleId="24">
    <w:name w:val="SchemeCaption"/>
    <w:basedOn w:val="1"/>
    <w:qFormat/>
    <w:uiPriority w:val="0"/>
    <w:pPr>
      <w:spacing w:before="230" w:after="460" w:line="190" w:lineRule="exact"/>
      <w:jc w:val="both"/>
    </w:pPr>
    <w:rPr>
      <w:rFonts w:ascii="Arial" w:hAnsi="Arial"/>
      <w:sz w:val="16"/>
      <w:szCs w:val="14"/>
      <w:lang w:val="en-GB"/>
    </w:rPr>
  </w:style>
  <w:style w:type="paragraph" w:customStyle="1" w:styleId="25">
    <w:name w:val="STOE"/>
    <w:basedOn w:val="1"/>
    <w:link w:val="26"/>
    <w:uiPriority w:val="0"/>
    <w:pPr>
      <w:widowControl w:val="0"/>
      <w:spacing w:line="236" w:lineRule="exact"/>
      <w:ind w:right="4434"/>
      <w:jc w:val="both"/>
    </w:pPr>
    <w:rPr>
      <w:rFonts w:ascii="Times" w:hAnsi="Times"/>
      <w:sz w:val="18"/>
      <w:szCs w:val="3276"/>
      <w:lang w:val="en-GB" w:eastAsia="de-DE"/>
    </w:rPr>
  </w:style>
  <w:style w:type="character" w:customStyle="1" w:styleId="26">
    <w:name w:val="STOE Char1"/>
    <w:link w:val="25"/>
    <w:uiPriority w:val="0"/>
    <w:rPr>
      <w:rFonts w:ascii="Times" w:hAnsi="Times"/>
      <w:sz w:val="18"/>
      <w:szCs w:val="3276"/>
      <w:lang w:val="en-GB" w:eastAsia="de-DE" w:bidi="ar-SA"/>
    </w:rPr>
  </w:style>
  <w:style w:type="paragraph" w:customStyle="1" w:styleId="27">
    <w:name w:val="Title1"/>
    <w:basedOn w:val="1"/>
    <w:uiPriority w:val="0"/>
    <w:rPr>
      <w:b/>
      <w:lang w:val="en-US"/>
    </w:rPr>
  </w:style>
  <w:style w:type="paragraph" w:customStyle="1" w:styleId="28">
    <w:name w:val="Authors Full"/>
    <w:basedOn w:val="1"/>
    <w:uiPriority w:val="0"/>
    <w:rPr>
      <w:i/>
      <w:lang w:val="en-US"/>
    </w:rPr>
  </w:style>
  <w:style w:type="paragraph" w:customStyle="1" w:styleId="29">
    <w:name w:val="dedication"/>
    <w:basedOn w:val="1"/>
    <w:uiPriority w:val="0"/>
    <w:rPr>
      <w:i/>
      <w:lang w:val="en-US"/>
    </w:rPr>
  </w:style>
  <w:style w:type="paragraph" w:customStyle="1" w:styleId="30">
    <w:name w:val="Addresses"/>
    <w:basedOn w:val="1"/>
    <w:uiPriority w:val="0"/>
    <w:rPr>
      <w:lang w:val="en-US"/>
    </w:rPr>
  </w:style>
  <w:style w:type="paragraph" w:customStyle="1" w:styleId="31">
    <w:name w:val="Acknowledgements"/>
    <w:basedOn w:val="1"/>
    <w:uiPriority w:val="0"/>
    <w:rPr>
      <w:lang w:val="en-US"/>
    </w:rPr>
  </w:style>
  <w:style w:type="paragraph" w:customStyle="1" w:styleId="32">
    <w:name w:val="Abstract"/>
    <w:basedOn w:val="1"/>
    <w:autoRedefine/>
    <w:uiPriority w:val="0"/>
    <w:pPr>
      <w:spacing w:line="480" w:lineRule="auto"/>
    </w:pPr>
    <w:rPr>
      <w:lang w:val="en-US"/>
    </w:rPr>
  </w:style>
  <w:style w:type="paragraph" w:customStyle="1" w:styleId="33">
    <w:name w:val="Head 1"/>
    <w:basedOn w:val="1"/>
    <w:autoRedefine/>
    <w:uiPriority w:val="0"/>
    <w:pPr>
      <w:spacing w:line="360" w:lineRule="auto"/>
    </w:pPr>
    <w:rPr>
      <w:b/>
      <w:lang w:val="en-US"/>
    </w:rPr>
  </w:style>
  <w:style w:type="paragraph" w:customStyle="1" w:styleId="34">
    <w:name w:val="Head 2"/>
    <w:basedOn w:val="1"/>
    <w:autoRedefine/>
    <w:uiPriority w:val="0"/>
    <w:pPr>
      <w:spacing w:line="360" w:lineRule="auto"/>
    </w:pPr>
    <w:rPr>
      <w:i/>
      <w:lang w:val="en-US"/>
    </w:rPr>
  </w:style>
  <w:style w:type="paragraph" w:customStyle="1" w:styleId="35">
    <w:name w:val="dates"/>
    <w:basedOn w:val="1"/>
    <w:uiPriority w:val="0"/>
    <w:pPr>
      <w:jc w:val="right"/>
    </w:pPr>
    <w:rPr>
      <w:lang w:val="en-US"/>
    </w:rPr>
  </w:style>
  <w:style w:type="paragraph" w:customStyle="1" w:styleId="36">
    <w:name w:val="Literature"/>
    <w:basedOn w:val="1"/>
    <w:uiPriority w:val="0"/>
    <w:pPr>
      <w:spacing w:line="480" w:lineRule="auto"/>
    </w:pPr>
  </w:style>
  <w:style w:type="paragraph" w:customStyle="1" w:styleId="37">
    <w:name w:val="Legend"/>
    <w:basedOn w:val="1"/>
    <w:uiPriority w:val="0"/>
    <w:rPr>
      <w:lang w:val="en-US"/>
    </w:rPr>
  </w:style>
  <w:style w:type="paragraph" w:customStyle="1" w:styleId="38">
    <w:name w:val="Main Text"/>
    <w:basedOn w:val="1"/>
    <w:link w:val="42"/>
    <w:uiPriority w:val="0"/>
    <w:pPr>
      <w:spacing w:line="480" w:lineRule="auto"/>
    </w:pPr>
    <w:rPr>
      <w:lang w:val="en-US"/>
    </w:rPr>
  </w:style>
  <w:style w:type="paragraph" w:customStyle="1" w:styleId="39">
    <w:name w:val="Table of contents"/>
    <w:basedOn w:val="1"/>
    <w:autoRedefine/>
    <w:uiPriority w:val="0"/>
    <w:rPr>
      <w:lang w:val="en-US"/>
    </w:rPr>
  </w:style>
  <w:style w:type="paragraph" w:customStyle="1" w:styleId="40">
    <w:name w:val="Experimental Text"/>
    <w:basedOn w:val="1"/>
    <w:link w:val="41"/>
    <w:uiPriority w:val="0"/>
    <w:pPr>
      <w:spacing w:line="480" w:lineRule="auto"/>
    </w:pPr>
    <w:rPr>
      <w:lang w:val="en-US"/>
    </w:rPr>
  </w:style>
  <w:style w:type="character" w:customStyle="1" w:styleId="41">
    <w:name w:val="Experimental Text Char"/>
    <w:link w:val="40"/>
    <w:uiPriority w:val="0"/>
    <w:rPr>
      <w:rFonts w:eastAsia="MS Mincho"/>
      <w:sz w:val="24"/>
      <w:szCs w:val="24"/>
      <w:lang w:val="en-US" w:eastAsia="ja-JP" w:bidi="ar-SA"/>
    </w:rPr>
  </w:style>
  <w:style w:type="character" w:customStyle="1" w:styleId="42">
    <w:name w:val="Main Text Char"/>
    <w:link w:val="38"/>
    <w:uiPriority w:val="0"/>
    <w:rPr>
      <w:rFonts w:eastAsia="MS Mincho"/>
      <w:sz w:val="24"/>
      <w:szCs w:val="24"/>
      <w:lang w:val="en-US" w:eastAsia="ja-JP" w:bidi="ar-SA"/>
    </w:rPr>
  </w:style>
  <w:style w:type="paragraph" w:customStyle="1" w:styleId="43">
    <w:name w:val="Title2"/>
    <w:basedOn w:val="1"/>
    <w:uiPriority w:val="0"/>
    <w:rPr>
      <w:b/>
      <w:lang w:val="en-US"/>
    </w:rPr>
  </w:style>
  <w:style w:type="paragraph" w:customStyle="1" w:styleId="44">
    <w:name w:val="Dedication"/>
    <w:basedOn w:val="1"/>
    <w:autoRedefine/>
    <w:uiPriority w:val="0"/>
    <w:rPr>
      <w:lang w:val="en-US"/>
    </w:rPr>
  </w:style>
  <w:style w:type="paragraph" w:customStyle="1" w:styleId="45">
    <w:name w:val="Main text"/>
    <w:basedOn w:val="1"/>
    <w:link w:val="46"/>
    <w:autoRedefine/>
    <w:uiPriority w:val="0"/>
    <w:pPr>
      <w:spacing w:line="480" w:lineRule="auto"/>
    </w:pPr>
    <w:rPr>
      <w:lang w:val="en-US"/>
    </w:rPr>
  </w:style>
  <w:style w:type="character" w:customStyle="1" w:styleId="46">
    <w:name w:val="Main text Char"/>
    <w:link w:val="45"/>
    <w:uiPriority w:val="0"/>
    <w:rPr>
      <w:sz w:val="24"/>
      <w:szCs w:val="24"/>
      <w:lang w:val="en-US" w:eastAsia="ja-JP"/>
    </w:rPr>
  </w:style>
  <w:style w:type="paragraph" w:customStyle="1" w:styleId="47">
    <w:name w:val="Biography"/>
    <w:basedOn w:val="1"/>
    <w:autoRedefine/>
    <w:uiPriority w:val="0"/>
    <w:rPr>
      <w:i/>
      <w:lang w:val="en-US"/>
    </w:rPr>
  </w:style>
  <w:style w:type="character" w:customStyle="1" w:styleId="48">
    <w:name w:val="页眉 字符"/>
    <w:link w:val="5"/>
    <w:uiPriority w:val="0"/>
    <w:rPr>
      <w:sz w:val="24"/>
      <w:szCs w:val="24"/>
      <w:lang w:eastAsia="ja-JP"/>
    </w:rPr>
  </w:style>
  <w:style w:type="character" w:customStyle="1" w:styleId="49">
    <w:name w:val="批注文字 字符"/>
    <w:link w:val="2"/>
    <w:semiHidden/>
    <w:uiPriority w:val="99"/>
    <w:rPr>
      <w:lang w:eastAsia="ja-JP"/>
    </w:rPr>
  </w:style>
  <w:style w:type="character" w:customStyle="1" w:styleId="50">
    <w:name w:val="批注主题 字符"/>
    <w:link w:val="7"/>
    <w:semiHidden/>
    <w:uiPriority w:val="99"/>
    <w:rPr>
      <w:b/>
      <w:bCs/>
      <w:lang w:eastAsia="ja-JP"/>
    </w:rPr>
  </w:style>
  <w:style w:type="character" w:customStyle="1" w:styleId="51">
    <w:name w:val="页脚 字符"/>
    <w:link w:val="4"/>
    <w:uiPriority w:val="99"/>
    <w:rPr>
      <w:sz w:val="24"/>
      <w:szCs w:val="24"/>
      <w:lang w:eastAsia="ja-JP"/>
    </w:rPr>
  </w:style>
  <w:style w:type="character" w:customStyle="1" w:styleId="52">
    <w:name w:val="Unresolved Mention"/>
    <w:basedOn w:val="10"/>
    <w:semiHidden/>
    <w:unhideWhenUsed/>
    <w:uiPriority w:val="99"/>
    <w:rPr>
      <w:color w:val="605E5C"/>
      <w:shd w:val="clear" w:color="auto" w:fill="E1DFDD"/>
    </w:rPr>
  </w:style>
  <w:style w:type="paragraph" w:customStyle="1" w:styleId="53">
    <w:name w:val="EndNote Bibliography"/>
    <w:basedOn w:val="1"/>
    <w:link w:val="54"/>
    <w:uiPriority w:val="0"/>
    <w:pPr>
      <w:widowControl w:val="0"/>
      <w:jc w:val="both"/>
    </w:pPr>
    <w:rPr>
      <w:rFonts w:eastAsia="等线"/>
      <w:kern w:val="2"/>
      <w:sz w:val="20"/>
      <w:szCs w:val="22"/>
      <w:lang w:val="en-US" w:eastAsia="zh-CN"/>
      <w14:ligatures w14:val="standardContextual"/>
    </w:rPr>
  </w:style>
  <w:style w:type="character" w:customStyle="1" w:styleId="54">
    <w:name w:val="EndNote Bibliography 字符"/>
    <w:basedOn w:val="10"/>
    <w:link w:val="53"/>
    <w:uiPriority w:val="0"/>
    <w:rPr>
      <w:rFonts w:eastAsia="等线"/>
      <w:kern w:val="2"/>
      <w:szCs w:val="22"/>
      <w:lang w:val="en-US" w:eastAsia="zh-CN"/>
      <w14:ligatures w14:val="standardContextual"/>
    </w:rPr>
  </w:style>
</w:styles>
</file>

<file path=word/_rels/document.xml.rels><?xml version="1.0" encoding="UTF-8" standalone="yes"?>
<Relationships xmlns="http://schemas.openxmlformats.org/package/2006/relationships"><Relationship Id="rId9" Type="http://schemas.openxmlformats.org/officeDocument/2006/relationships/image" Target="media/image4.tiff"/><Relationship Id="rId8" Type="http://schemas.openxmlformats.org/officeDocument/2006/relationships/image" Target="media/image3.tiff"/><Relationship Id="rId7" Type="http://schemas.openxmlformats.org/officeDocument/2006/relationships/image" Target="media/image2.tiff"/><Relationship Id="rId6" Type="http://schemas.openxmlformats.org/officeDocument/2006/relationships/image" Target="media/image1.tiff"/><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4.xml"/><Relationship Id="rId16" Type="http://schemas.openxmlformats.org/officeDocument/2006/relationships/customXml" Target="../customXml/item3.xml"/><Relationship Id="rId15" Type="http://schemas.openxmlformats.org/officeDocument/2006/relationships/customXml" Target="../customXml/item2.xml"/><Relationship Id="rId14" Type="http://schemas.openxmlformats.org/officeDocument/2006/relationships/customXml" Target="../customXml/item1.xml"/><Relationship Id="rId13" Type="http://schemas.openxmlformats.org/officeDocument/2006/relationships/image" Target="media/image8.tiff"/><Relationship Id="rId12" Type="http://schemas.openxmlformats.org/officeDocument/2006/relationships/image" Target="media/image7.tiff"/><Relationship Id="rId11" Type="http://schemas.openxmlformats.org/officeDocument/2006/relationships/image" Target="media/image6.tiff"/><Relationship Id="rId10" Type="http://schemas.openxmlformats.org/officeDocument/2006/relationships/image" Target="media/image5.tiff"/><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6D19C85-73BE-4F5D-979F-58BFDE5BBE12}">
  <ds:schemaRefs/>
</ds:datastoreItem>
</file>

<file path=customXml/itemProps2.xml><?xml version="1.0" encoding="utf-8"?>
<ds:datastoreItem xmlns:ds="http://schemas.openxmlformats.org/officeDocument/2006/customXml" ds:itemID="{C86C925C-E763-4769-9959-2FEDA6D7CE8A}">
  <ds:schemaRefs/>
</ds:datastoreItem>
</file>

<file path=customXml/itemProps3.xml><?xml version="1.0" encoding="utf-8"?>
<ds:datastoreItem xmlns:ds="http://schemas.openxmlformats.org/officeDocument/2006/customXml" ds:itemID="{E3F19EBF-8207-4BE7-AD18-240ED1895C11}">
  <ds:schemaRefs/>
</ds:datastoreItem>
</file>

<file path=customXml/itemProps4.xml><?xml version="1.0" encoding="utf-8"?>
<ds:datastoreItem xmlns:ds="http://schemas.openxmlformats.org/officeDocument/2006/customXml" ds:itemID="{75886F76-A765-4714-B899-7AC2DC4334A1}">
  <ds:schemaRefs/>
</ds:datastoreItem>
</file>

<file path=docProps/app.xml><?xml version="1.0" encoding="utf-8"?>
<Properties xmlns="http://schemas.openxmlformats.org/officeDocument/2006/extended-properties" xmlns:vt="http://schemas.openxmlformats.org/officeDocument/2006/docPropsVTypes">
  <Template>Normal</Template>
  <Pages>14</Pages>
  <Words>1851</Words>
  <Characters>9683</Characters>
  <Lines>153</Lines>
  <Paragraphs>43</Paragraphs>
  <TotalTime>0</TotalTime>
  <ScaleCrop>false</ScaleCrop>
  <LinksUpToDate>false</LinksUpToDate>
  <CharactersWithSpaces>11392</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2024-05-07T02:09:00Z</dcterms:created>
  <dcterms:modified xsi:type="dcterms:W3CDTF">2024-06-07T01:09:34Z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KSOProductBuildVer">
    <vt:lpwstr>2052-12.1.0.16929</vt:lpwstr>
  </property>
  <property fmtid="{D5CDD505-2E9C-101B-9397-08002B2CF9AE}" pid="4" name="ICV">
    <vt:lpwstr>53E254ADB3214E99869F4DF6149C69F5_13</vt:lpwstr>
  </property>
</Properties>
</file>