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30B" w:rsidRDefault="00DE030B" w:rsidP="000F297B">
      <w:pPr>
        <w:suppressLineNumbers/>
        <w:spacing w:line="240" w:lineRule="auto"/>
        <w:rPr>
          <w:rFonts w:cs="Arial"/>
          <w:b/>
          <w:bCs/>
          <w:caps/>
          <w:kern w:val="32"/>
        </w:rPr>
      </w:pPr>
    </w:p>
    <w:p w:rsidR="00DE030B" w:rsidRDefault="00DE030B" w:rsidP="00C07F4E">
      <w:pPr>
        <w:rPr>
          <w:b/>
        </w:rPr>
      </w:pPr>
      <w:r w:rsidRPr="008520A0">
        <w:rPr>
          <w:b/>
        </w:rPr>
        <w:t xml:space="preserve">Long-Term Survival </w:t>
      </w:r>
      <w:proofErr w:type="gramStart"/>
      <w:r w:rsidRPr="008520A0">
        <w:rPr>
          <w:b/>
        </w:rPr>
        <w:t>With</w:t>
      </w:r>
      <w:proofErr w:type="gramEnd"/>
      <w:r>
        <w:t xml:space="preserve"> </w:t>
      </w:r>
      <w:r>
        <w:rPr>
          <w:rFonts w:cs="Arial"/>
          <w:b/>
        </w:rPr>
        <w:t>Sebelipase Alfa Enzyme Replacement Therapy in Infants With Rapidly Progressive Lysosomal Acid Lipase Deficiency: Final Results From 2 Open-Label Studies</w:t>
      </w:r>
    </w:p>
    <w:p w:rsidR="00DE030B" w:rsidRDefault="00DE030B" w:rsidP="00565396">
      <w:pPr>
        <w:jc w:val="center"/>
      </w:pPr>
    </w:p>
    <w:p w:rsidR="00DE030B" w:rsidRDefault="00DE030B" w:rsidP="00C07F4E">
      <w:pPr>
        <w:tabs>
          <w:tab w:val="clear" w:pos="0"/>
        </w:tabs>
        <w:spacing w:line="360" w:lineRule="auto"/>
        <w:outlineLvl w:val="9"/>
        <w:rPr>
          <w:b/>
        </w:rPr>
      </w:pPr>
      <w:r w:rsidRPr="00D07836">
        <w:rPr>
          <w:rFonts w:cs="Arial"/>
        </w:rPr>
        <w:t xml:space="preserve">Suresh </w:t>
      </w:r>
      <w:r w:rsidRPr="00C07F4E">
        <w:rPr>
          <w:rFonts w:cs="Arial"/>
        </w:rPr>
        <w:t>Vijay,</w:t>
      </w:r>
      <w:r w:rsidR="00C07F4E" w:rsidRPr="00C07F4E">
        <w:rPr>
          <w:rFonts w:cs="Arial"/>
        </w:rPr>
        <w:t xml:space="preserve"> et al</w:t>
      </w:r>
      <w:r>
        <w:rPr>
          <w:b/>
        </w:rPr>
        <w:br w:type="page"/>
      </w:r>
    </w:p>
    <w:p w:rsidR="00DE030B" w:rsidRPr="00A24CEB" w:rsidRDefault="00DE030B" w:rsidP="00565396">
      <w:pPr>
        <w:spacing w:after="120"/>
        <w:rPr>
          <w:b/>
        </w:rPr>
      </w:pPr>
      <w:bookmarkStart w:id="0" w:name="_GoBack"/>
      <w:bookmarkEnd w:id="0"/>
      <w:r w:rsidRPr="00294319">
        <w:rPr>
          <w:b/>
        </w:rPr>
        <w:lastRenderedPageBreak/>
        <w:t>SUPPLEMENTARY APPENDIX</w:t>
      </w:r>
    </w:p>
    <w:p w:rsidR="00DE030B" w:rsidRPr="00A24CEB" w:rsidRDefault="00DE030B" w:rsidP="00565396">
      <w:pPr>
        <w:spacing w:after="120"/>
        <w:rPr>
          <w:b/>
        </w:rPr>
      </w:pPr>
    </w:p>
    <w:p w:rsidR="00DE030B" w:rsidRPr="009D19D1" w:rsidRDefault="00DE030B" w:rsidP="00565396">
      <w:pPr>
        <w:spacing w:after="120"/>
        <w:rPr>
          <w:b/>
        </w:rPr>
      </w:pPr>
      <w:r w:rsidRPr="004D6CD3">
        <w:rPr>
          <w:b/>
        </w:rPr>
        <w:t>Protocol-</w:t>
      </w:r>
      <w:r>
        <w:rPr>
          <w:b/>
        </w:rPr>
        <w:t>D</w:t>
      </w:r>
      <w:r w:rsidRPr="004D6CD3">
        <w:rPr>
          <w:b/>
        </w:rPr>
        <w:t xml:space="preserve">efined </w:t>
      </w:r>
      <w:r>
        <w:rPr>
          <w:b/>
        </w:rPr>
        <w:t>D</w:t>
      </w:r>
      <w:r w:rsidRPr="004D6CD3">
        <w:rPr>
          <w:b/>
        </w:rPr>
        <w:t xml:space="preserve">ose </w:t>
      </w:r>
      <w:r>
        <w:rPr>
          <w:b/>
        </w:rPr>
        <w:t>E</w:t>
      </w:r>
      <w:r w:rsidRPr="004D6CD3">
        <w:rPr>
          <w:b/>
        </w:rPr>
        <w:t xml:space="preserve">scalation </w:t>
      </w:r>
      <w:r>
        <w:rPr>
          <w:b/>
        </w:rPr>
        <w:t>C</w:t>
      </w:r>
      <w:r w:rsidRPr="004D6CD3">
        <w:rPr>
          <w:b/>
        </w:rPr>
        <w:t>rite</w:t>
      </w:r>
      <w:r w:rsidRPr="009D19D1">
        <w:rPr>
          <w:b/>
        </w:rPr>
        <w:t>ria</w:t>
      </w:r>
    </w:p>
    <w:p w:rsidR="00DE030B" w:rsidRPr="00294319" w:rsidRDefault="00DE030B" w:rsidP="00565396">
      <w:pPr>
        <w:spacing w:after="120"/>
        <w:rPr>
          <w:i/>
        </w:rPr>
      </w:pPr>
      <w:r w:rsidRPr="00294319">
        <w:rPr>
          <w:i/>
        </w:rPr>
        <w:t>VITAL</w:t>
      </w:r>
    </w:p>
    <w:p w:rsidR="00DE030B" w:rsidRDefault="00DE030B" w:rsidP="00565396">
      <w:pPr>
        <w:spacing w:after="120"/>
      </w:pPr>
      <w:r w:rsidRPr="00294319">
        <w:t>Prior</w:t>
      </w:r>
      <w:r w:rsidRPr="00A24CEB">
        <w:t xml:space="preserve"> </w:t>
      </w:r>
      <w:r w:rsidRPr="00294319">
        <w:t xml:space="preserve">to considering a dose increase, the </w:t>
      </w:r>
      <w:r>
        <w:t>patient</w:t>
      </w:r>
      <w:r w:rsidRPr="00294319">
        <w:t xml:space="preserve"> was to be evaluated for other potential causes of any</w:t>
      </w:r>
      <w:r w:rsidRPr="00A24CEB">
        <w:t xml:space="preserve"> </w:t>
      </w:r>
      <w:r w:rsidRPr="00294319">
        <w:t>observed clinical manifestations, which could include missed study infusions, onset of acute</w:t>
      </w:r>
      <w:r w:rsidRPr="00A24CEB">
        <w:t xml:space="preserve"> </w:t>
      </w:r>
      <w:r w:rsidRPr="00294319">
        <w:t xml:space="preserve">cholecystitis or initiation of a potentially hepatotoxic concomitant medication in a </w:t>
      </w:r>
      <w:r>
        <w:t>patient</w:t>
      </w:r>
      <w:r w:rsidRPr="00294319">
        <w:t xml:space="preserve"> with</w:t>
      </w:r>
      <w:r w:rsidRPr="00A24CEB">
        <w:t xml:space="preserve"> </w:t>
      </w:r>
      <w:r w:rsidRPr="00294319">
        <w:t xml:space="preserve">elevated </w:t>
      </w:r>
      <w:r>
        <w:t>alanine aminotransferase (</w:t>
      </w:r>
      <w:r w:rsidRPr="00294319">
        <w:t>ALT</w:t>
      </w:r>
      <w:r>
        <w:t>)</w:t>
      </w:r>
      <w:r w:rsidRPr="00294319">
        <w:t xml:space="preserve">, or concomitant illness in a </w:t>
      </w:r>
      <w:r>
        <w:t>patient</w:t>
      </w:r>
      <w:r w:rsidRPr="00294319">
        <w:t xml:space="preserve"> with reduced weight</w:t>
      </w:r>
      <w:r w:rsidRPr="00A24CEB">
        <w:t xml:space="preserve"> </w:t>
      </w:r>
      <w:r w:rsidRPr="00294319">
        <w:t>gain</w:t>
      </w:r>
      <w:r w:rsidRPr="00A24CEB">
        <w:t>,</w:t>
      </w:r>
      <w:r w:rsidRPr="00294319">
        <w:t xml:space="preserve"> such as an upper respiratory tract infection or other childhood viral infection.</w:t>
      </w:r>
    </w:p>
    <w:p w:rsidR="00DE030B" w:rsidRPr="00294319" w:rsidRDefault="00DE030B" w:rsidP="00565396">
      <w:pPr>
        <w:spacing w:after="120"/>
      </w:pPr>
    </w:p>
    <w:p w:rsidR="00DE030B" w:rsidRPr="00294319" w:rsidRDefault="00DE030B" w:rsidP="00565396">
      <w:pPr>
        <w:spacing w:after="120"/>
      </w:pPr>
      <w:r w:rsidRPr="00294319">
        <w:t xml:space="preserve">Within a </w:t>
      </w:r>
      <w:r>
        <w:t>patient</w:t>
      </w:r>
      <w:r w:rsidRPr="00294319">
        <w:t xml:space="preserve">'s first 3 months of treatment, </w:t>
      </w:r>
      <w:r>
        <w:t>the patient</w:t>
      </w:r>
      <w:r w:rsidRPr="00294319">
        <w:t xml:space="preserve"> could be considered for dose escalation to</w:t>
      </w:r>
      <w:r w:rsidRPr="00A24CEB">
        <w:t xml:space="preserve"> </w:t>
      </w:r>
      <w:r w:rsidRPr="00294319">
        <w:t>3</w:t>
      </w:r>
      <w:r>
        <w:t>.0</w:t>
      </w:r>
      <w:r w:rsidRPr="00294319">
        <w:t xml:space="preserve"> </w:t>
      </w:r>
      <w:r w:rsidRPr="00AF3C34">
        <w:t xml:space="preserve">mg/kg </w:t>
      </w:r>
      <w:r>
        <w:t>once weekly (</w:t>
      </w:r>
      <w:r w:rsidRPr="00AF3C34">
        <w:t>qw</w:t>
      </w:r>
      <w:r>
        <w:t>)</w:t>
      </w:r>
      <w:r w:rsidRPr="00AF3C34">
        <w:t xml:space="preserve"> if </w:t>
      </w:r>
      <w:r>
        <w:t>the patient</w:t>
      </w:r>
      <w:r w:rsidRPr="00AF3C34">
        <w:t xml:space="preserve"> met 2 or more of the following criteria after receiving at least 4 infusi</w:t>
      </w:r>
      <w:r w:rsidRPr="00294319">
        <w:t>ons at</w:t>
      </w:r>
      <w:r w:rsidRPr="00A24CEB">
        <w:t xml:space="preserve"> </w:t>
      </w:r>
      <w:r w:rsidRPr="00294319">
        <w:t>a dose of 1</w:t>
      </w:r>
      <w:r>
        <w:t>.0</w:t>
      </w:r>
      <w:r w:rsidRPr="00294319">
        <w:t xml:space="preserve"> mg/</w:t>
      </w:r>
      <w:r w:rsidRPr="00F37EFF">
        <w:t>kg</w:t>
      </w:r>
      <w:r>
        <w:t xml:space="preserve"> </w:t>
      </w:r>
      <w:r w:rsidRPr="00F37EFF">
        <w:t>qw:</w:t>
      </w:r>
    </w:p>
    <w:p w:rsidR="00DE030B" w:rsidRPr="00294319" w:rsidRDefault="00DE030B" w:rsidP="00565396">
      <w:pPr>
        <w:pStyle w:val="ListParagraph"/>
        <w:numPr>
          <w:ilvl w:val="0"/>
          <w:numId w:val="6"/>
        </w:numPr>
        <w:spacing w:after="120" w:line="480" w:lineRule="auto"/>
      </w:pPr>
      <w:r w:rsidRPr="00294319">
        <w:t>Fa</w:t>
      </w:r>
      <w:r w:rsidRPr="00A24CEB">
        <w:t>ilure to gain an average of 5 g</w:t>
      </w:r>
      <w:r w:rsidRPr="00294319">
        <w:t xml:space="preserve">/kg body weight per day AND the presence of </w:t>
      </w:r>
      <w:r w:rsidRPr="00A24CEB">
        <w:t xml:space="preserve">either </w:t>
      </w:r>
      <w:r w:rsidRPr="00294319">
        <w:t>of the following:</w:t>
      </w:r>
    </w:p>
    <w:p w:rsidR="00DE030B" w:rsidRPr="00294319" w:rsidRDefault="00DE030B" w:rsidP="00565396">
      <w:pPr>
        <w:pStyle w:val="ListParagraph"/>
        <w:numPr>
          <w:ilvl w:val="1"/>
          <w:numId w:val="6"/>
        </w:numPr>
        <w:spacing w:after="120" w:line="480" w:lineRule="auto"/>
      </w:pPr>
      <w:r>
        <w:t>World Health Organization (</w:t>
      </w:r>
      <w:r w:rsidRPr="00294319">
        <w:t>WHO</w:t>
      </w:r>
      <w:r>
        <w:t>)</w:t>
      </w:r>
      <w:r w:rsidRPr="00294319">
        <w:t xml:space="preserve"> weight-for-length or weight-for-height </w:t>
      </w:r>
      <w:r w:rsidRPr="00294319">
        <w:rPr>
          <w:i/>
        </w:rPr>
        <w:t>z</w:t>
      </w:r>
      <w:r>
        <w:t xml:space="preserve"> </w:t>
      </w:r>
      <w:r w:rsidRPr="00294319">
        <w:t xml:space="preserve">score </w:t>
      </w:r>
      <w:r>
        <w:t xml:space="preserve">less than </w:t>
      </w:r>
      <w:r>
        <w:rPr>
          <w:rFonts w:cs="Arial"/>
        </w:rPr>
        <w:t>−</w:t>
      </w:r>
      <w:r w:rsidRPr="00294319">
        <w:t>2</w:t>
      </w:r>
    </w:p>
    <w:p w:rsidR="00DE030B" w:rsidRPr="00A24CEB" w:rsidRDefault="00DE030B" w:rsidP="00565396">
      <w:pPr>
        <w:pStyle w:val="ListParagraph"/>
        <w:numPr>
          <w:ilvl w:val="1"/>
          <w:numId w:val="6"/>
        </w:numPr>
        <w:spacing w:after="120" w:line="480" w:lineRule="auto"/>
      </w:pPr>
      <w:r w:rsidRPr="00294319">
        <w:t xml:space="preserve">WHO length-for-age or height-for-age </w:t>
      </w:r>
      <w:r w:rsidRPr="00294319">
        <w:rPr>
          <w:i/>
        </w:rPr>
        <w:t>z</w:t>
      </w:r>
      <w:r>
        <w:t xml:space="preserve"> </w:t>
      </w:r>
      <w:r w:rsidRPr="00294319">
        <w:t>score</w:t>
      </w:r>
      <w:r>
        <w:t xml:space="preserve"> less than </w:t>
      </w:r>
      <w:r>
        <w:rPr>
          <w:rFonts w:cs="Arial"/>
        </w:rPr>
        <w:t>−</w:t>
      </w:r>
      <w:r w:rsidRPr="00294319">
        <w:t>2</w:t>
      </w:r>
    </w:p>
    <w:p w:rsidR="00DE030B" w:rsidRPr="00294319" w:rsidRDefault="00DE030B" w:rsidP="00565396">
      <w:pPr>
        <w:pStyle w:val="ListParagraph"/>
        <w:numPr>
          <w:ilvl w:val="0"/>
          <w:numId w:val="6"/>
        </w:numPr>
        <w:spacing w:after="120" w:line="480" w:lineRule="auto"/>
      </w:pPr>
      <w:r w:rsidRPr="00294319">
        <w:t xml:space="preserve">Albumin </w:t>
      </w:r>
      <w:r>
        <w:t xml:space="preserve">less than </w:t>
      </w:r>
      <w:r w:rsidRPr="00294319">
        <w:t>3.5 g/dL</w:t>
      </w:r>
    </w:p>
    <w:p w:rsidR="00DE030B" w:rsidRPr="00294319" w:rsidRDefault="00DE030B" w:rsidP="00565396">
      <w:pPr>
        <w:pStyle w:val="ListParagraph"/>
        <w:keepNext/>
        <w:numPr>
          <w:ilvl w:val="0"/>
          <w:numId w:val="6"/>
        </w:numPr>
        <w:spacing w:after="120" w:line="480" w:lineRule="auto"/>
      </w:pPr>
      <w:r w:rsidRPr="00294319">
        <w:t>A</w:t>
      </w:r>
      <w:r w:rsidRPr="00A24CEB">
        <w:t>LT</w:t>
      </w:r>
      <w:r w:rsidRPr="00294319">
        <w:t xml:space="preserve"> </w:t>
      </w:r>
      <w:r>
        <w:t>more than</w:t>
      </w:r>
      <w:r w:rsidRPr="00294319">
        <w:t xml:space="preserve"> </w:t>
      </w:r>
      <w:r>
        <w:t>twice the</w:t>
      </w:r>
      <w:r w:rsidRPr="00294319">
        <w:t xml:space="preserve"> upper limit of normal</w:t>
      </w:r>
    </w:p>
    <w:p w:rsidR="00DE030B" w:rsidRPr="00294319" w:rsidRDefault="00DE030B" w:rsidP="00565396">
      <w:pPr>
        <w:pStyle w:val="ListParagraph"/>
        <w:numPr>
          <w:ilvl w:val="0"/>
          <w:numId w:val="6"/>
        </w:numPr>
        <w:spacing w:after="120" w:line="480" w:lineRule="auto"/>
      </w:pPr>
      <w:r w:rsidRPr="00294319">
        <w:t>Ongoing requirement for blood and/or platelet transfusion</w:t>
      </w:r>
    </w:p>
    <w:p w:rsidR="00DE030B" w:rsidRDefault="00DE030B" w:rsidP="00565396">
      <w:pPr>
        <w:spacing w:after="120"/>
      </w:pPr>
      <w:r w:rsidRPr="00294319">
        <w:lastRenderedPageBreak/>
        <w:t xml:space="preserve">After 3 months of treatment, a </w:t>
      </w:r>
      <w:r>
        <w:t>patient</w:t>
      </w:r>
      <w:r w:rsidRPr="00294319">
        <w:t xml:space="preserve"> could be considered for dose escalation from 1</w:t>
      </w:r>
      <w:r>
        <w:t>.0</w:t>
      </w:r>
      <w:r w:rsidRPr="00294319">
        <w:t xml:space="preserve"> mg/kg qw</w:t>
      </w:r>
      <w:r w:rsidRPr="00A24CEB">
        <w:t xml:space="preserve"> </w:t>
      </w:r>
      <w:r w:rsidRPr="00294319">
        <w:t>to 3</w:t>
      </w:r>
      <w:r>
        <w:t>.0</w:t>
      </w:r>
      <w:r w:rsidRPr="00294319">
        <w:t xml:space="preserve"> mg/kg qw if </w:t>
      </w:r>
      <w:r>
        <w:t>the patient</w:t>
      </w:r>
      <w:r w:rsidRPr="00294319">
        <w:t xml:space="preserve"> had any other clinically important manifestation of LAL</w:t>
      </w:r>
      <w:r>
        <w:t>-D</w:t>
      </w:r>
      <w:r w:rsidRPr="00294319">
        <w:t xml:space="preserve"> on</w:t>
      </w:r>
      <w:r w:rsidRPr="00A24CEB">
        <w:t xml:space="preserve"> </w:t>
      </w:r>
      <w:r w:rsidRPr="00294319">
        <w:t xml:space="preserve">clinical examination, laboratory assessment, or imaging </w:t>
      </w:r>
      <w:r>
        <w:t>that</w:t>
      </w:r>
      <w:r w:rsidRPr="00294319">
        <w:t xml:space="preserve"> had either not improved from</w:t>
      </w:r>
      <w:r w:rsidRPr="00A24CEB">
        <w:t xml:space="preserve"> </w:t>
      </w:r>
      <w:r>
        <w:t xml:space="preserve">a </w:t>
      </w:r>
      <w:r w:rsidRPr="00A24CEB">
        <w:t>minimum of 3 assessments, or had failed to normalize within 12 months of treatment. Such</w:t>
      </w:r>
      <w:r w:rsidRPr="004D6CD3">
        <w:t xml:space="preserve"> manifestations included but were not restricted to a decrease in </w:t>
      </w:r>
      <w:r>
        <w:t xml:space="preserve">weight-for-age </w:t>
      </w:r>
      <w:r w:rsidRPr="004D6CD3">
        <w:t xml:space="preserve">crossing </w:t>
      </w:r>
      <w:r>
        <w:t xml:space="preserve">at least </w:t>
      </w:r>
      <w:r w:rsidRPr="004D6CD3">
        <w:t xml:space="preserve">2 major centiles, </w:t>
      </w:r>
      <w:r w:rsidRPr="009D19D1">
        <w:t xml:space="preserve">serum transaminase or albumin levels meeting the above criteria, or the presence of hepatomegaly, splenomegaly, or lymphadenopathy. </w:t>
      </w:r>
    </w:p>
    <w:p w:rsidR="00DE030B" w:rsidRPr="009D19D1" w:rsidRDefault="00DE030B" w:rsidP="00565396">
      <w:pPr>
        <w:spacing w:after="120"/>
      </w:pPr>
    </w:p>
    <w:p w:rsidR="00DE030B" w:rsidRPr="00A24CEB" w:rsidRDefault="00DE030B" w:rsidP="00565396">
      <w:pPr>
        <w:spacing w:after="120"/>
      </w:pPr>
      <w:r w:rsidRPr="00864517">
        <w:t xml:space="preserve">During the conduct of the study, the protocol was amended to include </w:t>
      </w:r>
      <w:r>
        <w:t>an option for patient</w:t>
      </w:r>
      <w:r w:rsidRPr="00A24CEB">
        <w:t>s who continued to meet dose</w:t>
      </w:r>
      <w:r>
        <w:t>-</w:t>
      </w:r>
      <w:r w:rsidRPr="00A24CEB">
        <w:t>escalation criteria after receiving at least 4 infusions at a dose of 3</w:t>
      </w:r>
      <w:r>
        <w:t>.0</w:t>
      </w:r>
      <w:r w:rsidRPr="00A24CEB">
        <w:t xml:space="preserve"> mg/kg qw </w:t>
      </w:r>
      <w:r>
        <w:t>to</w:t>
      </w:r>
      <w:r w:rsidRPr="00A24CEB">
        <w:t xml:space="preserve"> be considered for a dose escalation to 5</w:t>
      </w:r>
      <w:r>
        <w:t>.0</w:t>
      </w:r>
      <w:r w:rsidRPr="00A24CEB">
        <w:t xml:space="preserve"> mg/kg qw on a case</w:t>
      </w:r>
      <w:r>
        <w:t>-</w:t>
      </w:r>
      <w:r w:rsidRPr="00A24CEB">
        <w:t>by</w:t>
      </w:r>
      <w:r>
        <w:t>-</w:t>
      </w:r>
      <w:r w:rsidRPr="00A24CEB">
        <w:t>case basis. The dose</w:t>
      </w:r>
      <w:r>
        <w:t>-</w:t>
      </w:r>
      <w:r w:rsidRPr="00A24CEB">
        <w:t xml:space="preserve">escalation criteria were those previously defined for </w:t>
      </w:r>
      <w:r>
        <w:t>patient</w:t>
      </w:r>
      <w:r w:rsidRPr="00A24CEB">
        <w:t>s who had been on treatment for at least 3 months.</w:t>
      </w:r>
    </w:p>
    <w:p w:rsidR="00DE030B" w:rsidRPr="00A24CEB" w:rsidRDefault="00DE030B" w:rsidP="00565396">
      <w:pPr>
        <w:spacing w:after="120"/>
        <w:rPr>
          <w:b/>
        </w:rPr>
      </w:pPr>
    </w:p>
    <w:p w:rsidR="00DE030B" w:rsidRPr="00294319" w:rsidRDefault="00DE030B" w:rsidP="00565396">
      <w:pPr>
        <w:spacing w:after="120"/>
        <w:rPr>
          <w:i/>
        </w:rPr>
      </w:pPr>
      <w:r w:rsidRPr="00294319">
        <w:rPr>
          <w:i/>
        </w:rPr>
        <w:t>CL08</w:t>
      </w:r>
    </w:p>
    <w:p w:rsidR="00DE030B" w:rsidRDefault="00DE030B" w:rsidP="00565396">
      <w:pPr>
        <w:spacing w:after="120"/>
      </w:pPr>
      <w:r w:rsidRPr="00A24CEB">
        <w:t>Prior to considering a dose increase, the patient was to be evaluated for other potential causes of any</w:t>
      </w:r>
      <w:r w:rsidRPr="004D6CD3">
        <w:t xml:space="preserve"> observed clinical manifestations, which could include missed study infusions, initiation of a </w:t>
      </w:r>
      <w:r w:rsidRPr="009D19D1">
        <w:t xml:space="preserve">potentially hepatotoxic concomitant medication in a patient with elevated ALT, or concomitant illness in a patient with reduced weight gain, such as an </w:t>
      </w:r>
      <w:r w:rsidRPr="005611EC">
        <w:t>upper respiratory tract infection or other childhood viral infection.</w:t>
      </w:r>
    </w:p>
    <w:p w:rsidR="00DE030B" w:rsidRPr="005611EC" w:rsidRDefault="00DE030B" w:rsidP="00565396">
      <w:pPr>
        <w:spacing w:after="120"/>
      </w:pPr>
    </w:p>
    <w:p w:rsidR="00DE030B" w:rsidRPr="00A24CEB" w:rsidRDefault="00DE030B" w:rsidP="00565396">
      <w:pPr>
        <w:spacing w:after="120"/>
      </w:pPr>
      <w:r w:rsidRPr="006267CC">
        <w:t>Within the first 3 months of treatment, a patient could be considered for dose escalation</w:t>
      </w:r>
      <w:r>
        <w:t xml:space="preserve"> </w:t>
      </w:r>
      <w:r w:rsidRPr="006267CC">
        <w:t>to 3.0 mg/kg qw if the patient met</w:t>
      </w:r>
      <w:r w:rsidRPr="00F77C1C">
        <w:t xml:space="preserve"> 2 or more of the following criteria while receiving a dose</w:t>
      </w:r>
      <w:r>
        <w:t xml:space="preserve"> </w:t>
      </w:r>
      <w:r w:rsidRPr="00A24CEB">
        <w:t>of 1</w:t>
      </w:r>
      <w:r>
        <w:t>.0</w:t>
      </w:r>
      <w:r w:rsidRPr="00A24CEB">
        <w:t xml:space="preserve"> mg/kg qw:</w:t>
      </w:r>
    </w:p>
    <w:p w:rsidR="00DE030B" w:rsidRPr="00A24CEB" w:rsidRDefault="00DE030B" w:rsidP="00565396">
      <w:pPr>
        <w:pStyle w:val="ListParagraph"/>
        <w:numPr>
          <w:ilvl w:val="0"/>
          <w:numId w:val="8"/>
        </w:numPr>
        <w:spacing w:after="120" w:line="480" w:lineRule="auto"/>
      </w:pPr>
      <w:r w:rsidRPr="00A24CEB">
        <w:t xml:space="preserve">Failure to gain an average of 5 g/kg body weight per day and the presence of </w:t>
      </w:r>
      <w:r>
        <w:t>1</w:t>
      </w:r>
      <w:r w:rsidRPr="00A24CEB">
        <w:t xml:space="preserve"> or more of the following:</w:t>
      </w:r>
    </w:p>
    <w:p w:rsidR="00DE030B" w:rsidRPr="00A24CEB" w:rsidRDefault="00DE030B" w:rsidP="00565396">
      <w:pPr>
        <w:pStyle w:val="ListParagraph"/>
        <w:numPr>
          <w:ilvl w:val="1"/>
          <w:numId w:val="8"/>
        </w:numPr>
        <w:spacing w:after="120" w:line="480" w:lineRule="auto"/>
      </w:pPr>
      <w:r w:rsidRPr="00A24CEB">
        <w:t xml:space="preserve">WHO weight-for-length or weight-for-height </w:t>
      </w:r>
      <w:r w:rsidRPr="00294319">
        <w:rPr>
          <w:i/>
        </w:rPr>
        <w:t>z</w:t>
      </w:r>
      <w:r>
        <w:t xml:space="preserve"> </w:t>
      </w:r>
      <w:r w:rsidRPr="00A24CEB">
        <w:t xml:space="preserve">score </w:t>
      </w:r>
      <w:r>
        <w:t xml:space="preserve">less than </w:t>
      </w:r>
      <w:r>
        <w:rPr>
          <w:rFonts w:cs="Arial"/>
        </w:rPr>
        <w:t>−</w:t>
      </w:r>
      <w:r w:rsidRPr="00A24CEB">
        <w:t>2</w:t>
      </w:r>
    </w:p>
    <w:p w:rsidR="00DE030B" w:rsidRPr="00A24CEB" w:rsidRDefault="00DE030B" w:rsidP="00565396">
      <w:pPr>
        <w:pStyle w:val="ListParagraph"/>
        <w:numPr>
          <w:ilvl w:val="1"/>
          <w:numId w:val="8"/>
        </w:numPr>
        <w:spacing w:after="120" w:line="480" w:lineRule="auto"/>
      </w:pPr>
      <w:r w:rsidRPr="00A24CEB">
        <w:t xml:space="preserve">WHO length-for-age or height-for-age </w:t>
      </w:r>
      <w:r w:rsidRPr="00294319">
        <w:rPr>
          <w:i/>
        </w:rPr>
        <w:t>z</w:t>
      </w:r>
      <w:r>
        <w:t xml:space="preserve"> </w:t>
      </w:r>
      <w:r w:rsidRPr="00A24CEB">
        <w:t xml:space="preserve">score </w:t>
      </w:r>
      <w:r>
        <w:t xml:space="preserve">less than </w:t>
      </w:r>
      <w:r>
        <w:rPr>
          <w:rFonts w:cs="Arial"/>
        </w:rPr>
        <w:t>−</w:t>
      </w:r>
      <w:r w:rsidRPr="00A24CEB">
        <w:t>2</w:t>
      </w:r>
    </w:p>
    <w:p w:rsidR="00DE030B" w:rsidRPr="00A24CEB" w:rsidRDefault="00DE030B" w:rsidP="00565396">
      <w:pPr>
        <w:pStyle w:val="ListParagraph"/>
        <w:numPr>
          <w:ilvl w:val="1"/>
          <w:numId w:val="8"/>
        </w:numPr>
        <w:spacing w:after="120" w:line="480" w:lineRule="auto"/>
      </w:pPr>
      <w:r w:rsidRPr="00A24CEB">
        <w:t xml:space="preserve">WHO weight-for-age </w:t>
      </w:r>
      <w:r w:rsidRPr="00294319">
        <w:rPr>
          <w:i/>
        </w:rPr>
        <w:t>z</w:t>
      </w:r>
      <w:r>
        <w:t xml:space="preserve"> </w:t>
      </w:r>
      <w:r w:rsidRPr="00A24CEB">
        <w:t xml:space="preserve">score </w:t>
      </w:r>
      <w:r>
        <w:t xml:space="preserve">less than </w:t>
      </w:r>
      <w:r>
        <w:rPr>
          <w:rFonts w:cs="Arial"/>
        </w:rPr>
        <w:t>−</w:t>
      </w:r>
      <w:r w:rsidRPr="00A24CEB">
        <w:t>2</w:t>
      </w:r>
    </w:p>
    <w:p w:rsidR="00DE030B" w:rsidRPr="00A24CEB" w:rsidRDefault="00DE030B" w:rsidP="00565396">
      <w:pPr>
        <w:pStyle w:val="ListParagraph"/>
        <w:numPr>
          <w:ilvl w:val="0"/>
          <w:numId w:val="8"/>
        </w:numPr>
        <w:spacing w:after="120" w:line="480" w:lineRule="auto"/>
      </w:pPr>
      <w:r w:rsidRPr="00A24CEB">
        <w:t xml:space="preserve">Albumin </w:t>
      </w:r>
      <w:r>
        <w:t xml:space="preserve">less than </w:t>
      </w:r>
      <w:r w:rsidRPr="00A24CEB">
        <w:t>3.5 g/dL</w:t>
      </w:r>
    </w:p>
    <w:p w:rsidR="00DE030B" w:rsidRPr="00A24CEB" w:rsidRDefault="00DE030B" w:rsidP="00565396">
      <w:pPr>
        <w:pStyle w:val="ListParagraph"/>
        <w:numPr>
          <w:ilvl w:val="0"/>
          <w:numId w:val="8"/>
        </w:numPr>
        <w:spacing w:after="120" w:line="480" w:lineRule="auto"/>
      </w:pPr>
      <w:r w:rsidRPr="00A24CEB">
        <w:t xml:space="preserve">ALT </w:t>
      </w:r>
      <w:r>
        <w:t>more than twice the</w:t>
      </w:r>
      <w:r w:rsidRPr="00A24CEB">
        <w:t xml:space="preserve"> upper limit of normal</w:t>
      </w:r>
    </w:p>
    <w:p w:rsidR="00DE030B" w:rsidRPr="00A24CEB" w:rsidRDefault="00DE030B" w:rsidP="00565396">
      <w:pPr>
        <w:pStyle w:val="ListParagraph"/>
        <w:numPr>
          <w:ilvl w:val="0"/>
          <w:numId w:val="8"/>
        </w:numPr>
        <w:spacing w:after="120" w:line="480" w:lineRule="auto"/>
      </w:pPr>
      <w:r w:rsidRPr="00A24CEB">
        <w:t>Ongoing requirement for blood and/or platelet transfusion</w:t>
      </w:r>
    </w:p>
    <w:p w:rsidR="00DE030B" w:rsidRDefault="00DE030B" w:rsidP="00565396">
      <w:pPr>
        <w:spacing w:after="120"/>
      </w:pPr>
      <w:r w:rsidRPr="00A24CEB">
        <w:t>After 3 months of treatment, a patient could be considered for dose escalation to 3</w:t>
      </w:r>
      <w:r>
        <w:t>.0</w:t>
      </w:r>
      <w:r w:rsidRPr="00A24CEB">
        <w:t xml:space="preserve"> mg/kg qw if the patient met at least 1 of the criteria outlined above, or had any other clinically important manifestation of LAL-D on clinical examination, laboratory assessment, or imaging </w:t>
      </w:r>
      <w:r>
        <w:t>that</w:t>
      </w:r>
      <w:r w:rsidRPr="00A24CEB">
        <w:t xml:space="preserve"> had not improved from baseline, had improved and plateaued but had not normalized (where plateauing </w:t>
      </w:r>
      <w:r>
        <w:t xml:space="preserve">is </w:t>
      </w:r>
      <w:r w:rsidRPr="00A24CEB">
        <w:t>considered a minimum of 3 assessments), or had failed to normalize within 12 months of treatment.</w:t>
      </w:r>
    </w:p>
    <w:p w:rsidR="00DE030B" w:rsidRPr="00A24CEB" w:rsidRDefault="00DE030B" w:rsidP="00565396">
      <w:pPr>
        <w:spacing w:after="120"/>
      </w:pPr>
    </w:p>
    <w:p w:rsidR="00DE030B" w:rsidRDefault="00DE030B" w:rsidP="00565396">
      <w:pPr>
        <w:spacing w:after="120"/>
      </w:pPr>
      <w:r w:rsidRPr="00A24CEB">
        <w:t>During the conduct of the study, the protocol was amended to include an option for dose escalation to 5</w:t>
      </w:r>
      <w:r>
        <w:t>.0</w:t>
      </w:r>
      <w:r w:rsidRPr="00A24CEB">
        <w:t xml:space="preserve"> mg/kg qw. A patient could be considered for a dose escalation to 5</w:t>
      </w:r>
      <w:r>
        <w:t>.0</w:t>
      </w:r>
      <w:r w:rsidRPr="00A24CEB">
        <w:t xml:space="preserve"> mg/kg qw if </w:t>
      </w:r>
      <w:r>
        <w:t>the patient</w:t>
      </w:r>
      <w:r w:rsidRPr="00A24CEB">
        <w:t xml:space="preserve"> met the dose</w:t>
      </w:r>
      <w:r>
        <w:t>-</w:t>
      </w:r>
      <w:r w:rsidRPr="00A24CEB">
        <w:t>escalation criteria defined above after receiving at least 4 infusions at a dose of 3</w:t>
      </w:r>
      <w:r>
        <w:t>.0</w:t>
      </w:r>
      <w:r w:rsidRPr="00A24CEB">
        <w:t xml:space="preserve"> mg/kg qw. In rare circumstances, dose escalation to 5</w:t>
      </w:r>
      <w:r>
        <w:t>.0</w:t>
      </w:r>
      <w:r w:rsidRPr="00A24CEB">
        <w:t xml:space="preserve"> mg/kg qw could be considered prior to 4 infusions, if approved </w:t>
      </w:r>
      <w:r w:rsidRPr="00FC4C5E">
        <w:t xml:space="preserve">by the sponsor and </w:t>
      </w:r>
      <w:r>
        <w:t>the Safety Committee</w:t>
      </w:r>
      <w:r w:rsidRPr="00FC4C5E">
        <w:t>.</w:t>
      </w:r>
    </w:p>
    <w:p w:rsidR="00DE030B" w:rsidRPr="00A24CEB" w:rsidRDefault="00DE030B" w:rsidP="00565396">
      <w:pPr>
        <w:spacing w:after="120"/>
      </w:pPr>
    </w:p>
    <w:p w:rsidR="00404D7A" w:rsidRDefault="00DE030B">
      <w:r w:rsidRPr="00A24CEB">
        <w:t>Under a subsequent country-specific protocol amendment, a</w:t>
      </w:r>
      <w:r>
        <w:t xml:space="preserve"> </w:t>
      </w:r>
      <w:r w:rsidRPr="00A24CEB">
        <w:t>patient receiving treatment in the UK could be c</w:t>
      </w:r>
      <w:r w:rsidRPr="004D6CD3">
        <w:t>onsidered for a dose escalation to 7.5 mg/kg qw if a thorough case review indicated that a patient continued to have evidence of disease</w:t>
      </w:r>
      <w:r w:rsidRPr="009D19D1">
        <w:t xml:space="preserve"> progression at a dose of 5</w:t>
      </w:r>
      <w:r>
        <w:t>.0</w:t>
      </w:r>
      <w:r w:rsidRPr="009D19D1">
        <w:t xml:space="preserve"> mg/kg qw, as judged based on the criteria referenced above, as well as other manifestations of disease progression (eg, recurrent infections, poor feeding, and </w:t>
      </w:r>
      <w:r>
        <w:t>vomiting).</w:t>
      </w:r>
    </w:p>
    <w:sectPr w:rsidR="00404D7A" w:rsidSect="00C637E2">
      <w:headerReference w:type="default" r:id="rId8"/>
      <w:headerReference w:type="first" r:id="rId9"/>
      <w:pgSz w:w="12240" w:h="15840" w:code="1"/>
      <w:pgMar w:top="1440" w:right="1440" w:bottom="1440" w:left="1440" w:header="720" w:footer="72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9F7AD3">
      <w:pPr>
        <w:spacing w:line="240" w:lineRule="auto"/>
      </w:pPr>
      <w:r>
        <w:separator/>
      </w:r>
    </w:p>
  </w:endnote>
  <w:endnote w:type="continuationSeparator" w:id="0">
    <w:p w:rsidR="00000000" w:rsidRDefault="009F7AD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9F7AD3">
      <w:pPr>
        <w:spacing w:line="240" w:lineRule="auto"/>
      </w:pPr>
      <w:r>
        <w:separator/>
      </w:r>
    </w:p>
  </w:footnote>
  <w:footnote w:type="continuationSeparator" w:id="0">
    <w:p w:rsidR="00000000" w:rsidRDefault="009F7AD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64682762"/>
      <w:docPartObj>
        <w:docPartGallery w:val="Page Numbers (Top of Page)"/>
        <w:docPartUnique/>
      </w:docPartObj>
    </w:sdtPr>
    <w:sdtEndPr>
      <w:rPr>
        <w:noProof/>
      </w:rPr>
    </w:sdtEndPr>
    <w:sdtContent>
      <w:p w:rsidR="00DC5371" w:rsidRDefault="00C07F4E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F7AD3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DC5371" w:rsidRDefault="009F7AD3" w:rsidP="00D56A01">
    <w:pPr>
      <w:pStyle w:val="Header"/>
      <w:spacing w:line="240" w:lineRule="auto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72440783"/>
      <w:docPartObj>
        <w:docPartGallery w:val="Page Numbers (Top of Page)"/>
        <w:docPartUnique/>
      </w:docPartObj>
    </w:sdtPr>
    <w:sdtEndPr>
      <w:rPr>
        <w:noProof/>
      </w:rPr>
    </w:sdtEndPr>
    <w:sdtContent>
      <w:p w:rsidR="00DC5371" w:rsidRDefault="00C07F4E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F7AD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C5371" w:rsidRDefault="009F7AD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E2C77"/>
    <w:multiLevelType w:val="hybridMultilevel"/>
    <w:tmpl w:val="2600238A"/>
    <w:lvl w:ilvl="0" w:tplc="0A56E5D8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521103"/>
    <w:multiLevelType w:val="hybridMultilevel"/>
    <w:tmpl w:val="BF603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531E2D"/>
    <w:multiLevelType w:val="hybridMultilevel"/>
    <w:tmpl w:val="A18A9D4E"/>
    <w:lvl w:ilvl="0" w:tplc="C3562FDE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B281DC6">
      <w:numFmt w:val="bullet"/>
      <w:lvlText w:val="−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693767"/>
    <w:multiLevelType w:val="hybridMultilevel"/>
    <w:tmpl w:val="EE9EB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0A2D87"/>
    <w:multiLevelType w:val="hybridMultilevel"/>
    <w:tmpl w:val="7DD27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4BA9436">
      <w:numFmt w:val="bullet"/>
      <w:lvlText w:val="−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AC2EC0"/>
    <w:multiLevelType w:val="hybridMultilevel"/>
    <w:tmpl w:val="81A88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DE69CF"/>
    <w:multiLevelType w:val="hybridMultilevel"/>
    <w:tmpl w:val="DFB6F820"/>
    <w:lvl w:ilvl="0" w:tplc="C3562FDE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7166C2"/>
    <w:multiLevelType w:val="hybridMultilevel"/>
    <w:tmpl w:val="DFB0E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275B47"/>
    <w:multiLevelType w:val="hybridMultilevel"/>
    <w:tmpl w:val="182480B8"/>
    <w:lvl w:ilvl="0" w:tplc="74123F46">
      <w:start w:val="1"/>
      <w:numFmt w:val="bullet"/>
      <w:lvlText w:val=""/>
      <w:lvlJc w:val="left"/>
      <w:pPr>
        <w:tabs>
          <w:tab w:val="num" w:pos="1464"/>
        </w:tabs>
        <w:ind w:left="1464" w:hanging="360"/>
      </w:pPr>
      <w:rPr>
        <w:rFonts w:ascii="Symbol" w:hAnsi="Symbol" w:hint="default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17170D5"/>
    <w:multiLevelType w:val="hybridMultilevel"/>
    <w:tmpl w:val="D21C2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037AA5"/>
    <w:multiLevelType w:val="hybridMultilevel"/>
    <w:tmpl w:val="9BCEA368"/>
    <w:lvl w:ilvl="0" w:tplc="0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7D2433"/>
    <w:multiLevelType w:val="hybridMultilevel"/>
    <w:tmpl w:val="78EC5A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807AC8"/>
    <w:multiLevelType w:val="hybridMultilevel"/>
    <w:tmpl w:val="549410DA"/>
    <w:lvl w:ilvl="0" w:tplc="D0947648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38305532"/>
    <w:multiLevelType w:val="multilevel"/>
    <w:tmpl w:val="59FA44C6"/>
    <w:lvl w:ilvl="0">
      <w:start w:val="1"/>
      <w:numFmt w:val="bullet"/>
      <w:lvlText w:val="—"/>
      <w:lvlJc w:val="left"/>
      <w:pPr>
        <w:tabs>
          <w:tab w:val="num" w:pos="1464"/>
        </w:tabs>
        <w:ind w:left="1464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8CA58B3"/>
    <w:multiLevelType w:val="hybridMultilevel"/>
    <w:tmpl w:val="087E0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B570D5F"/>
    <w:multiLevelType w:val="hybridMultilevel"/>
    <w:tmpl w:val="5D12E0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2710B1E"/>
    <w:multiLevelType w:val="hybridMultilevel"/>
    <w:tmpl w:val="32EE2634"/>
    <w:lvl w:ilvl="0" w:tplc="C08C677A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40F17A8"/>
    <w:multiLevelType w:val="hybridMultilevel"/>
    <w:tmpl w:val="786C5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48F28F0"/>
    <w:multiLevelType w:val="hybridMultilevel"/>
    <w:tmpl w:val="97CCE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FE56F1"/>
    <w:multiLevelType w:val="hybridMultilevel"/>
    <w:tmpl w:val="59FA44C6"/>
    <w:lvl w:ilvl="0" w:tplc="79402E94">
      <w:start w:val="1"/>
      <w:numFmt w:val="bullet"/>
      <w:lvlText w:val="—"/>
      <w:lvlJc w:val="left"/>
      <w:pPr>
        <w:tabs>
          <w:tab w:val="num" w:pos="1464"/>
        </w:tabs>
        <w:ind w:left="1464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E010CA8"/>
    <w:multiLevelType w:val="hybridMultilevel"/>
    <w:tmpl w:val="357AE4E0"/>
    <w:lvl w:ilvl="0" w:tplc="C3562FDE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E4E6A0E"/>
    <w:multiLevelType w:val="hybridMultilevel"/>
    <w:tmpl w:val="E842CA84"/>
    <w:lvl w:ilvl="0" w:tplc="D094764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EA5020A"/>
    <w:multiLevelType w:val="hybridMultilevel"/>
    <w:tmpl w:val="C36C8C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E9B579E"/>
    <w:multiLevelType w:val="hybridMultilevel"/>
    <w:tmpl w:val="6108E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3"/>
  </w:num>
  <w:num w:numId="3">
    <w:abstractNumId w:val="8"/>
  </w:num>
  <w:num w:numId="4">
    <w:abstractNumId w:val="12"/>
  </w:num>
  <w:num w:numId="5">
    <w:abstractNumId w:val="21"/>
  </w:num>
  <w:num w:numId="6">
    <w:abstractNumId w:val="4"/>
  </w:num>
  <w:num w:numId="7">
    <w:abstractNumId w:val="6"/>
  </w:num>
  <w:num w:numId="8">
    <w:abstractNumId w:val="2"/>
  </w:num>
  <w:num w:numId="9">
    <w:abstractNumId w:val="20"/>
  </w:num>
  <w:num w:numId="10">
    <w:abstractNumId w:val="5"/>
  </w:num>
  <w:num w:numId="11">
    <w:abstractNumId w:val="11"/>
  </w:num>
  <w:num w:numId="12">
    <w:abstractNumId w:val="0"/>
  </w:num>
  <w:num w:numId="13">
    <w:abstractNumId w:val="22"/>
  </w:num>
  <w:num w:numId="14">
    <w:abstractNumId w:val="3"/>
  </w:num>
  <w:num w:numId="15">
    <w:abstractNumId w:val="1"/>
  </w:num>
  <w:num w:numId="16">
    <w:abstractNumId w:val="18"/>
  </w:num>
  <w:num w:numId="17">
    <w:abstractNumId w:val="7"/>
  </w:num>
  <w:num w:numId="18">
    <w:abstractNumId w:val="17"/>
  </w:num>
  <w:num w:numId="19">
    <w:abstractNumId w:val="15"/>
  </w:num>
  <w:num w:numId="20">
    <w:abstractNumId w:val="9"/>
  </w:num>
  <w:num w:numId="21">
    <w:abstractNumId w:val="23"/>
  </w:num>
  <w:num w:numId="22">
    <w:abstractNumId w:val="14"/>
  </w:num>
  <w:num w:numId="23">
    <w:abstractNumId w:val="16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DE030B"/>
    <w:rsid w:val="000C2DA9"/>
    <w:rsid w:val="00404D7A"/>
    <w:rsid w:val="006D65B9"/>
    <w:rsid w:val="009639A0"/>
    <w:rsid w:val="009F7AD3"/>
    <w:rsid w:val="00C07F4E"/>
    <w:rsid w:val="00DE0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annotation reference" w:uiPriority="0"/>
    <w:lsdException w:name="line number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30B"/>
    <w:pPr>
      <w:tabs>
        <w:tab w:val="left" w:pos="0"/>
      </w:tabs>
      <w:spacing w:after="0" w:line="480" w:lineRule="auto"/>
      <w:outlineLvl w:val="0"/>
    </w:pPr>
    <w:rPr>
      <w:rFonts w:ascii="Arial" w:eastAsia="Times New Roman" w:hAnsi="Arial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E030B"/>
    <w:pPr>
      <w:keepNext/>
    </w:pPr>
    <w:rPr>
      <w:rFonts w:cs="Arial"/>
      <w:b/>
      <w:bCs/>
      <w:caps/>
      <w:kern w:val="32"/>
    </w:rPr>
  </w:style>
  <w:style w:type="paragraph" w:styleId="Heading2">
    <w:name w:val="heading 2"/>
    <w:basedOn w:val="Normal"/>
    <w:next w:val="Normal"/>
    <w:link w:val="Heading2Char"/>
    <w:qFormat/>
    <w:rsid w:val="00DE030B"/>
    <w:pPr>
      <w:keepNext/>
      <w:outlineLvl w:val="1"/>
    </w:pPr>
    <w:rPr>
      <w:rFonts w:cs="Arial"/>
      <w:b/>
      <w:bCs/>
      <w:iCs/>
    </w:rPr>
  </w:style>
  <w:style w:type="paragraph" w:styleId="Heading3">
    <w:name w:val="heading 3"/>
    <w:basedOn w:val="Normal"/>
    <w:next w:val="Normal"/>
    <w:link w:val="Heading3Char"/>
    <w:qFormat/>
    <w:rsid w:val="00DE030B"/>
    <w:pPr>
      <w:keepNext/>
      <w:outlineLvl w:val="2"/>
    </w:pPr>
    <w:rPr>
      <w:rFonts w:cs="Arial"/>
      <w:bCs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E030B"/>
    <w:rPr>
      <w:rFonts w:ascii="Arial" w:eastAsia="Times New Roman" w:hAnsi="Arial" w:cs="Arial"/>
      <w:b/>
      <w:bCs/>
      <w:caps/>
      <w:kern w:val="32"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DE030B"/>
    <w:rPr>
      <w:rFonts w:ascii="Arial" w:eastAsia="Times New Roman" w:hAnsi="Arial" w:cs="Arial"/>
      <w:b/>
      <w:bCs/>
      <w:iCs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DE030B"/>
    <w:rPr>
      <w:rFonts w:ascii="Arial" w:eastAsia="Times New Roman" w:hAnsi="Arial" w:cs="Arial"/>
      <w:bCs/>
      <w:i/>
      <w:sz w:val="24"/>
      <w:szCs w:val="24"/>
    </w:rPr>
  </w:style>
  <w:style w:type="paragraph" w:styleId="Header">
    <w:name w:val="header"/>
    <w:basedOn w:val="Normal"/>
    <w:link w:val="HeaderChar"/>
    <w:uiPriority w:val="99"/>
    <w:rsid w:val="00DE030B"/>
    <w:pPr>
      <w:tabs>
        <w:tab w:val="clear" w:pos="0"/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DE030B"/>
    <w:rPr>
      <w:rFonts w:ascii="Arial" w:eastAsia="Times New Roman" w:hAnsi="Arial" w:cs="Times New Roman"/>
      <w:sz w:val="24"/>
      <w:szCs w:val="24"/>
    </w:rPr>
  </w:style>
  <w:style w:type="paragraph" w:styleId="FootnoteText">
    <w:name w:val="footnote text"/>
    <w:basedOn w:val="Normal"/>
    <w:link w:val="FootnoteTextChar"/>
    <w:semiHidden/>
    <w:rsid w:val="00DE030B"/>
    <w:pPr>
      <w:tabs>
        <w:tab w:val="clear" w:pos="0"/>
      </w:tabs>
      <w:spacing w:line="480" w:lineRule="atLeast"/>
      <w:outlineLvl w:val="9"/>
    </w:pPr>
    <w:rPr>
      <w:b/>
      <w:vanish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DE030B"/>
    <w:rPr>
      <w:rFonts w:ascii="Arial" w:eastAsia="Times New Roman" w:hAnsi="Arial" w:cs="Times New Roman"/>
      <w:b/>
      <w:vanish/>
      <w:sz w:val="24"/>
      <w:szCs w:val="20"/>
    </w:rPr>
  </w:style>
  <w:style w:type="paragraph" w:styleId="Footer">
    <w:name w:val="footer"/>
    <w:basedOn w:val="Normal"/>
    <w:link w:val="FooterChar"/>
    <w:uiPriority w:val="99"/>
    <w:rsid w:val="00DE030B"/>
    <w:pPr>
      <w:tabs>
        <w:tab w:val="clear" w:pos="0"/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030B"/>
    <w:rPr>
      <w:rFonts w:ascii="Arial" w:eastAsia="Times New Roman" w:hAnsi="Arial" w:cs="Times New Roman"/>
      <w:sz w:val="24"/>
      <w:szCs w:val="24"/>
    </w:rPr>
  </w:style>
  <w:style w:type="character" w:styleId="PageNumber">
    <w:name w:val="page number"/>
    <w:rsid w:val="00DE030B"/>
    <w:rPr>
      <w:rFonts w:ascii="Arial" w:hAnsi="Arial"/>
      <w:sz w:val="20"/>
    </w:rPr>
  </w:style>
  <w:style w:type="character" w:styleId="CommentReference">
    <w:name w:val="annotation reference"/>
    <w:rsid w:val="00DE03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DE030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DE030B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DE030B"/>
    <w:rPr>
      <w:b/>
      <w:bCs/>
    </w:rPr>
  </w:style>
  <w:style w:type="character" w:customStyle="1" w:styleId="CommentSubjectChar">
    <w:name w:val="Comment Subject Char"/>
    <w:link w:val="CommentSubject"/>
    <w:rsid w:val="00DE030B"/>
    <w:rPr>
      <w:rFonts w:ascii="Arial" w:eastAsia="Times New Roman" w:hAnsi="Arial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DE030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DE030B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rsid w:val="00DE03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E030B"/>
    <w:pPr>
      <w:tabs>
        <w:tab w:val="clear" w:pos="0"/>
      </w:tabs>
      <w:spacing w:line="240" w:lineRule="auto"/>
      <w:ind w:left="720"/>
      <w:contextualSpacing/>
      <w:outlineLvl w:val="9"/>
    </w:pPr>
  </w:style>
  <w:style w:type="paragraph" w:customStyle="1" w:styleId="EndNoteBibliographyTitle">
    <w:name w:val="EndNote Bibliography Title"/>
    <w:basedOn w:val="Normal"/>
    <w:link w:val="EndNoteBibliographyTitleChar"/>
    <w:rsid w:val="00DE030B"/>
    <w:pPr>
      <w:jc w:val="center"/>
    </w:pPr>
    <w:rPr>
      <w:rFonts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E030B"/>
    <w:rPr>
      <w:rFonts w:ascii="Arial" w:eastAsia="Times New Roman" w:hAnsi="Arial" w:cs="Arial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DE030B"/>
    <w:pPr>
      <w:spacing w:line="240" w:lineRule="auto"/>
    </w:pPr>
    <w:rPr>
      <w:rFonts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E030B"/>
    <w:rPr>
      <w:rFonts w:ascii="Arial" w:eastAsia="Times New Roman" w:hAnsi="Arial" w:cs="Arial"/>
      <w:noProof/>
      <w:sz w:val="24"/>
      <w:szCs w:val="24"/>
    </w:rPr>
  </w:style>
  <w:style w:type="paragraph" w:styleId="Revision">
    <w:name w:val="Revision"/>
    <w:hidden/>
    <w:uiPriority w:val="99"/>
    <w:semiHidden/>
    <w:rsid w:val="00DE030B"/>
    <w:pPr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E030B"/>
    <w:rPr>
      <w:color w:val="0000FF" w:themeColor="hyperlink"/>
      <w:u w:val="single"/>
    </w:rPr>
  </w:style>
  <w:style w:type="paragraph" w:customStyle="1" w:styleId="Default">
    <w:name w:val="Default"/>
    <w:rsid w:val="00DE030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Normal"/>
    <w:rsid w:val="00DE030B"/>
    <w:pPr>
      <w:keepNext/>
      <w:pBdr>
        <w:top w:val="nil"/>
        <w:left w:val="nil"/>
        <w:bottom w:val="nil"/>
        <w:right w:val="nil"/>
        <w:between w:val="nil"/>
        <w:bar w:val="nil"/>
      </w:pBdr>
      <w:spacing w:after="0" w:line="480" w:lineRule="auto"/>
      <w:outlineLvl w:val="0"/>
    </w:pPr>
    <w:rPr>
      <w:rFonts w:ascii="Arial" w:eastAsia="Arial Unicode MS" w:hAnsi="Arial" w:cs="Arial Unicode MS"/>
      <w:b/>
      <w:bCs/>
      <w:caps/>
      <w:color w:val="000000"/>
      <w:kern w:val="32"/>
      <w:sz w:val="24"/>
      <w:szCs w:val="24"/>
      <w:u w:color="000000"/>
      <w:bdr w:val="nil"/>
      <w:lang w:val="fr-FR"/>
      <w14:textOutline w14:w="0" w14:cap="flat" w14:cmpd="sng" w14:algn="ctr">
        <w14:noFill/>
        <w14:prstDash w14:val="solid"/>
        <w14:bevel/>
      </w14:textOutline>
    </w:rPr>
  </w:style>
  <w:style w:type="character" w:styleId="FollowedHyperlink">
    <w:name w:val="FollowedHyperlink"/>
    <w:basedOn w:val="DefaultParagraphFont"/>
    <w:semiHidden/>
    <w:unhideWhenUsed/>
    <w:rsid w:val="00DE030B"/>
    <w:rPr>
      <w:color w:val="800080" w:themeColor="followedHyperlink"/>
      <w:u w:val="single"/>
    </w:rPr>
  </w:style>
  <w:style w:type="character" w:styleId="LineNumber">
    <w:name w:val="line number"/>
    <w:basedOn w:val="DefaultParagraphFont"/>
    <w:semiHidden/>
    <w:unhideWhenUsed/>
    <w:rsid w:val="00DE03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annotation reference" w:uiPriority="0"/>
    <w:lsdException w:name="line number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30B"/>
    <w:pPr>
      <w:tabs>
        <w:tab w:val="left" w:pos="0"/>
      </w:tabs>
      <w:spacing w:after="0" w:line="480" w:lineRule="auto"/>
      <w:outlineLvl w:val="0"/>
    </w:pPr>
    <w:rPr>
      <w:rFonts w:ascii="Arial" w:eastAsia="Times New Roman" w:hAnsi="Arial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E030B"/>
    <w:pPr>
      <w:keepNext/>
    </w:pPr>
    <w:rPr>
      <w:rFonts w:cs="Arial"/>
      <w:b/>
      <w:bCs/>
      <w:caps/>
      <w:kern w:val="32"/>
    </w:rPr>
  </w:style>
  <w:style w:type="paragraph" w:styleId="Heading2">
    <w:name w:val="heading 2"/>
    <w:basedOn w:val="Normal"/>
    <w:next w:val="Normal"/>
    <w:link w:val="Heading2Char"/>
    <w:qFormat/>
    <w:rsid w:val="00DE030B"/>
    <w:pPr>
      <w:keepNext/>
      <w:outlineLvl w:val="1"/>
    </w:pPr>
    <w:rPr>
      <w:rFonts w:cs="Arial"/>
      <w:b/>
      <w:bCs/>
      <w:iCs/>
    </w:rPr>
  </w:style>
  <w:style w:type="paragraph" w:styleId="Heading3">
    <w:name w:val="heading 3"/>
    <w:basedOn w:val="Normal"/>
    <w:next w:val="Normal"/>
    <w:link w:val="Heading3Char"/>
    <w:qFormat/>
    <w:rsid w:val="00DE030B"/>
    <w:pPr>
      <w:keepNext/>
      <w:outlineLvl w:val="2"/>
    </w:pPr>
    <w:rPr>
      <w:rFonts w:cs="Arial"/>
      <w:bCs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E030B"/>
    <w:rPr>
      <w:rFonts w:ascii="Arial" w:eastAsia="Times New Roman" w:hAnsi="Arial" w:cs="Arial"/>
      <w:b/>
      <w:bCs/>
      <w:caps/>
      <w:kern w:val="32"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DE030B"/>
    <w:rPr>
      <w:rFonts w:ascii="Arial" w:eastAsia="Times New Roman" w:hAnsi="Arial" w:cs="Arial"/>
      <w:b/>
      <w:bCs/>
      <w:iCs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DE030B"/>
    <w:rPr>
      <w:rFonts w:ascii="Arial" w:eastAsia="Times New Roman" w:hAnsi="Arial" w:cs="Arial"/>
      <w:bCs/>
      <w:i/>
      <w:sz w:val="24"/>
      <w:szCs w:val="24"/>
    </w:rPr>
  </w:style>
  <w:style w:type="paragraph" w:styleId="Header">
    <w:name w:val="header"/>
    <w:basedOn w:val="Normal"/>
    <w:link w:val="HeaderChar"/>
    <w:uiPriority w:val="99"/>
    <w:rsid w:val="00DE030B"/>
    <w:pPr>
      <w:tabs>
        <w:tab w:val="clear" w:pos="0"/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DE030B"/>
    <w:rPr>
      <w:rFonts w:ascii="Arial" w:eastAsia="Times New Roman" w:hAnsi="Arial" w:cs="Times New Roman"/>
      <w:sz w:val="24"/>
      <w:szCs w:val="24"/>
    </w:rPr>
  </w:style>
  <w:style w:type="paragraph" w:styleId="FootnoteText">
    <w:name w:val="footnote text"/>
    <w:basedOn w:val="Normal"/>
    <w:link w:val="FootnoteTextChar"/>
    <w:semiHidden/>
    <w:rsid w:val="00DE030B"/>
    <w:pPr>
      <w:tabs>
        <w:tab w:val="clear" w:pos="0"/>
      </w:tabs>
      <w:spacing w:line="480" w:lineRule="atLeast"/>
      <w:outlineLvl w:val="9"/>
    </w:pPr>
    <w:rPr>
      <w:b/>
      <w:vanish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DE030B"/>
    <w:rPr>
      <w:rFonts w:ascii="Arial" w:eastAsia="Times New Roman" w:hAnsi="Arial" w:cs="Times New Roman"/>
      <w:b/>
      <w:vanish/>
      <w:sz w:val="24"/>
      <w:szCs w:val="20"/>
    </w:rPr>
  </w:style>
  <w:style w:type="paragraph" w:styleId="Footer">
    <w:name w:val="footer"/>
    <w:basedOn w:val="Normal"/>
    <w:link w:val="FooterChar"/>
    <w:uiPriority w:val="99"/>
    <w:rsid w:val="00DE030B"/>
    <w:pPr>
      <w:tabs>
        <w:tab w:val="clear" w:pos="0"/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030B"/>
    <w:rPr>
      <w:rFonts w:ascii="Arial" w:eastAsia="Times New Roman" w:hAnsi="Arial" w:cs="Times New Roman"/>
      <w:sz w:val="24"/>
      <w:szCs w:val="24"/>
    </w:rPr>
  </w:style>
  <w:style w:type="character" w:styleId="PageNumber">
    <w:name w:val="page number"/>
    <w:rsid w:val="00DE030B"/>
    <w:rPr>
      <w:rFonts w:ascii="Arial" w:hAnsi="Arial"/>
      <w:sz w:val="20"/>
    </w:rPr>
  </w:style>
  <w:style w:type="character" w:styleId="CommentReference">
    <w:name w:val="annotation reference"/>
    <w:rsid w:val="00DE03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DE030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DE030B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DE030B"/>
    <w:rPr>
      <w:b/>
      <w:bCs/>
    </w:rPr>
  </w:style>
  <w:style w:type="character" w:customStyle="1" w:styleId="CommentSubjectChar">
    <w:name w:val="Comment Subject Char"/>
    <w:link w:val="CommentSubject"/>
    <w:rsid w:val="00DE030B"/>
    <w:rPr>
      <w:rFonts w:ascii="Arial" w:eastAsia="Times New Roman" w:hAnsi="Arial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DE030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DE030B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rsid w:val="00DE03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E030B"/>
    <w:pPr>
      <w:tabs>
        <w:tab w:val="clear" w:pos="0"/>
      </w:tabs>
      <w:spacing w:line="240" w:lineRule="auto"/>
      <w:ind w:left="720"/>
      <w:contextualSpacing/>
      <w:outlineLvl w:val="9"/>
    </w:pPr>
  </w:style>
  <w:style w:type="paragraph" w:customStyle="1" w:styleId="EndNoteBibliographyTitle">
    <w:name w:val="EndNote Bibliography Title"/>
    <w:basedOn w:val="Normal"/>
    <w:link w:val="EndNoteBibliographyTitleChar"/>
    <w:rsid w:val="00DE030B"/>
    <w:pPr>
      <w:jc w:val="center"/>
    </w:pPr>
    <w:rPr>
      <w:rFonts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E030B"/>
    <w:rPr>
      <w:rFonts w:ascii="Arial" w:eastAsia="Times New Roman" w:hAnsi="Arial" w:cs="Arial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DE030B"/>
    <w:pPr>
      <w:spacing w:line="240" w:lineRule="auto"/>
    </w:pPr>
    <w:rPr>
      <w:rFonts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E030B"/>
    <w:rPr>
      <w:rFonts w:ascii="Arial" w:eastAsia="Times New Roman" w:hAnsi="Arial" w:cs="Arial"/>
      <w:noProof/>
      <w:sz w:val="24"/>
      <w:szCs w:val="24"/>
    </w:rPr>
  </w:style>
  <w:style w:type="paragraph" w:styleId="Revision">
    <w:name w:val="Revision"/>
    <w:hidden/>
    <w:uiPriority w:val="99"/>
    <w:semiHidden/>
    <w:rsid w:val="00DE030B"/>
    <w:pPr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E030B"/>
    <w:rPr>
      <w:color w:val="0000FF" w:themeColor="hyperlink"/>
      <w:u w:val="single"/>
    </w:rPr>
  </w:style>
  <w:style w:type="paragraph" w:customStyle="1" w:styleId="Default">
    <w:name w:val="Default"/>
    <w:rsid w:val="00DE030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Normal"/>
    <w:rsid w:val="00DE030B"/>
    <w:pPr>
      <w:keepNext/>
      <w:pBdr>
        <w:top w:val="nil"/>
        <w:left w:val="nil"/>
        <w:bottom w:val="nil"/>
        <w:right w:val="nil"/>
        <w:between w:val="nil"/>
        <w:bar w:val="nil"/>
      </w:pBdr>
      <w:spacing w:after="0" w:line="480" w:lineRule="auto"/>
      <w:outlineLvl w:val="0"/>
    </w:pPr>
    <w:rPr>
      <w:rFonts w:ascii="Arial" w:eastAsia="Arial Unicode MS" w:hAnsi="Arial" w:cs="Arial Unicode MS"/>
      <w:b/>
      <w:bCs/>
      <w:caps/>
      <w:color w:val="000000"/>
      <w:kern w:val="32"/>
      <w:sz w:val="24"/>
      <w:szCs w:val="24"/>
      <w:u w:color="000000"/>
      <w:bdr w:val="nil"/>
      <w:lang w:val="fr-FR"/>
      <w14:textOutline w14:w="0" w14:cap="flat" w14:cmpd="sng" w14:algn="ctr">
        <w14:noFill/>
        <w14:prstDash w14:val="solid"/>
        <w14:bevel/>
      </w14:textOutline>
    </w:rPr>
  </w:style>
  <w:style w:type="character" w:styleId="FollowedHyperlink">
    <w:name w:val="FollowedHyperlink"/>
    <w:basedOn w:val="DefaultParagraphFont"/>
    <w:semiHidden/>
    <w:unhideWhenUsed/>
    <w:rsid w:val="00DE030B"/>
    <w:rPr>
      <w:color w:val="800080" w:themeColor="followedHyperlink"/>
      <w:u w:val="single"/>
    </w:rPr>
  </w:style>
  <w:style w:type="character" w:styleId="LineNumber">
    <w:name w:val="line number"/>
    <w:basedOn w:val="DefaultParagraphFont"/>
    <w:semiHidden/>
    <w:unhideWhenUsed/>
    <w:rsid w:val="00DE03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719</Words>
  <Characters>4102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PA-EDIT</dc:creator>
  <cp:lastModifiedBy>Meghan</cp:lastModifiedBy>
  <cp:revision>4</cp:revision>
  <dcterms:created xsi:type="dcterms:W3CDTF">2020-07-16T14:41:00Z</dcterms:created>
  <dcterms:modified xsi:type="dcterms:W3CDTF">2020-07-17T14:10:00Z</dcterms:modified>
</cp:coreProperties>
</file>