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5AE00" w14:textId="77777777" w:rsidR="0062355C" w:rsidRDefault="0062355C" w:rsidP="0062355C">
      <w:pPr>
        <w:spacing w:line="360" w:lineRule="auto"/>
        <w:jc w:val="center"/>
        <w:rPr>
          <w:b/>
          <w:color w:val="222222"/>
          <w:szCs w:val="24"/>
          <w:shd w:val="clear" w:color="auto" w:fill="FFFFFF"/>
        </w:rPr>
      </w:pPr>
      <w:r>
        <w:rPr>
          <w:b/>
          <w:color w:val="222222"/>
          <w:szCs w:val="24"/>
          <w:shd w:val="clear" w:color="auto" w:fill="FFFFFF"/>
        </w:rPr>
        <w:t>The use of low-quality cotton-derived cellulose films as templates for in situ conductive polymer synthesis as promising biomaterials in biomedical applications</w:t>
      </w:r>
    </w:p>
    <w:p w14:paraId="53F12006" w14:textId="77777777" w:rsidR="0062355C" w:rsidRPr="001D2449" w:rsidRDefault="0062355C" w:rsidP="0062355C">
      <w:pPr>
        <w:spacing w:line="360" w:lineRule="auto"/>
        <w:jc w:val="center"/>
        <w:rPr>
          <w:b/>
          <w:color w:val="222222"/>
          <w:szCs w:val="24"/>
          <w:shd w:val="clear" w:color="auto" w:fill="FFFFFF"/>
        </w:rPr>
      </w:pPr>
    </w:p>
    <w:p w14:paraId="646660EA" w14:textId="77777777" w:rsidR="0062355C" w:rsidRPr="001D2449" w:rsidRDefault="0062355C" w:rsidP="0062355C">
      <w:pPr>
        <w:spacing w:line="360" w:lineRule="auto"/>
        <w:jc w:val="center"/>
        <w:rPr>
          <w:b/>
          <w:color w:val="222222"/>
          <w:szCs w:val="24"/>
          <w:shd w:val="clear" w:color="auto" w:fill="FFFFFF"/>
        </w:rPr>
      </w:pPr>
      <w:r w:rsidRPr="001D2449">
        <w:rPr>
          <w:b/>
          <w:color w:val="222222"/>
          <w:szCs w:val="24"/>
          <w:shd w:val="clear" w:color="auto" w:fill="FFFFFF"/>
        </w:rPr>
        <w:t xml:space="preserve">Sahin </w:t>
      </w:r>
      <w:proofErr w:type="spellStart"/>
      <w:proofErr w:type="gramStart"/>
      <w:r w:rsidRPr="001D2449">
        <w:rPr>
          <w:b/>
          <w:color w:val="222222"/>
          <w:szCs w:val="24"/>
          <w:shd w:val="clear" w:color="auto" w:fill="FFFFFF"/>
        </w:rPr>
        <w:t>Demirci</w:t>
      </w:r>
      <w:r w:rsidRPr="001D2449">
        <w:rPr>
          <w:b/>
          <w:color w:val="222222"/>
          <w:szCs w:val="24"/>
          <w:shd w:val="clear" w:color="auto" w:fill="FFFFFF"/>
          <w:vertAlign w:val="superscript"/>
        </w:rPr>
        <w:t>a,b</w:t>
      </w:r>
      <w:proofErr w:type="spellEnd"/>
      <w:proofErr w:type="gramEnd"/>
      <w:r w:rsidRPr="001D2449">
        <w:rPr>
          <w:b/>
          <w:color w:val="222222"/>
          <w:szCs w:val="24"/>
          <w:shd w:val="clear" w:color="auto" w:fill="FFFFFF"/>
        </w:rPr>
        <w:t xml:space="preserve">, Mehtap </w:t>
      </w:r>
      <w:proofErr w:type="spellStart"/>
      <w:r w:rsidRPr="001D2449">
        <w:rPr>
          <w:b/>
          <w:color w:val="222222"/>
          <w:szCs w:val="24"/>
          <w:shd w:val="clear" w:color="auto" w:fill="FFFFFF"/>
        </w:rPr>
        <w:t>Sahiner</w:t>
      </w:r>
      <w:r w:rsidRPr="001D2449">
        <w:rPr>
          <w:b/>
          <w:color w:val="222222"/>
          <w:szCs w:val="24"/>
          <w:shd w:val="clear" w:color="auto" w:fill="FFFFFF"/>
          <w:vertAlign w:val="superscript"/>
        </w:rPr>
        <w:t>b,c</w:t>
      </w:r>
      <w:proofErr w:type="spellEnd"/>
      <w:r w:rsidRPr="001D2449">
        <w:rPr>
          <w:b/>
          <w:color w:val="222222"/>
          <w:szCs w:val="24"/>
          <w:shd w:val="clear" w:color="auto" w:fill="FFFFFF"/>
        </w:rPr>
        <w:t xml:space="preserve">, Shaida S. </w:t>
      </w:r>
      <w:proofErr w:type="spellStart"/>
      <w:r w:rsidRPr="001D2449">
        <w:rPr>
          <w:b/>
          <w:color w:val="222222"/>
          <w:szCs w:val="24"/>
          <w:shd w:val="clear" w:color="auto" w:fill="FFFFFF"/>
        </w:rPr>
        <w:t>Rumi</w:t>
      </w:r>
      <w:r w:rsidRPr="001D2449">
        <w:rPr>
          <w:b/>
          <w:color w:val="222222"/>
          <w:szCs w:val="24"/>
          <w:shd w:val="clear" w:color="auto" w:fill="FFFFFF"/>
          <w:vertAlign w:val="superscript"/>
        </w:rPr>
        <w:t>d</w:t>
      </w:r>
      <w:proofErr w:type="spellEnd"/>
      <w:r w:rsidRPr="001D2449">
        <w:rPr>
          <w:b/>
          <w:color w:val="222222"/>
          <w:szCs w:val="24"/>
          <w:shd w:val="clear" w:color="auto" w:fill="FFFFFF"/>
        </w:rPr>
        <w:t xml:space="preserve">, </w:t>
      </w:r>
      <w:r>
        <w:rPr>
          <w:b/>
          <w:color w:val="222222"/>
          <w:szCs w:val="24"/>
          <w:shd w:val="clear" w:color="auto" w:fill="FFFFFF"/>
        </w:rPr>
        <w:t>Selin S. Suner</w:t>
      </w:r>
      <w:r w:rsidRPr="00A33BCA">
        <w:rPr>
          <w:b/>
          <w:color w:val="222222"/>
          <w:szCs w:val="24"/>
          <w:shd w:val="clear" w:color="auto" w:fill="FFFFFF"/>
          <w:vertAlign w:val="superscript"/>
        </w:rPr>
        <w:t>a</w:t>
      </w:r>
      <w:r>
        <w:rPr>
          <w:b/>
          <w:color w:val="222222"/>
          <w:szCs w:val="24"/>
          <w:shd w:val="clear" w:color="auto" w:fill="FFFFFF"/>
        </w:rPr>
        <w:t xml:space="preserve">, </w:t>
      </w:r>
      <w:r w:rsidRPr="001D2449">
        <w:rPr>
          <w:b/>
          <w:color w:val="222222"/>
          <w:szCs w:val="24"/>
          <w:shd w:val="clear" w:color="auto" w:fill="FFFFFF"/>
        </w:rPr>
        <w:t>Noureddine Abidi</w:t>
      </w:r>
      <w:r w:rsidRPr="001D2449">
        <w:rPr>
          <w:b/>
          <w:color w:val="222222"/>
          <w:szCs w:val="24"/>
          <w:shd w:val="clear" w:color="auto" w:fill="FFFFFF"/>
          <w:vertAlign w:val="superscript"/>
        </w:rPr>
        <w:t xml:space="preserve"> d</w:t>
      </w:r>
      <w:r>
        <w:rPr>
          <w:b/>
          <w:color w:val="222222"/>
          <w:szCs w:val="24"/>
          <w:shd w:val="clear" w:color="auto" w:fill="FFFFFF"/>
          <w:vertAlign w:val="superscript"/>
        </w:rPr>
        <w:t>*</w:t>
      </w:r>
      <w:r w:rsidRPr="001D2449">
        <w:rPr>
          <w:b/>
          <w:color w:val="222222"/>
          <w:szCs w:val="24"/>
          <w:shd w:val="clear" w:color="auto" w:fill="FFFFFF"/>
        </w:rPr>
        <w:t xml:space="preserve">, Nurettin </w:t>
      </w:r>
      <w:proofErr w:type="spellStart"/>
      <w:r w:rsidRPr="001D2449">
        <w:rPr>
          <w:b/>
          <w:color w:val="222222"/>
          <w:szCs w:val="24"/>
          <w:shd w:val="clear" w:color="auto" w:fill="FFFFFF"/>
        </w:rPr>
        <w:t>Sahiner</w:t>
      </w:r>
      <w:r w:rsidRPr="001D2449">
        <w:rPr>
          <w:b/>
          <w:color w:val="222222"/>
          <w:szCs w:val="24"/>
          <w:shd w:val="clear" w:color="auto" w:fill="FFFFFF"/>
          <w:vertAlign w:val="superscript"/>
        </w:rPr>
        <w:t>a,b,e</w:t>
      </w:r>
      <w:proofErr w:type="spellEnd"/>
      <w:r>
        <w:rPr>
          <w:b/>
          <w:color w:val="222222"/>
          <w:szCs w:val="24"/>
          <w:shd w:val="clear" w:color="auto" w:fill="FFFFFF"/>
          <w:vertAlign w:val="superscript"/>
        </w:rPr>
        <w:t>*</w:t>
      </w:r>
    </w:p>
    <w:p w14:paraId="46A0EFF0" w14:textId="77777777" w:rsidR="0062355C" w:rsidRPr="001D2449" w:rsidRDefault="0062355C" w:rsidP="0062355C">
      <w:pPr>
        <w:spacing w:after="0"/>
        <w:jc w:val="both"/>
        <w:rPr>
          <w:rFonts w:cs="Times New Roman"/>
          <w:szCs w:val="24"/>
        </w:rPr>
      </w:pPr>
      <w:r w:rsidRPr="001D2449">
        <w:rPr>
          <w:rFonts w:cs="Times New Roman"/>
          <w:szCs w:val="24"/>
          <w:vertAlign w:val="superscript"/>
        </w:rPr>
        <w:t xml:space="preserve">a </w:t>
      </w:r>
      <w:r w:rsidRPr="001D2449">
        <w:rPr>
          <w:rFonts w:cs="Times New Roman"/>
          <w:color w:val="000000" w:themeColor="text1"/>
          <w:szCs w:val="24"/>
        </w:rPr>
        <w:t xml:space="preserve">Department of </w:t>
      </w:r>
      <w:r w:rsidRPr="001D2449">
        <w:rPr>
          <w:rFonts w:cs="Times New Roman"/>
          <w:szCs w:val="24"/>
        </w:rPr>
        <w:t xml:space="preserve">Chemistry, Faculty of Science, </w:t>
      </w:r>
      <w:proofErr w:type="spellStart"/>
      <w:r w:rsidRPr="001D2449">
        <w:rPr>
          <w:rFonts w:cs="Times New Roman"/>
          <w:color w:val="000000" w:themeColor="text1"/>
          <w:szCs w:val="24"/>
        </w:rPr>
        <w:t>Canakkale</w:t>
      </w:r>
      <w:proofErr w:type="spellEnd"/>
      <w:r w:rsidRPr="001D2449">
        <w:rPr>
          <w:rFonts w:cs="Times New Roman"/>
          <w:color w:val="000000" w:themeColor="text1"/>
          <w:szCs w:val="24"/>
        </w:rPr>
        <w:t xml:space="preserve"> </w:t>
      </w:r>
      <w:proofErr w:type="spellStart"/>
      <w:r w:rsidRPr="001D2449">
        <w:rPr>
          <w:rFonts w:cs="Times New Roman"/>
          <w:color w:val="000000" w:themeColor="text1"/>
          <w:szCs w:val="24"/>
        </w:rPr>
        <w:t>Onsekiz</w:t>
      </w:r>
      <w:proofErr w:type="spellEnd"/>
      <w:r w:rsidRPr="001D2449">
        <w:rPr>
          <w:rFonts w:cs="Times New Roman"/>
          <w:color w:val="000000" w:themeColor="text1"/>
          <w:szCs w:val="24"/>
        </w:rPr>
        <w:t xml:space="preserve"> Mart University </w:t>
      </w:r>
      <w:proofErr w:type="spellStart"/>
      <w:r w:rsidRPr="001D2449">
        <w:rPr>
          <w:rFonts w:cs="Times New Roman"/>
          <w:color w:val="000000" w:themeColor="text1"/>
          <w:szCs w:val="24"/>
        </w:rPr>
        <w:t>Terzioglu</w:t>
      </w:r>
      <w:proofErr w:type="spellEnd"/>
      <w:r w:rsidRPr="001D2449">
        <w:rPr>
          <w:rFonts w:cs="Times New Roman"/>
          <w:color w:val="000000" w:themeColor="text1"/>
          <w:szCs w:val="24"/>
        </w:rPr>
        <w:t xml:space="preserve"> Campus, 17100, </w:t>
      </w:r>
      <w:proofErr w:type="spellStart"/>
      <w:proofErr w:type="gramStart"/>
      <w:r w:rsidRPr="001D2449">
        <w:rPr>
          <w:rFonts w:cs="Times New Roman"/>
          <w:color w:val="000000" w:themeColor="text1"/>
          <w:szCs w:val="24"/>
        </w:rPr>
        <w:t>Canakkale</w:t>
      </w:r>
      <w:r w:rsidRPr="001D2449">
        <w:rPr>
          <w:rFonts w:cs="Times New Roman"/>
          <w:szCs w:val="24"/>
        </w:rPr>
        <w:t>,Turkey</w:t>
      </w:r>
      <w:proofErr w:type="spellEnd"/>
      <w:proofErr w:type="gramEnd"/>
      <w:r w:rsidRPr="001D2449">
        <w:rPr>
          <w:rFonts w:cs="Times New Roman"/>
          <w:szCs w:val="24"/>
        </w:rPr>
        <w:t>.</w:t>
      </w:r>
    </w:p>
    <w:p w14:paraId="2721987D" w14:textId="77777777" w:rsidR="0062355C" w:rsidRPr="001D2449" w:rsidRDefault="0062355C" w:rsidP="0062355C">
      <w:pPr>
        <w:pStyle w:val="BCAuthorAddress"/>
        <w:spacing w:after="0" w:line="240" w:lineRule="auto"/>
        <w:jc w:val="both"/>
        <w:rPr>
          <w:rFonts w:ascii="Times New Roman" w:hAnsi="Times New Roman"/>
          <w:szCs w:val="24"/>
        </w:rPr>
      </w:pPr>
      <w:r w:rsidRPr="001D2449">
        <w:rPr>
          <w:rFonts w:ascii="Times New Roman" w:hAnsi="Times New Roman"/>
          <w:szCs w:val="24"/>
          <w:vertAlign w:val="superscript"/>
        </w:rPr>
        <w:t xml:space="preserve">b </w:t>
      </w:r>
      <w:r w:rsidRPr="001D2449">
        <w:rPr>
          <w:rFonts w:ascii="Times New Roman" w:hAnsi="Times New Roman"/>
          <w:szCs w:val="24"/>
        </w:rPr>
        <w:t>Department of</w:t>
      </w:r>
      <w:r w:rsidRPr="001D2449">
        <w:rPr>
          <w:rFonts w:ascii="Times New Roman" w:hAnsi="Times New Roman"/>
          <w:szCs w:val="24"/>
          <w:vertAlign w:val="superscript"/>
        </w:rPr>
        <w:t xml:space="preserve"> </w:t>
      </w:r>
      <w:r w:rsidRPr="001D2449">
        <w:rPr>
          <w:rFonts w:ascii="Times New Roman" w:hAnsi="Times New Roman"/>
          <w:szCs w:val="24"/>
        </w:rPr>
        <w:t>Chemical, Biomolecular and Materials Engineering, University of South Florida, Tampa, FL.</w:t>
      </w:r>
    </w:p>
    <w:p w14:paraId="4EE3C621" w14:textId="77777777" w:rsidR="0062355C" w:rsidRPr="001D2449" w:rsidRDefault="0062355C" w:rsidP="0062355C">
      <w:pPr>
        <w:spacing w:after="0"/>
        <w:jc w:val="both"/>
        <w:rPr>
          <w:rFonts w:cs="Times New Roman"/>
          <w:szCs w:val="24"/>
        </w:rPr>
      </w:pPr>
      <w:r w:rsidRPr="001D2449">
        <w:rPr>
          <w:szCs w:val="24"/>
          <w:vertAlign w:val="superscript"/>
        </w:rPr>
        <w:t xml:space="preserve">c </w:t>
      </w:r>
      <w:r w:rsidRPr="001D2449">
        <w:rPr>
          <w:szCs w:val="24"/>
        </w:rPr>
        <w:t xml:space="preserve">Department Bioengineering, </w:t>
      </w:r>
      <w:r w:rsidRPr="001D2449">
        <w:rPr>
          <w:rFonts w:cs="Times New Roman"/>
          <w:szCs w:val="24"/>
        </w:rPr>
        <w:t xml:space="preserve">Faculty of Engineering, </w:t>
      </w:r>
      <w:proofErr w:type="spellStart"/>
      <w:r w:rsidRPr="001D2449">
        <w:rPr>
          <w:rFonts w:cs="Times New Roman"/>
          <w:color w:val="000000" w:themeColor="text1"/>
          <w:szCs w:val="24"/>
        </w:rPr>
        <w:t>Canakkale</w:t>
      </w:r>
      <w:proofErr w:type="spellEnd"/>
      <w:r w:rsidRPr="001D2449">
        <w:rPr>
          <w:rFonts w:cs="Times New Roman"/>
          <w:color w:val="000000" w:themeColor="text1"/>
          <w:szCs w:val="24"/>
        </w:rPr>
        <w:t xml:space="preserve"> </w:t>
      </w:r>
      <w:proofErr w:type="spellStart"/>
      <w:r w:rsidRPr="001D2449">
        <w:rPr>
          <w:rFonts w:cs="Times New Roman"/>
          <w:color w:val="000000" w:themeColor="text1"/>
          <w:szCs w:val="24"/>
        </w:rPr>
        <w:t>Onsekiz</w:t>
      </w:r>
      <w:proofErr w:type="spellEnd"/>
      <w:r w:rsidRPr="001D2449">
        <w:rPr>
          <w:rFonts w:cs="Times New Roman"/>
          <w:color w:val="000000" w:themeColor="text1"/>
          <w:szCs w:val="24"/>
        </w:rPr>
        <w:t xml:space="preserve"> Mart University </w:t>
      </w:r>
      <w:proofErr w:type="spellStart"/>
      <w:r w:rsidRPr="001D2449">
        <w:rPr>
          <w:rFonts w:cs="Times New Roman"/>
          <w:color w:val="000000" w:themeColor="text1"/>
          <w:szCs w:val="24"/>
        </w:rPr>
        <w:t>Terzioglu</w:t>
      </w:r>
      <w:proofErr w:type="spellEnd"/>
      <w:r w:rsidRPr="001D2449">
        <w:rPr>
          <w:rFonts w:cs="Times New Roman"/>
          <w:color w:val="000000" w:themeColor="text1"/>
          <w:szCs w:val="24"/>
        </w:rPr>
        <w:t xml:space="preserve"> Campus, 17100, </w:t>
      </w:r>
      <w:proofErr w:type="spellStart"/>
      <w:r w:rsidRPr="001D2449">
        <w:rPr>
          <w:rFonts w:cs="Times New Roman"/>
          <w:color w:val="000000" w:themeColor="text1"/>
          <w:szCs w:val="24"/>
        </w:rPr>
        <w:t>Canakkale</w:t>
      </w:r>
      <w:proofErr w:type="spellEnd"/>
      <w:r w:rsidRPr="001D2449">
        <w:rPr>
          <w:rFonts w:cs="Times New Roman"/>
          <w:szCs w:val="24"/>
        </w:rPr>
        <w:t>, Turkey.</w:t>
      </w:r>
    </w:p>
    <w:p w14:paraId="1334CE36" w14:textId="77777777" w:rsidR="0062355C" w:rsidRPr="001D2449" w:rsidRDefault="0062355C" w:rsidP="0062355C">
      <w:pPr>
        <w:spacing w:after="0"/>
        <w:jc w:val="both"/>
        <w:rPr>
          <w:color w:val="000000" w:themeColor="text1"/>
          <w:szCs w:val="24"/>
        </w:rPr>
      </w:pPr>
      <w:r w:rsidRPr="001D2449">
        <w:rPr>
          <w:color w:val="000000" w:themeColor="text1"/>
          <w:szCs w:val="24"/>
          <w:vertAlign w:val="superscript"/>
        </w:rPr>
        <w:t xml:space="preserve">d </w:t>
      </w:r>
      <w:r w:rsidRPr="001D2449">
        <w:rPr>
          <w:color w:val="000000" w:themeColor="text1"/>
          <w:szCs w:val="24"/>
        </w:rPr>
        <w:t>Fiber and Biopolymer Research Institute, Texas Tech University, 1001 E Loop 289, Lubbock, Texas 79403</w:t>
      </w:r>
    </w:p>
    <w:p w14:paraId="6BD7A882" w14:textId="77777777" w:rsidR="0062355C" w:rsidRDefault="0062355C" w:rsidP="0062355C">
      <w:pPr>
        <w:spacing w:after="0"/>
        <w:jc w:val="both"/>
        <w:rPr>
          <w:color w:val="000000" w:themeColor="text1"/>
          <w:szCs w:val="24"/>
        </w:rPr>
      </w:pPr>
      <w:r w:rsidRPr="001D2449">
        <w:rPr>
          <w:color w:val="000000" w:themeColor="text1"/>
          <w:szCs w:val="24"/>
          <w:vertAlign w:val="superscript"/>
        </w:rPr>
        <w:t xml:space="preserve">e </w:t>
      </w:r>
      <w:r w:rsidRPr="001D2449">
        <w:rPr>
          <w:color w:val="000000" w:themeColor="text1"/>
          <w:szCs w:val="24"/>
        </w:rPr>
        <w:t>Department of Ophthalmology, Morsani College of Medicine, University of South Florida, Tampa, FL, 33612 USA.</w:t>
      </w:r>
    </w:p>
    <w:p w14:paraId="4B687A96" w14:textId="77777777" w:rsidR="0062355C" w:rsidRPr="001D2449" w:rsidRDefault="0062355C" w:rsidP="0062355C">
      <w:pPr>
        <w:spacing w:after="0"/>
        <w:jc w:val="both"/>
        <w:rPr>
          <w:color w:val="000000" w:themeColor="text1"/>
          <w:szCs w:val="24"/>
        </w:rPr>
      </w:pPr>
    </w:p>
    <w:p w14:paraId="0233B3F9" w14:textId="3C69B945" w:rsidR="0062355C" w:rsidRPr="0004286F" w:rsidRDefault="0062355C" w:rsidP="0062355C">
      <w:pPr>
        <w:spacing w:after="0"/>
        <w:jc w:val="both"/>
        <w:rPr>
          <w:color w:val="000000" w:themeColor="text1"/>
          <w:szCs w:val="24"/>
        </w:rPr>
      </w:pPr>
      <w:bookmarkStart w:id="0" w:name="_Hlk168536847"/>
      <w:r w:rsidRPr="00526C32">
        <w:rPr>
          <w:b/>
          <w:color w:val="222222"/>
          <w:szCs w:val="24"/>
          <w:shd w:val="clear" w:color="auto" w:fill="FFFFFF"/>
          <w:vertAlign w:val="superscript"/>
        </w:rPr>
        <w:t>*</w:t>
      </w:r>
      <w:r w:rsidRPr="00526C32">
        <w:rPr>
          <w:b/>
          <w:color w:val="222222"/>
          <w:szCs w:val="24"/>
          <w:shd w:val="clear" w:color="auto" w:fill="FFFFFF"/>
        </w:rPr>
        <w:t>Corresponding</w:t>
      </w:r>
      <w:r w:rsidRPr="00526C32">
        <w:rPr>
          <w:b/>
          <w:color w:val="222222"/>
          <w:szCs w:val="24"/>
          <w:shd w:val="clear" w:color="auto" w:fill="FFFFFF"/>
          <w:vertAlign w:val="superscript"/>
        </w:rPr>
        <w:t xml:space="preserve"> </w:t>
      </w:r>
      <w:r w:rsidRPr="00526C32">
        <w:rPr>
          <w:b/>
          <w:color w:val="000000" w:themeColor="text1"/>
          <w:szCs w:val="24"/>
        </w:rPr>
        <w:t>Author</w:t>
      </w:r>
      <w:r>
        <w:rPr>
          <w:b/>
          <w:color w:val="000000" w:themeColor="text1"/>
          <w:szCs w:val="24"/>
        </w:rPr>
        <w:t>s</w:t>
      </w:r>
      <w:r w:rsidRPr="00526C32">
        <w:rPr>
          <w:b/>
          <w:color w:val="000000" w:themeColor="text1"/>
          <w:szCs w:val="24"/>
        </w:rPr>
        <w:t>:</w:t>
      </w:r>
      <w:r>
        <w:rPr>
          <w:color w:val="000000" w:themeColor="text1"/>
          <w:szCs w:val="24"/>
        </w:rPr>
        <w:t xml:space="preserve"> </w:t>
      </w:r>
      <w:hyperlink r:id="rId6" w:history="1">
        <w:r w:rsidRPr="00366685">
          <w:rPr>
            <w:rStyle w:val="Hyperlink"/>
            <w:szCs w:val="24"/>
          </w:rPr>
          <w:t>Noureddine.abidi@ttu.edu</w:t>
        </w:r>
      </w:hyperlink>
      <w:r>
        <w:rPr>
          <w:rStyle w:val="Hyperlink"/>
          <w:szCs w:val="24"/>
        </w:rPr>
        <w:t xml:space="preserve"> </w:t>
      </w:r>
      <w:r w:rsidRPr="0062355C">
        <w:rPr>
          <w:szCs w:val="24"/>
        </w:rPr>
        <w:t>(</w:t>
      </w:r>
      <w:r w:rsidRPr="0062355C">
        <w:rPr>
          <w:rStyle w:val="Hyperlink"/>
          <w:color w:val="auto"/>
          <w:szCs w:val="24"/>
        </w:rPr>
        <w:t>N. Abidi);</w:t>
      </w:r>
      <w:r w:rsidRPr="0004286F">
        <w:rPr>
          <w:color w:val="000000" w:themeColor="text1"/>
          <w:szCs w:val="24"/>
        </w:rPr>
        <w:t xml:space="preserve"> </w:t>
      </w:r>
      <w:hyperlink r:id="rId7" w:history="1">
        <w:r w:rsidRPr="00EC6B89">
          <w:rPr>
            <w:rStyle w:val="Hyperlink"/>
            <w:szCs w:val="24"/>
          </w:rPr>
          <w:t>nsahiner@usf.edu</w:t>
        </w:r>
      </w:hyperlink>
      <w:r>
        <w:rPr>
          <w:szCs w:val="24"/>
        </w:rPr>
        <w:t xml:space="preserve"> </w:t>
      </w:r>
      <w:r>
        <w:rPr>
          <w:color w:val="000000" w:themeColor="text1"/>
          <w:szCs w:val="24"/>
        </w:rPr>
        <w:t>(</w:t>
      </w:r>
      <w:proofErr w:type="spellStart"/>
      <w:r w:rsidRPr="0004286F">
        <w:rPr>
          <w:color w:val="000000" w:themeColor="text1"/>
          <w:szCs w:val="24"/>
        </w:rPr>
        <w:t>N.Sahiner</w:t>
      </w:r>
      <w:proofErr w:type="spellEnd"/>
      <w:r>
        <w:rPr>
          <w:color w:val="000000" w:themeColor="text1"/>
          <w:szCs w:val="24"/>
        </w:rPr>
        <w:t>)</w:t>
      </w:r>
      <w:r w:rsidRPr="0004286F">
        <w:rPr>
          <w:color w:val="000000" w:themeColor="text1"/>
          <w:szCs w:val="24"/>
        </w:rPr>
        <w:t xml:space="preserve">; </w:t>
      </w:r>
      <w:hyperlink r:id="rId8" w:history="1">
        <w:r w:rsidRPr="0004286F">
          <w:rPr>
            <w:rStyle w:val="Hyperlink"/>
            <w:szCs w:val="24"/>
          </w:rPr>
          <w:t>sahiner71@gmail.com</w:t>
        </w:r>
      </w:hyperlink>
      <w:r>
        <w:rPr>
          <w:rStyle w:val="Hyperlink"/>
          <w:szCs w:val="24"/>
        </w:rPr>
        <w:t xml:space="preserve"> </w:t>
      </w:r>
      <w:r>
        <w:rPr>
          <w:color w:val="000000" w:themeColor="text1"/>
          <w:szCs w:val="24"/>
        </w:rPr>
        <w:t>(</w:t>
      </w:r>
      <w:proofErr w:type="spellStart"/>
      <w:r w:rsidRPr="0004286F">
        <w:rPr>
          <w:color w:val="000000" w:themeColor="text1"/>
          <w:szCs w:val="24"/>
        </w:rPr>
        <w:t>N.Sahiner</w:t>
      </w:r>
      <w:proofErr w:type="spellEnd"/>
      <w:r>
        <w:rPr>
          <w:color w:val="000000" w:themeColor="text1"/>
          <w:szCs w:val="24"/>
        </w:rPr>
        <w:t>)</w:t>
      </w:r>
      <w:r>
        <w:rPr>
          <w:color w:val="000000" w:themeColor="text1"/>
          <w:szCs w:val="24"/>
        </w:rPr>
        <w:t>.</w:t>
      </w:r>
      <w:r w:rsidRPr="0004286F">
        <w:rPr>
          <w:rStyle w:val="Hyperlink"/>
          <w:szCs w:val="24"/>
        </w:rPr>
        <w:t xml:space="preserve"> </w:t>
      </w:r>
    </w:p>
    <w:bookmarkEnd w:id="0"/>
    <w:p w14:paraId="6D4FB074" w14:textId="77777777" w:rsidR="000F21EE" w:rsidRDefault="000F21EE" w:rsidP="00AF36D7">
      <w:pPr>
        <w:spacing w:line="360" w:lineRule="auto"/>
        <w:jc w:val="both"/>
        <w:rPr>
          <w:b/>
          <w:bCs/>
          <w:color w:val="222222"/>
          <w:szCs w:val="24"/>
          <w:shd w:val="clear" w:color="auto" w:fill="FFFFFF"/>
        </w:rPr>
      </w:pPr>
    </w:p>
    <w:p w14:paraId="6B348522" w14:textId="77777777" w:rsidR="000F21EE" w:rsidRDefault="000F21EE" w:rsidP="00AF36D7">
      <w:pPr>
        <w:spacing w:line="360" w:lineRule="auto"/>
        <w:jc w:val="both"/>
        <w:rPr>
          <w:b/>
          <w:bCs/>
          <w:color w:val="222222"/>
          <w:szCs w:val="24"/>
          <w:shd w:val="clear" w:color="auto" w:fill="FFFFFF"/>
        </w:rPr>
      </w:pPr>
    </w:p>
    <w:p w14:paraId="4CEBE755" w14:textId="77777777" w:rsidR="000F21EE" w:rsidRDefault="000F21EE" w:rsidP="00AF36D7">
      <w:pPr>
        <w:spacing w:line="360" w:lineRule="auto"/>
        <w:jc w:val="both"/>
        <w:rPr>
          <w:b/>
          <w:bCs/>
          <w:color w:val="222222"/>
          <w:szCs w:val="24"/>
          <w:shd w:val="clear" w:color="auto" w:fill="FFFFFF"/>
        </w:rPr>
      </w:pPr>
    </w:p>
    <w:p w14:paraId="261F712A" w14:textId="77777777" w:rsidR="000F21EE" w:rsidRDefault="000F21EE" w:rsidP="00AF36D7">
      <w:pPr>
        <w:spacing w:line="360" w:lineRule="auto"/>
        <w:jc w:val="both"/>
        <w:rPr>
          <w:b/>
          <w:bCs/>
          <w:color w:val="222222"/>
          <w:szCs w:val="24"/>
          <w:shd w:val="clear" w:color="auto" w:fill="FFFFFF"/>
        </w:rPr>
      </w:pPr>
    </w:p>
    <w:p w14:paraId="3C8B9BA9" w14:textId="77777777" w:rsidR="000F21EE" w:rsidRDefault="000F21EE" w:rsidP="00AF36D7">
      <w:pPr>
        <w:spacing w:line="360" w:lineRule="auto"/>
        <w:jc w:val="both"/>
        <w:rPr>
          <w:b/>
          <w:bCs/>
          <w:color w:val="222222"/>
          <w:szCs w:val="24"/>
          <w:shd w:val="clear" w:color="auto" w:fill="FFFFFF"/>
        </w:rPr>
      </w:pPr>
    </w:p>
    <w:p w14:paraId="612F8CAB" w14:textId="77777777" w:rsidR="000F21EE" w:rsidRDefault="000F21EE" w:rsidP="00AF36D7">
      <w:pPr>
        <w:spacing w:line="360" w:lineRule="auto"/>
        <w:jc w:val="both"/>
        <w:rPr>
          <w:b/>
          <w:bCs/>
          <w:color w:val="222222"/>
          <w:szCs w:val="24"/>
          <w:shd w:val="clear" w:color="auto" w:fill="FFFFFF"/>
        </w:rPr>
      </w:pPr>
    </w:p>
    <w:p w14:paraId="0C67DDCF" w14:textId="77777777" w:rsidR="000F21EE" w:rsidRDefault="000F21EE" w:rsidP="00AF36D7">
      <w:pPr>
        <w:spacing w:line="360" w:lineRule="auto"/>
        <w:jc w:val="both"/>
        <w:rPr>
          <w:b/>
          <w:bCs/>
          <w:color w:val="222222"/>
          <w:szCs w:val="24"/>
          <w:shd w:val="clear" w:color="auto" w:fill="FFFFFF"/>
        </w:rPr>
      </w:pPr>
    </w:p>
    <w:p w14:paraId="6DED697D" w14:textId="77777777" w:rsidR="000F21EE" w:rsidRDefault="000F21EE" w:rsidP="00AF36D7">
      <w:pPr>
        <w:spacing w:line="360" w:lineRule="auto"/>
        <w:jc w:val="both"/>
        <w:rPr>
          <w:b/>
          <w:bCs/>
          <w:color w:val="222222"/>
          <w:szCs w:val="24"/>
          <w:shd w:val="clear" w:color="auto" w:fill="FFFFFF"/>
        </w:rPr>
      </w:pPr>
    </w:p>
    <w:p w14:paraId="06E1F7E3" w14:textId="77777777" w:rsidR="0062355C" w:rsidRDefault="0062355C" w:rsidP="00AF36D7">
      <w:pPr>
        <w:spacing w:line="360" w:lineRule="auto"/>
        <w:jc w:val="both"/>
        <w:rPr>
          <w:b/>
          <w:bCs/>
          <w:color w:val="222222"/>
          <w:szCs w:val="24"/>
          <w:shd w:val="clear" w:color="auto" w:fill="FFFFFF"/>
        </w:rPr>
      </w:pPr>
    </w:p>
    <w:p w14:paraId="6F5B61BB" w14:textId="77777777" w:rsidR="0062355C" w:rsidRDefault="0062355C" w:rsidP="00AF36D7">
      <w:pPr>
        <w:spacing w:line="360" w:lineRule="auto"/>
        <w:jc w:val="both"/>
        <w:rPr>
          <w:b/>
          <w:bCs/>
          <w:color w:val="222222"/>
          <w:szCs w:val="24"/>
          <w:shd w:val="clear" w:color="auto" w:fill="FFFFFF"/>
        </w:rPr>
      </w:pPr>
    </w:p>
    <w:p w14:paraId="15969899" w14:textId="77777777" w:rsidR="000F21EE" w:rsidRDefault="000F21EE" w:rsidP="00AF36D7">
      <w:pPr>
        <w:spacing w:line="360" w:lineRule="auto"/>
        <w:jc w:val="both"/>
        <w:rPr>
          <w:b/>
          <w:bCs/>
          <w:color w:val="222222"/>
          <w:szCs w:val="24"/>
          <w:shd w:val="clear" w:color="auto" w:fill="FFFFFF"/>
        </w:rPr>
      </w:pPr>
    </w:p>
    <w:p w14:paraId="7DD0B95A" w14:textId="6FFD3240" w:rsidR="00AF36D7" w:rsidRPr="00423082" w:rsidRDefault="00AF36D7" w:rsidP="00AF36D7">
      <w:pPr>
        <w:spacing w:line="360" w:lineRule="auto"/>
        <w:jc w:val="both"/>
        <w:rPr>
          <w:b/>
          <w:bCs/>
          <w:color w:val="222222"/>
          <w:szCs w:val="24"/>
          <w:shd w:val="clear" w:color="auto" w:fill="FFFFFF"/>
        </w:rPr>
      </w:pPr>
      <w:r>
        <w:rPr>
          <w:b/>
          <w:bCs/>
          <w:color w:val="222222"/>
          <w:szCs w:val="24"/>
          <w:shd w:val="clear" w:color="auto" w:fill="FFFFFF"/>
        </w:rPr>
        <w:t xml:space="preserve">Instruments for characterizations of </w:t>
      </w:r>
      <w:r w:rsidR="00722AFA">
        <w:rPr>
          <w:b/>
          <w:bCs/>
          <w:color w:val="222222"/>
          <w:szCs w:val="24"/>
          <w:shd w:val="clear" w:color="auto" w:fill="FFFFFF"/>
        </w:rPr>
        <w:t xml:space="preserve">conductive </w:t>
      </w:r>
      <w:proofErr w:type="spellStart"/>
      <w:r w:rsidR="00722AFA">
        <w:rPr>
          <w:b/>
          <w:bCs/>
          <w:color w:val="222222"/>
          <w:szCs w:val="24"/>
          <w:shd w:val="clear" w:color="auto" w:fill="FFFFFF"/>
        </w:rPr>
        <w:t>polymer@CF</w:t>
      </w:r>
      <w:proofErr w:type="spellEnd"/>
      <w:r>
        <w:rPr>
          <w:b/>
          <w:bCs/>
          <w:color w:val="222222"/>
          <w:szCs w:val="24"/>
          <w:shd w:val="clear" w:color="auto" w:fill="FFFFFF"/>
        </w:rPr>
        <w:t xml:space="preserve"> composites</w:t>
      </w:r>
    </w:p>
    <w:p w14:paraId="4B63B5CB" w14:textId="451F03A4" w:rsidR="00AF36D7" w:rsidRDefault="00AF36D7" w:rsidP="00AF36D7">
      <w:pPr>
        <w:spacing w:line="360" w:lineRule="auto"/>
        <w:jc w:val="both"/>
        <w:rPr>
          <w:color w:val="222222"/>
          <w:szCs w:val="24"/>
          <w:shd w:val="clear" w:color="auto" w:fill="FFFFFF"/>
        </w:rPr>
      </w:pPr>
      <w:r w:rsidRPr="0074032E">
        <w:rPr>
          <w:color w:val="222222"/>
          <w:szCs w:val="24"/>
          <w:shd w:val="clear" w:color="auto" w:fill="FFFFFF"/>
        </w:rPr>
        <w:t xml:space="preserve">The FT-IR spectra of </w:t>
      </w:r>
      <w:r>
        <w:rPr>
          <w:color w:val="222222"/>
          <w:szCs w:val="24"/>
          <w:shd w:val="clear" w:color="auto" w:fill="FFFFFF"/>
        </w:rPr>
        <w:t xml:space="preserve">bare CFs, </w:t>
      </w:r>
      <w:r w:rsidR="00722AFA">
        <w:rPr>
          <w:color w:val="222222"/>
          <w:szCs w:val="24"/>
          <w:shd w:val="clear" w:color="auto" w:fill="FFFFFF"/>
        </w:rPr>
        <w:t>PANI@CF</w:t>
      </w:r>
      <w:r>
        <w:rPr>
          <w:color w:val="222222"/>
          <w:szCs w:val="24"/>
          <w:shd w:val="clear" w:color="auto" w:fill="FFFFFF"/>
        </w:rPr>
        <w:t xml:space="preserve"> and </w:t>
      </w:r>
      <w:r w:rsidR="00722AFA">
        <w:rPr>
          <w:color w:val="222222"/>
          <w:szCs w:val="24"/>
          <w:shd w:val="clear" w:color="auto" w:fill="FFFFFF"/>
        </w:rPr>
        <w:t>PPY@CF</w:t>
      </w:r>
      <w:r>
        <w:rPr>
          <w:color w:val="222222"/>
          <w:szCs w:val="24"/>
          <w:shd w:val="clear" w:color="auto" w:fill="FFFFFF"/>
        </w:rPr>
        <w:t xml:space="preserve"> </w:t>
      </w:r>
      <w:r w:rsidRPr="0074032E">
        <w:rPr>
          <w:color w:val="222222"/>
          <w:szCs w:val="24"/>
          <w:shd w:val="clear" w:color="auto" w:fill="FFFFFF"/>
        </w:rPr>
        <w:t>composites were obtained using an attenuated total reflectance (ATR) connected FT-IR spectrometer (</w:t>
      </w:r>
      <w:proofErr w:type="spellStart"/>
      <w:r w:rsidRPr="0074032E">
        <w:rPr>
          <w:color w:val="222222"/>
          <w:szCs w:val="24"/>
          <w:shd w:val="clear" w:color="auto" w:fill="FFFFFF"/>
        </w:rPr>
        <w:t>Thermo</w:t>
      </w:r>
      <w:proofErr w:type="spellEnd"/>
      <w:r w:rsidRPr="0074032E">
        <w:rPr>
          <w:color w:val="222222"/>
          <w:szCs w:val="24"/>
          <w:shd w:val="clear" w:color="auto" w:fill="FFFFFF"/>
        </w:rPr>
        <w:t>, Nicolet-iS10). The spectra were recorded in the range of 650 to 4000 cm</w:t>
      </w:r>
      <w:r w:rsidRPr="00760AC7">
        <w:rPr>
          <w:color w:val="222222"/>
          <w:szCs w:val="24"/>
          <w:shd w:val="clear" w:color="auto" w:fill="FFFFFF"/>
          <w:vertAlign w:val="superscript"/>
        </w:rPr>
        <w:t>-1</w:t>
      </w:r>
      <w:r w:rsidRPr="0074032E">
        <w:rPr>
          <w:color w:val="222222"/>
          <w:szCs w:val="24"/>
          <w:shd w:val="clear" w:color="auto" w:fill="FFFFFF"/>
        </w:rPr>
        <w:t xml:space="preserve"> with a resolution of 4 cm</w:t>
      </w:r>
      <w:r w:rsidRPr="00760AC7">
        <w:rPr>
          <w:color w:val="222222"/>
          <w:szCs w:val="24"/>
          <w:shd w:val="clear" w:color="auto" w:fill="FFFFFF"/>
          <w:vertAlign w:val="superscript"/>
        </w:rPr>
        <w:t>-1</w:t>
      </w:r>
      <w:r w:rsidRPr="0074032E">
        <w:rPr>
          <w:color w:val="222222"/>
          <w:szCs w:val="24"/>
          <w:shd w:val="clear" w:color="auto" w:fill="FFFFFF"/>
        </w:rPr>
        <w:t>.</w:t>
      </w:r>
    </w:p>
    <w:p w14:paraId="4B420F93" w14:textId="67B8B4F1" w:rsidR="00AF36D7" w:rsidRDefault="00AF36D7" w:rsidP="00AF36D7">
      <w:pPr>
        <w:spacing w:line="360" w:lineRule="auto"/>
        <w:jc w:val="both"/>
        <w:rPr>
          <w:color w:val="222222"/>
          <w:szCs w:val="24"/>
          <w:shd w:val="clear" w:color="auto" w:fill="FFFFFF"/>
        </w:rPr>
      </w:pPr>
      <w:r w:rsidRPr="00501AAE">
        <w:rPr>
          <w:color w:val="222222"/>
          <w:szCs w:val="24"/>
          <w:shd w:val="clear" w:color="auto" w:fill="FFFFFF"/>
        </w:rPr>
        <w:t xml:space="preserve">The thermal stabilities of </w:t>
      </w:r>
      <w:r>
        <w:rPr>
          <w:color w:val="222222"/>
          <w:szCs w:val="24"/>
          <w:shd w:val="clear" w:color="auto" w:fill="FFFFFF"/>
        </w:rPr>
        <w:t xml:space="preserve">CFs, </w:t>
      </w:r>
      <w:r w:rsidR="00722AFA">
        <w:rPr>
          <w:color w:val="222222"/>
          <w:szCs w:val="24"/>
          <w:shd w:val="clear" w:color="auto" w:fill="FFFFFF"/>
        </w:rPr>
        <w:t>PANI@CF</w:t>
      </w:r>
      <w:r>
        <w:rPr>
          <w:color w:val="222222"/>
          <w:szCs w:val="24"/>
          <w:shd w:val="clear" w:color="auto" w:fill="FFFFFF"/>
        </w:rPr>
        <w:t xml:space="preserve"> and </w:t>
      </w:r>
      <w:r w:rsidR="00722AFA">
        <w:rPr>
          <w:color w:val="222222"/>
          <w:szCs w:val="24"/>
          <w:shd w:val="clear" w:color="auto" w:fill="FFFFFF"/>
        </w:rPr>
        <w:t>PPY@CF</w:t>
      </w:r>
      <w:r>
        <w:rPr>
          <w:color w:val="222222"/>
          <w:szCs w:val="24"/>
          <w:shd w:val="clear" w:color="auto" w:fill="FFFFFF"/>
        </w:rPr>
        <w:t xml:space="preserve"> </w:t>
      </w:r>
      <w:r w:rsidRPr="0074032E">
        <w:rPr>
          <w:color w:val="222222"/>
          <w:szCs w:val="24"/>
          <w:shd w:val="clear" w:color="auto" w:fill="FFFFFF"/>
        </w:rPr>
        <w:t>composites</w:t>
      </w:r>
      <w:r w:rsidRPr="00501AAE">
        <w:rPr>
          <w:color w:val="222222"/>
          <w:szCs w:val="24"/>
          <w:shd w:val="clear" w:color="auto" w:fill="FFFFFF"/>
        </w:rPr>
        <w:t xml:space="preserve"> were examined using a thermogravimetric analyzer (TGA, SII TG/DTA 6300, </w:t>
      </w:r>
      <w:proofErr w:type="spellStart"/>
      <w:r w:rsidRPr="00501AAE">
        <w:rPr>
          <w:color w:val="222222"/>
          <w:szCs w:val="24"/>
          <w:shd w:val="clear" w:color="auto" w:fill="FFFFFF"/>
        </w:rPr>
        <w:t>Exstar</w:t>
      </w:r>
      <w:proofErr w:type="spellEnd"/>
      <w:r w:rsidRPr="00501AAE">
        <w:rPr>
          <w:color w:val="222222"/>
          <w:szCs w:val="24"/>
          <w:shd w:val="clear" w:color="auto" w:fill="FFFFFF"/>
        </w:rPr>
        <w:t>) in a nitrogen environment. The analysis was conducted at a flow rate of 200 mL/min and a heating rate of 10 °C/min, reaching a maximum temperature of 700 °C.</w:t>
      </w:r>
    </w:p>
    <w:p w14:paraId="405C6AA5" w14:textId="1E4FB309" w:rsidR="00AF36D7" w:rsidRDefault="00AF36D7" w:rsidP="00AF36D7">
      <w:pPr>
        <w:spacing w:line="360" w:lineRule="auto"/>
        <w:jc w:val="both"/>
        <w:rPr>
          <w:color w:val="222222"/>
          <w:szCs w:val="24"/>
          <w:shd w:val="clear" w:color="auto" w:fill="FFFFFF"/>
        </w:rPr>
      </w:pPr>
      <w:r w:rsidRPr="00006315">
        <w:rPr>
          <w:color w:val="222222"/>
          <w:szCs w:val="24"/>
          <w:shd w:val="clear" w:color="auto" w:fill="FFFFFF"/>
        </w:rPr>
        <w:t xml:space="preserve">The contact angle (CA) and surface free energy (SFE) values were measured for both bare and in situ conductive polymer-synthesized CFs by applying 10 µL of deionized water or diiodomethane onto the surface of CF-based </w:t>
      </w:r>
      <w:r>
        <w:rPr>
          <w:color w:val="222222"/>
          <w:szCs w:val="24"/>
          <w:shd w:val="clear" w:color="auto" w:fill="FFFFFF"/>
        </w:rPr>
        <w:t xml:space="preserve">structures and visualized with a CCD camera on optical </w:t>
      </w:r>
      <w:r w:rsidR="00E5579D">
        <w:rPr>
          <w:color w:val="222222"/>
          <w:szCs w:val="24"/>
          <w:shd w:val="clear" w:color="auto" w:fill="FFFFFF"/>
        </w:rPr>
        <w:t>tensiometer (</w:t>
      </w:r>
      <w:r>
        <w:rPr>
          <w:color w:val="222222"/>
          <w:szCs w:val="24"/>
          <w:shd w:val="clear" w:color="auto" w:fill="FFFFFF"/>
        </w:rPr>
        <w:t xml:space="preserve">Attention Theta Flex, </w:t>
      </w:r>
      <w:proofErr w:type="spellStart"/>
      <w:r>
        <w:rPr>
          <w:color w:val="222222"/>
          <w:szCs w:val="24"/>
          <w:shd w:val="clear" w:color="auto" w:fill="FFFFFF"/>
        </w:rPr>
        <w:t>Biolin</w:t>
      </w:r>
      <w:proofErr w:type="spellEnd"/>
      <w:r>
        <w:rPr>
          <w:color w:val="222222"/>
          <w:szCs w:val="24"/>
          <w:shd w:val="clear" w:color="auto" w:fill="FFFFFF"/>
        </w:rPr>
        <w:t xml:space="preserve"> </w:t>
      </w:r>
      <w:r w:rsidR="003706E3">
        <w:rPr>
          <w:color w:val="222222"/>
          <w:szCs w:val="24"/>
          <w:shd w:val="clear" w:color="auto" w:fill="FFFFFF"/>
        </w:rPr>
        <w:t>Scientific</w:t>
      </w:r>
      <w:r>
        <w:rPr>
          <w:color w:val="222222"/>
          <w:szCs w:val="24"/>
          <w:shd w:val="clear" w:color="auto" w:fill="FFFFFF"/>
        </w:rPr>
        <w:t>)</w:t>
      </w:r>
      <w:r w:rsidRPr="00006315">
        <w:rPr>
          <w:color w:val="222222"/>
          <w:szCs w:val="24"/>
          <w:shd w:val="clear" w:color="auto" w:fill="FFFFFF"/>
        </w:rPr>
        <w:t>.</w:t>
      </w:r>
      <w:r w:rsidRPr="007C695D">
        <w:t xml:space="preserve"> </w:t>
      </w:r>
      <w:r w:rsidRPr="007C695D">
        <w:rPr>
          <w:color w:val="222222"/>
          <w:szCs w:val="24"/>
          <w:shd w:val="clear" w:color="auto" w:fill="FFFFFF"/>
        </w:rPr>
        <w:t xml:space="preserve">To assure the precision of the measurements, the CA and SFE values of CF-based structures were each measured three times, and the average of these measurements was taken as </w:t>
      </w:r>
      <w:proofErr w:type="gramStart"/>
      <w:r w:rsidRPr="007C695D">
        <w:rPr>
          <w:color w:val="222222"/>
          <w:szCs w:val="24"/>
          <w:shd w:val="clear" w:color="auto" w:fill="FFFFFF"/>
        </w:rPr>
        <w:t>the final result</w:t>
      </w:r>
      <w:proofErr w:type="gramEnd"/>
      <w:r w:rsidRPr="007C695D">
        <w:rPr>
          <w:color w:val="222222"/>
          <w:szCs w:val="24"/>
          <w:shd w:val="clear" w:color="auto" w:fill="FFFFFF"/>
        </w:rPr>
        <w:t>.</w:t>
      </w:r>
      <w:r w:rsidRPr="00CC1F69">
        <w:t xml:space="preserve"> </w:t>
      </w:r>
      <w:r w:rsidRPr="00CC1F69">
        <w:rPr>
          <w:color w:val="222222"/>
          <w:szCs w:val="24"/>
          <w:shd w:val="clear" w:color="auto" w:fill="FFFFFF"/>
        </w:rPr>
        <w:t xml:space="preserve">To quantify the CA values, a series of 332 frames were taken during a 10-second period after the liquid was deposited onto the surface of the CF-based </w:t>
      </w:r>
      <w:r>
        <w:rPr>
          <w:color w:val="222222"/>
          <w:szCs w:val="24"/>
          <w:shd w:val="clear" w:color="auto" w:fill="FFFFFF"/>
        </w:rPr>
        <w:t>structures</w:t>
      </w:r>
      <w:r w:rsidRPr="00CC1F69">
        <w:rPr>
          <w:color w:val="222222"/>
          <w:szCs w:val="24"/>
          <w:shd w:val="clear" w:color="auto" w:fill="FFFFFF"/>
        </w:rPr>
        <w:t>.</w:t>
      </w:r>
      <w:r>
        <w:rPr>
          <w:color w:val="222222"/>
          <w:szCs w:val="24"/>
          <w:shd w:val="clear" w:color="auto" w:fill="FFFFFF"/>
        </w:rPr>
        <w:t xml:space="preserve"> </w:t>
      </w:r>
      <w:r w:rsidRPr="00C302B3">
        <w:rPr>
          <w:color w:val="222222"/>
          <w:szCs w:val="24"/>
          <w:shd w:val="clear" w:color="auto" w:fill="FFFFFF"/>
        </w:rPr>
        <w:t>Furthermore, the Owen-Wendt-Rabel-</w:t>
      </w:r>
      <w:proofErr w:type="spellStart"/>
      <w:r w:rsidRPr="00C302B3">
        <w:rPr>
          <w:color w:val="222222"/>
          <w:szCs w:val="24"/>
          <w:shd w:val="clear" w:color="auto" w:fill="FFFFFF"/>
        </w:rPr>
        <w:t>Kaelble</w:t>
      </w:r>
      <w:proofErr w:type="spellEnd"/>
      <w:r w:rsidRPr="00C302B3">
        <w:rPr>
          <w:color w:val="222222"/>
          <w:szCs w:val="24"/>
          <w:shd w:val="clear" w:color="auto" w:fill="FFFFFF"/>
        </w:rPr>
        <w:t xml:space="preserve"> (OWRK) model was employed to calculate the surface free energy. Both CA and SFE values for bare CFs and prepared </w:t>
      </w:r>
      <w:r w:rsidR="00722AFA">
        <w:rPr>
          <w:color w:val="222222"/>
          <w:szCs w:val="24"/>
          <w:shd w:val="clear" w:color="auto" w:fill="FFFFFF"/>
        </w:rPr>
        <w:t xml:space="preserve">conductive </w:t>
      </w:r>
      <w:proofErr w:type="spellStart"/>
      <w:r w:rsidR="00722AFA">
        <w:rPr>
          <w:color w:val="222222"/>
          <w:szCs w:val="24"/>
          <w:shd w:val="clear" w:color="auto" w:fill="FFFFFF"/>
        </w:rPr>
        <w:t>polymer@CF</w:t>
      </w:r>
      <w:proofErr w:type="spellEnd"/>
      <w:r w:rsidRPr="00C302B3">
        <w:rPr>
          <w:color w:val="222222"/>
          <w:szCs w:val="24"/>
          <w:shd w:val="clear" w:color="auto" w:fill="FFFFFF"/>
        </w:rPr>
        <w:t xml:space="preserve"> composites were determined for two different forms of CF-based structures.</w:t>
      </w:r>
      <w:r>
        <w:rPr>
          <w:color w:val="222222"/>
          <w:szCs w:val="24"/>
          <w:shd w:val="clear" w:color="auto" w:fill="FFFFFF"/>
        </w:rPr>
        <w:t xml:space="preserve"> </w:t>
      </w:r>
      <w:r>
        <w:rPr>
          <w:rStyle w:val="rynqvb"/>
          <w:lang w:val="en"/>
        </w:rPr>
        <w:t xml:space="preserve">The first form is mentioned as “as is” which means contact angles of in situ conductive polymer synthesized </w:t>
      </w:r>
      <w:r w:rsidR="00722AFA">
        <w:rPr>
          <w:rStyle w:val="rynqvb"/>
          <w:lang w:val="en"/>
        </w:rPr>
        <w:t xml:space="preserve">conductive </w:t>
      </w:r>
      <w:proofErr w:type="spellStart"/>
      <w:r w:rsidR="00722AFA">
        <w:rPr>
          <w:rStyle w:val="rynqvb"/>
          <w:lang w:val="en"/>
        </w:rPr>
        <w:t>polymer@CF</w:t>
      </w:r>
      <w:proofErr w:type="spellEnd"/>
      <w:r>
        <w:rPr>
          <w:rStyle w:val="rynqvb"/>
          <w:lang w:val="en"/>
        </w:rPr>
        <w:t xml:space="preserve"> composites were measured after the in situ conductive polymer synthesis process is completed, the water on the surface of the prepared </w:t>
      </w:r>
      <w:r w:rsidR="00722AFA">
        <w:rPr>
          <w:rStyle w:val="rynqvb"/>
          <w:lang w:val="en"/>
        </w:rPr>
        <w:t xml:space="preserve">conductive </w:t>
      </w:r>
      <w:proofErr w:type="spellStart"/>
      <w:r w:rsidR="00722AFA">
        <w:rPr>
          <w:rStyle w:val="rynqvb"/>
          <w:lang w:val="en"/>
        </w:rPr>
        <w:t>polymer@CF</w:t>
      </w:r>
      <w:proofErr w:type="spellEnd"/>
      <w:r>
        <w:rPr>
          <w:rStyle w:val="rynqvb"/>
          <w:lang w:val="en"/>
        </w:rPr>
        <w:t xml:space="preserve"> composites is removed with the help of a napkin. The second form is dried forms of washed CF and </w:t>
      </w:r>
      <w:r w:rsidR="00722AFA">
        <w:rPr>
          <w:rStyle w:val="rynqvb"/>
          <w:lang w:val="en"/>
        </w:rPr>
        <w:t xml:space="preserve">conductive </w:t>
      </w:r>
      <w:proofErr w:type="spellStart"/>
      <w:r w:rsidR="00722AFA">
        <w:rPr>
          <w:rStyle w:val="rynqvb"/>
          <w:lang w:val="en"/>
        </w:rPr>
        <w:t>polymer@CF</w:t>
      </w:r>
      <w:proofErr w:type="spellEnd"/>
      <w:r>
        <w:rPr>
          <w:rStyle w:val="rynqvb"/>
          <w:lang w:val="en"/>
        </w:rPr>
        <w:t xml:space="preserve"> composites were used to determine CA and SFE values.</w:t>
      </w:r>
    </w:p>
    <w:p w14:paraId="34741987" w14:textId="5C27DE17" w:rsidR="00AF36D7" w:rsidRDefault="00AF36D7" w:rsidP="00AF36D7">
      <w:pPr>
        <w:spacing w:line="360" w:lineRule="auto"/>
        <w:jc w:val="both"/>
        <w:rPr>
          <w:color w:val="222222"/>
          <w:szCs w:val="24"/>
          <w:shd w:val="clear" w:color="auto" w:fill="FFFFFF"/>
        </w:rPr>
      </w:pPr>
      <w:r w:rsidRPr="004125C2">
        <w:rPr>
          <w:color w:val="222222"/>
          <w:szCs w:val="24"/>
          <w:shd w:val="clear" w:color="auto" w:fill="FFFFFF"/>
        </w:rPr>
        <w:t xml:space="preserve">The conductivities of </w:t>
      </w:r>
      <w:r>
        <w:rPr>
          <w:color w:val="222222"/>
          <w:szCs w:val="24"/>
          <w:shd w:val="clear" w:color="auto" w:fill="FFFFFF"/>
        </w:rPr>
        <w:t xml:space="preserve">bare </w:t>
      </w:r>
      <w:r w:rsidRPr="004125C2">
        <w:rPr>
          <w:color w:val="222222"/>
          <w:szCs w:val="24"/>
          <w:shd w:val="clear" w:color="auto" w:fill="FFFFFF"/>
        </w:rPr>
        <w:t xml:space="preserve">CFs, </w:t>
      </w:r>
      <w:r w:rsidR="00722AFA">
        <w:rPr>
          <w:color w:val="222222"/>
          <w:szCs w:val="24"/>
          <w:shd w:val="clear" w:color="auto" w:fill="FFFFFF"/>
        </w:rPr>
        <w:t>PANI@CF</w:t>
      </w:r>
      <w:r w:rsidRPr="004125C2">
        <w:rPr>
          <w:color w:val="222222"/>
          <w:szCs w:val="24"/>
          <w:shd w:val="clear" w:color="auto" w:fill="FFFFFF"/>
        </w:rPr>
        <w:t xml:space="preserve">, and </w:t>
      </w:r>
      <w:r w:rsidR="00722AFA">
        <w:rPr>
          <w:color w:val="222222"/>
          <w:szCs w:val="24"/>
          <w:shd w:val="clear" w:color="auto" w:fill="FFFFFF"/>
        </w:rPr>
        <w:t>PPY@CF</w:t>
      </w:r>
      <w:r w:rsidRPr="004125C2">
        <w:rPr>
          <w:color w:val="222222"/>
          <w:szCs w:val="24"/>
          <w:shd w:val="clear" w:color="auto" w:fill="FFFFFF"/>
        </w:rPr>
        <w:t xml:space="preserve"> composites were determined by measuring the current-voltage relationship using a computer-controlled electrometer (Keithley 2400 Source-Meter) at room temperature. Conductive carbon tapes were attached to the top and the bottom of the compressed CF-based materials to connect the electrodes onto prepared disks, </w:t>
      </w:r>
      <w:r w:rsidRPr="004125C2">
        <w:rPr>
          <w:color w:val="222222"/>
          <w:szCs w:val="24"/>
          <w:shd w:val="clear" w:color="auto" w:fill="FFFFFF"/>
        </w:rPr>
        <w:lastRenderedPageBreak/>
        <w:t>and the conductivities were measured at room temperature using the slope of the Ohmic region of the I–V curves</w:t>
      </w:r>
      <w:r>
        <w:rPr>
          <w:color w:val="222222"/>
          <w:szCs w:val="24"/>
          <w:shd w:val="clear" w:color="auto" w:fill="FFFFFF"/>
        </w:rPr>
        <w:t xml:space="preserve"> via Eq. (1) and (2).</w:t>
      </w:r>
    </w:p>
    <w:p w14:paraId="650424DC" w14:textId="77777777" w:rsidR="00AF36D7" w:rsidRDefault="00AF36D7" w:rsidP="00AF36D7">
      <w:pPr>
        <w:spacing w:line="360" w:lineRule="auto"/>
        <w:jc w:val="both"/>
        <w:rPr>
          <w:color w:val="222222"/>
          <w:szCs w:val="24"/>
          <w:shd w:val="clear" w:color="auto" w:fill="FFFFFF"/>
        </w:rPr>
      </w:pPr>
      <w:r>
        <w:rPr>
          <w:color w:val="222222"/>
          <w:szCs w:val="24"/>
          <w:shd w:val="clear" w:color="auto" w:fill="FFFFFF"/>
        </w:rPr>
        <w:t xml:space="preserve">V = I x R </w:t>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r>
      <w:r>
        <w:rPr>
          <w:color w:val="222222"/>
          <w:szCs w:val="24"/>
          <w:shd w:val="clear" w:color="auto" w:fill="FFFFFF"/>
        </w:rPr>
        <w:tab/>
        <w:t xml:space="preserve">    </w:t>
      </w:r>
      <w:proofErr w:type="gramStart"/>
      <w:r>
        <w:rPr>
          <w:color w:val="222222"/>
          <w:szCs w:val="24"/>
          <w:shd w:val="clear" w:color="auto" w:fill="FFFFFF"/>
        </w:rPr>
        <w:t xml:space="preserve">   (</w:t>
      </w:r>
      <w:proofErr w:type="gramEnd"/>
      <w:r>
        <w:rPr>
          <w:color w:val="222222"/>
          <w:szCs w:val="24"/>
          <w:shd w:val="clear" w:color="auto" w:fill="FFFFFF"/>
        </w:rPr>
        <w:t>1)</w:t>
      </w:r>
    </w:p>
    <w:p w14:paraId="6B06FD70" w14:textId="77777777" w:rsidR="00AF36D7" w:rsidRDefault="00AF36D7" w:rsidP="00AF36D7">
      <w:pPr>
        <w:spacing w:line="360" w:lineRule="auto"/>
        <w:jc w:val="both"/>
      </w:pPr>
      <w:r>
        <w:t>σ = (1/R) x (I/A)</w:t>
      </w:r>
      <w:r>
        <w:tab/>
      </w:r>
      <w:r>
        <w:tab/>
      </w:r>
      <w:r>
        <w:tab/>
      </w:r>
      <w:r>
        <w:tab/>
      </w:r>
      <w:r>
        <w:tab/>
      </w:r>
      <w:r>
        <w:tab/>
      </w:r>
      <w:r>
        <w:tab/>
      </w:r>
      <w:r>
        <w:tab/>
      </w:r>
      <w:r>
        <w:tab/>
      </w:r>
      <w:r>
        <w:tab/>
        <w:t xml:space="preserve">    </w:t>
      </w:r>
      <w:proofErr w:type="gramStart"/>
      <w:r>
        <w:t xml:space="preserve">   (</w:t>
      </w:r>
      <w:proofErr w:type="gramEnd"/>
      <w:r>
        <w:t>2)</w:t>
      </w:r>
    </w:p>
    <w:p w14:paraId="063592A6" w14:textId="77777777" w:rsidR="00AF36D7" w:rsidRDefault="00AF36D7" w:rsidP="00AF36D7">
      <w:pPr>
        <w:spacing w:line="360" w:lineRule="auto"/>
        <w:jc w:val="both"/>
      </w:pPr>
      <w:r>
        <w:t>Where, ‘V’ is voltage, ‘I’ is current, ‘R’ is the bulk resistance, ‘σ’ is conductivity, ‘1/R’ is resistivity, ‘l’ is the thickness and ‘A’ is the cross-sectional area of the sample.</w:t>
      </w:r>
    </w:p>
    <w:p w14:paraId="50479F94" w14:textId="7D3F6346" w:rsidR="00AF36D7" w:rsidRPr="006409D5" w:rsidRDefault="00AF36D7" w:rsidP="00AF36D7">
      <w:pPr>
        <w:spacing w:line="360" w:lineRule="auto"/>
        <w:jc w:val="both"/>
        <w:rPr>
          <w:b/>
          <w:bCs/>
        </w:rPr>
      </w:pPr>
      <w:r w:rsidRPr="006409D5">
        <w:rPr>
          <w:b/>
          <w:bCs/>
        </w:rPr>
        <w:t xml:space="preserve">Biomedical properties of </w:t>
      </w:r>
      <w:r w:rsidR="00722AFA">
        <w:rPr>
          <w:b/>
          <w:bCs/>
        </w:rPr>
        <w:t xml:space="preserve">conductive </w:t>
      </w:r>
      <w:proofErr w:type="spellStart"/>
      <w:r w:rsidR="00722AFA">
        <w:rPr>
          <w:b/>
          <w:bCs/>
        </w:rPr>
        <w:t>polymer@CF</w:t>
      </w:r>
      <w:proofErr w:type="spellEnd"/>
      <w:r w:rsidRPr="006409D5">
        <w:rPr>
          <w:b/>
          <w:bCs/>
        </w:rPr>
        <w:t xml:space="preserve"> composites</w:t>
      </w:r>
    </w:p>
    <w:p w14:paraId="66C1D039" w14:textId="77777777" w:rsidR="00AF36D7" w:rsidRPr="006409D5" w:rsidRDefault="00AF36D7" w:rsidP="00AF36D7">
      <w:pPr>
        <w:spacing w:line="360" w:lineRule="auto"/>
        <w:jc w:val="both"/>
        <w:rPr>
          <w:b/>
          <w:bCs/>
        </w:rPr>
      </w:pPr>
      <w:r w:rsidRPr="006409D5">
        <w:rPr>
          <w:b/>
          <w:bCs/>
        </w:rPr>
        <w:t>Hemocompatibility assay</w:t>
      </w:r>
    </w:p>
    <w:p w14:paraId="345E0448" w14:textId="359B3A00" w:rsidR="00AF36D7" w:rsidRDefault="00AF36D7" w:rsidP="00AF36D7">
      <w:pPr>
        <w:spacing w:line="360" w:lineRule="auto"/>
        <w:jc w:val="both"/>
      </w:pPr>
      <w:r>
        <w:t>The certain amounts</w:t>
      </w:r>
      <w:r w:rsidRPr="002B1C88">
        <w:t xml:space="preserve"> of bare CF, </w:t>
      </w:r>
      <w:r w:rsidR="00722AFA">
        <w:t>PANI@CF</w:t>
      </w:r>
      <w:r w:rsidRPr="002B1C88">
        <w:t xml:space="preserve">, and </w:t>
      </w:r>
      <w:r w:rsidR="00722AFA">
        <w:t>PPY@CF</w:t>
      </w:r>
      <w:r>
        <w:t xml:space="preserve"> </w:t>
      </w:r>
      <w:r w:rsidRPr="002B1C88">
        <w:t>composites</w:t>
      </w:r>
      <w:r>
        <w:t xml:space="preserve"> (</w:t>
      </w:r>
      <w:r w:rsidRPr="00356207">
        <w:t>10 mg</w:t>
      </w:r>
      <w:r>
        <w:t>)</w:t>
      </w:r>
      <w:r w:rsidRPr="002B1C88">
        <w:t xml:space="preserve"> were each put in </w:t>
      </w:r>
      <w:r>
        <w:t>1 mL</w:t>
      </w:r>
      <w:r w:rsidRPr="002B1C88">
        <w:t xml:space="preserve"> of 0.9% serum physiologic (SP) solution for a whole day to conduct a hemocompatibility analysis. The clinical research ethics committee of </w:t>
      </w:r>
      <w:proofErr w:type="spellStart"/>
      <w:r w:rsidRPr="002B1C88">
        <w:t>Canakkale</w:t>
      </w:r>
      <w:proofErr w:type="spellEnd"/>
      <w:r w:rsidRPr="002B1C88">
        <w:t xml:space="preserve"> </w:t>
      </w:r>
      <w:proofErr w:type="spellStart"/>
      <w:r w:rsidRPr="002B1C88">
        <w:t>Onsekiz</w:t>
      </w:r>
      <w:proofErr w:type="spellEnd"/>
      <w:r w:rsidRPr="002B1C88">
        <w:t xml:space="preserve"> Mart University accepted the process by which the blood used in the studies was drawn from healthy participants. The decision numbered 2011-KAEK-27/2022-2200063689. Hemolysis and blood </w:t>
      </w:r>
      <w:r>
        <w:t>clotting</w:t>
      </w:r>
      <w:r w:rsidRPr="002B1C88">
        <w:t xml:space="preserve"> assays were used to evaluate the hemocompatibility of bare CF, </w:t>
      </w:r>
      <w:r w:rsidR="00722AFA">
        <w:t>PANI@CF</w:t>
      </w:r>
      <w:r w:rsidRPr="002B1C88">
        <w:t xml:space="preserve">, and </w:t>
      </w:r>
      <w:r w:rsidR="00722AFA">
        <w:t>PPY@CF</w:t>
      </w:r>
      <w:r w:rsidRPr="002B1C88">
        <w:t xml:space="preserve"> based composites in vitro, in accordance with the methodology outlined in earlier research [1].</w:t>
      </w:r>
      <w:r>
        <w:t xml:space="preserve"> </w:t>
      </w:r>
      <w:r w:rsidRPr="00A64C3D">
        <w:t xml:space="preserve">First, freshly collected blood from healthy participants was placed into tubes that contained EDTA, and the tubes were gradually flipped upside down. The hemolysis ratios of the bare CF, </w:t>
      </w:r>
      <w:r w:rsidR="00722AFA">
        <w:t>PANI@CF</w:t>
      </w:r>
      <w:r w:rsidRPr="00A64C3D">
        <w:t xml:space="preserve">, and </w:t>
      </w:r>
      <w:r w:rsidR="00722AFA">
        <w:t>PPY@CF</w:t>
      </w:r>
      <w:r w:rsidRPr="00A64C3D">
        <w:t xml:space="preserve"> composites were assessed for red blood cells. To do this, 9.8 mL of SP solution was placed into tubes, and then 0.2 mL of bare CF, </w:t>
      </w:r>
      <w:r w:rsidR="00722AFA">
        <w:t>PANI@CF</w:t>
      </w:r>
      <w:r w:rsidRPr="00A64C3D">
        <w:t xml:space="preserve">, and </w:t>
      </w:r>
      <w:r w:rsidR="00722AFA">
        <w:t>PPY@CF</w:t>
      </w:r>
      <w:r w:rsidRPr="00A64C3D">
        <w:t xml:space="preserve"> composites were added at concentrations </w:t>
      </w:r>
      <w:r w:rsidRPr="009D2AD9">
        <w:t xml:space="preserve">of 10 mg/mL </w:t>
      </w:r>
      <w:r w:rsidRPr="00A64C3D">
        <w:t xml:space="preserve">and shaken. After that, 1.25 mL of SP solutions were added to each tube containing 1 mL of freshly collected blood that had been transferred to separate tubes. To allow the samples to interact with the red blood cells, 0.2 mL of diluted blood was added to tubes holding samples. The tubes were then spun slightly and incubated for </w:t>
      </w:r>
      <w:r>
        <w:t>2 h</w:t>
      </w:r>
      <w:r w:rsidRPr="00A64C3D">
        <w:t xml:space="preserve"> at 37.5 °C in a water bath.</w:t>
      </w:r>
      <w:r>
        <w:t xml:space="preserve"> After that, </w:t>
      </w:r>
      <w:r w:rsidRPr="002E418A">
        <w:t xml:space="preserve">0.2 mL of diluted blood was in contact with 10 mL of SP solution and DI water, respectively, as the negative and positive controls. The procedures and conditions applied to the controls were the same as those to the samples. Once the blood solutions had been incubated for </w:t>
      </w:r>
      <w:r>
        <w:t>2</w:t>
      </w:r>
      <w:r w:rsidRPr="002E418A">
        <w:t xml:space="preserve"> h, they were centrifuged for </w:t>
      </w:r>
      <w:r>
        <w:t>5 min</w:t>
      </w:r>
      <w:r w:rsidRPr="002E418A">
        <w:t xml:space="preserve"> at 1340 rpm. The absorbance values of the supernatant solution were then measured using UV-Vis Spectroscopy (SP-UV300SRB, Spectrum) at a wavelength of </w:t>
      </w:r>
      <w:r w:rsidRPr="002E418A">
        <w:lastRenderedPageBreak/>
        <w:t xml:space="preserve">542 nm. </w:t>
      </w:r>
      <w:r w:rsidR="00E5579D">
        <w:t>Eq</w:t>
      </w:r>
      <w:r>
        <w:t>.</w:t>
      </w:r>
      <w:r w:rsidRPr="002E418A">
        <w:t xml:space="preserve"> </w:t>
      </w:r>
      <w:r>
        <w:t>(3)</w:t>
      </w:r>
      <w:r w:rsidRPr="002E418A">
        <w:t xml:space="preserve"> was used to determine the hemolysis ratio (%) of the </w:t>
      </w:r>
      <w:r>
        <w:t>bare</w:t>
      </w:r>
      <w:r w:rsidRPr="002E418A">
        <w:t xml:space="preserve"> CF, </w:t>
      </w:r>
      <w:r w:rsidR="00722AFA">
        <w:t>PANI@CF</w:t>
      </w:r>
      <w:r w:rsidRPr="002E418A">
        <w:t xml:space="preserve">, and </w:t>
      </w:r>
      <w:r w:rsidR="00722AFA">
        <w:t>PPY@CF</w:t>
      </w:r>
      <w:r w:rsidRPr="002E418A">
        <w:t xml:space="preserve"> composites.</w:t>
      </w:r>
    </w:p>
    <w:p w14:paraId="15D71560" w14:textId="77777777" w:rsidR="00AF36D7" w:rsidRPr="0057017C" w:rsidRDefault="00AF36D7" w:rsidP="00AF36D7">
      <w:pPr>
        <w:spacing w:line="360" w:lineRule="auto"/>
        <w:jc w:val="both"/>
        <w:rPr>
          <w:rFonts w:cs="Times New Roman"/>
          <w:szCs w:val="24"/>
        </w:rPr>
      </w:pPr>
      <w:r w:rsidRPr="0057017C">
        <w:rPr>
          <w:rFonts w:cs="Times New Roman"/>
          <w:szCs w:val="24"/>
        </w:rPr>
        <w:t>Hemolysis% = [(A</w:t>
      </w:r>
      <w:r w:rsidRPr="0057017C">
        <w:rPr>
          <w:rFonts w:cs="Times New Roman"/>
          <w:szCs w:val="24"/>
          <w:vertAlign w:val="subscript"/>
        </w:rPr>
        <w:t>s</w:t>
      </w:r>
      <w:r w:rsidRPr="0057017C">
        <w:rPr>
          <w:rFonts w:cs="Times New Roman"/>
          <w:szCs w:val="24"/>
        </w:rPr>
        <w:t xml:space="preserve"> – A</w:t>
      </w:r>
      <w:r w:rsidRPr="0057017C">
        <w:rPr>
          <w:rFonts w:cs="Times New Roman"/>
          <w:szCs w:val="24"/>
          <w:vertAlign w:val="subscript"/>
        </w:rPr>
        <w:t>n</w:t>
      </w:r>
      <w:r w:rsidRPr="0057017C">
        <w:rPr>
          <w:rFonts w:cs="Times New Roman"/>
          <w:szCs w:val="24"/>
        </w:rPr>
        <w:t>) / (A</w:t>
      </w:r>
      <w:r w:rsidRPr="0057017C">
        <w:rPr>
          <w:rFonts w:cs="Times New Roman"/>
          <w:szCs w:val="24"/>
          <w:vertAlign w:val="subscript"/>
        </w:rPr>
        <w:t>p</w:t>
      </w:r>
      <w:r w:rsidRPr="0057017C">
        <w:rPr>
          <w:rFonts w:cs="Times New Roman"/>
          <w:szCs w:val="24"/>
        </w:rPr>
        <w:t xml:space="preserve"> – A</w:t>
      </w:r>
      <w:r w:rsidRPr="0057017C">
        <w:rPr>
          <w:rFonts w:cs="Times New Roman"/>
          <w:szCs w:val="24"/>
          <w:vertAlign w:val="subscript"/>
        </w:rPr>
        <w:t>n</w:t>
      </w:r>
      <w:r w:rsidRPr="0057017C">
        <w:rPr>
          <w:rFonts w:cs="Times New Roman"/>
          <w:szCs w:val="24"/>
        </w:rPr>
        <w:t>)] x 100</w:t>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t xml:space="preserve">      </w:t>
      </w:r>
      <w:r w:rsidRPr="0057017C">
        <w:rPr>
          <w:rFonts w:cs="Times New Roman"/>
          <w:szCs w:val="24"/>
        </w:rPr>
        <w:tab/>
        <w:t xml:space="preserve">    </w:t>
      </w:r>
      <w:proofErr w:type="gramStart"/>
      <w:r w:rsidRPr="0057017C">
        <w:rPr>
          <w:rFonts w:cs="Times New Roman"/>
          <w:szCs w:val="24"/>
        </w:rPr>
        <w:t xml:space="preserve">   (</w:t>
      </w:r>
      <w:proofErr w:type="gramEnd"/>
      <w:r>
        <w:rPr>
          <w:rFonts w:cs="Times New Roman"/>
          <w:szCs w:val="24"/>
        </w:rPr>
        <w:t>3</w:t>
      </w:r>
      <w:r w:rsidRPr="0057017C">
        <w:rPr>
          <w:rFonts w:cs="Times New Roman"/>
          <w:szCs w:val="24"/>
        </w:rPr>
        <w:t>)</w:t>
      </w:r>
    </w:p>
    <w:p w14:paraId="775BC7D5" w14:textId="5B7125B9" w:rsidR="00AF36D7" w:rsidRDefault="00AF36D7" w:rsidP="00AF36D7">
      <w:pPr>
        <w:spacing w:line="360" w:lineRule="auto"/>
        <w:jc w:val="both"/>
        <w:rPr>
          <w:rFonts w:cs="Times New Roman"/>
          <w:szCs w:val="24"/>
        </w:rPr>
      </w:pPr>
      <w:r w:rsidRPr="0057017C">
        <w:rPr>
          <w:rFonts w:cs="Times New Roman"/>
          <w:szCs w:val="24"/>
        </w:rPr>
        <w:t>Here, “A</w:t>
      </w:r>
      <w:r w:rsidRPr="0057017C">
        <w:rPr>
          <w:rFonts w:cs="Times New Roman"/>
          <w:szCs w:val="24"/>
          <w:vertAlign w:val="subscript"/>
        </w:rPr>
        <w:t>s</w:t>
      </w:r>
      <w:r w:rsidRPr="0057017C">
        <w:rPr>
          <w:rFonts w:cs="Times New Roman"/>
          <w:szCs w:val="24"/>
        </w:rPr>
        <w:t xml:space="preserve">” is the absorbance of blood samples incubated with </w:t>
      </w:r>
      <w:r>
        <w:t>bare</w:t>
      </w:r>
      <w:r w:rsidRPr="002E418A">
        <w:t xml:space="preserve"> CF, </w:t>
      </w:r>
      <w:r w:rsidR="00722AFA">
        <w:t>PANI@CF</w:t>
      </w:r>
      <w:r w:rsidRPr="002E418A">
        <w:t xml:space="preserve">, and </w:t>
      </w:r>
      <w:r w:rsidR="00722AFA">
        <w:t>PPY@CF</w:t>
      </w:r>
      <w:r>
        <w:t xml:space="preserve"> composites</w:t>
      </w:r>
      <w:r w:rsidRPr="0057017C">
        <w:rPr>
          <w:rFonts w:cs="Times New Roman"/>
          <w:szCs w:val="24"/>
        </w:rPr>
        <w:t>, “A</w:t>
      </w:r>
      <w:r w:rsidRPr="0057017C">
        <w:rPr>
          <w:rFonts w:cs="Times New Roman"/>
          <w:szCs w:val="24"/>
          <w:vertAlign w:val="subscript"/>
        </w:rPr>
        <w:t>p</w:t>
      </w:r>
      <w:r w:rsidRPr="0057017C">
        <w:rPr>
          <w:rFonts w:cs="Times New Roman"/>
          <w:szCs w:val="24"/>
        </w:rPr>
        <w:t>” is the absorbance of blood samples only incubated with distilled water, and “A</w:t>
      </w:r>
      <w:r w:rsidRPr="0057017C">
        <w:rPr>
          <w:rFonts w:cs="Times New Roman"/>
          <w:szCs w:val="24"/>
          <w:vertAlign w:val="subscript"/>
        </w:rPr>
        <w:t>n</w:t>
      </w:r>
      <w:r w:rsidRPr="0057017C">
        <w:rPr>
          <w:rFonts w:cs="Times New Roman"/>
          <w:szCs w:val="24"/>
        </w:rPr>
        <w:t>” is the absorbance values of blood samples only incubated with SP solution.</w:t>
      </w:r>
    </w:p>
    <w:p w14:paraId="170E2CEB" w14:textId="5FE5318C" w:rsidR="00AF36D7" w:rsidRDefault="00AF36D7" w:rsidP="00AF36D7">
      <w:pPr>
        <w:spacing w:line="360" w:lineRule="auto"/>
        <w:jc w:val="both"/>
      </w:pPr>
      <w:r w:rsidRPr="00186C50">
        <w:t xml:space="preserve">By using a blood clotting assay, the impact of bare CF, </w:t>
      </w:r>
      <w:r w:rsidR="00722AFA">
        <w:t>PANI@CF</w:t>
      </w:r>
      <w:r w:rsidRPr="00186C50">
        <w:t xml:space="preserve">, and </w:t>
      </w:r>
      <w:r w:rsidR="00722AFA">
        <w:t>PPY@CF</w:t>
      </w:r>
      <w:r w:rsidRPr="00186C50">
        <w:t xml:space="preserve"> composites on the </w:t>
      </w:r>
      <w:r>
        <w:t>clotting</w:t>
      </w:r>
      <w:r w:rsidRPr="00186C50">
        <w:t xml:space="preserve"> process during contact with blood was evaluated. In summary, 1 mL of SP solution was used to suspend </w:t>
      </w:r>
      <w:r w:rsidRPr="009D2AD9">
        <w:t>10 mg</w:t>
      </w:r>
      <w:r w:rsidRPr="00186C50">
        <w:t xml:space="preserve"> of bare CF, </w:t>
      </w:r>
      <w:r w:rsidR="00722AFA">
        <w:t>PANI@CF</w:t>
      </w:r>
      <w:r w:rsidRPr="00186C50">
        <w:t xml:space="preserve">, and </w:t>
      </w:r>
      <w:r w:rsidR="00722AFA">
        <w:t>PPY@CF</w:t>
      </w:r>
      <w:r w:rsidRPr="00186C50">
        <w:t xml:space="preserve"> composites. 0.2 mL of these solutions was then removed and placed in the middle of flat bottom tubes. Next, 0.81 mL of fresh blood was transferred into a separate test tube together with 64.8 µL of a 0.2 M CaCl2 aqueous solution. Immediately, dropwise additions of 0.27 mL of this blood solution were made to tubes holding specimens.</w:t>
      </w:r>
      <w:r>
        <w:t xml:space="preserve"> </w:t>
      </w:r>
      <w:r w:rsidRPr="00836174">
        <w:t xml:space="preserve">Blood-contact bare CF, </w:t>
      </w:r>
      <w:r w:rsidR="00722AFA">
        <w:t>PANI@CF</w:t>
      </w:r>
      <w:r w:rsidRPr="00836174">
        <w:t xml:space="preserve">, and </w:t>
      </w:r>
      <w:r w:rsidR="00722AFA">
        <w:t>PPY@CF</w:t>
      </w:r>
      <w:r w:rsidRPr="00836174">
        <w:t xml:space="preserve"> composites were incubated for </w:t>
      </w:r>
      <w:r>
        <w:t xml:space="preserve">10 </w:t>
      </w:r>
      <w:r w:rsidRPr="00836174">
        <w:t xml:space="preserve">min at 37.5 °C in a water bath. After that, the tubes were gradually filled with 10 mL of distilled water and centrifuged for </w:t>
      </w:r>
      <w:r>
        <w:t>1 min</w:t>
      </w:r>
      <w:r w:rsidRPr="00836174">
        <w:t xml:space="preserve"> at 540 rpm. Subsequently, the non-</w:t>
      </w:r>
      <w:r>
        <w:t>clot</w:t>
      </w:r>
      <w:r w:rsidRPr="00836174">
        <w:t xml:space="preserve">ting portion (supernatant portion) was moved into tubes with 40 milliliters of DI water, and the tubes were incubated in a water bath at 37.5 °C for </w:t>
      </w:r>
      <w:r>
        <w:t>2 h</w:t>
      </w:r>
      <w:r w:rsidRPr="00836174">
        <w:t xml:space="preserve">. A fresh test tube was filled with 0.25 mL of blood as a control, then DI water was added to bring the total amount to 50 </w:t>
      </w:r>
      <w:proofErr w:type="spellStart"/>
      <w:r w:rsidRPr="00836174">
        <w:t>mL.</w:t>
      </w:r>
      <w:proofErr w:type="spellEnd"/>
      <w:r w:rsidRPr="00836174">
        <w:t xml:space="preserve"> The control and the samples were subjected to identical circumstances. Following incubation, UV-Vis Spectroscopy was used to determine the samples' absorbance at 542 nm.</w:t>
      </w:r>
      <w:r>
        <w:t xml:space="preserve"> </w:t>
      </w:r>
      <w:r w:rsidRPr="0040368C">
        <w:t xml:space="preserve">Using Eq. </w:t>
      </w:r>
      <w:r>
        <w:t>(4)</w:t>
      </w:r>
      <w:r w:rsidRPr="0040368C">
        <w:t xml:space="preserve">, the blood </w:t>
      </w:r>
      <w:r>
        <w:t>clotting</w:t>
      </w:r>
      <w:r w:rsidRPr="0040368C">
        <w:t xml:space="preserve"> index of the </w:t>
      </w:r>
      <w:r w:rsidRPr="00836174">
        <w:t xml:space="preserve">bare CF, </w:t>
      </w:r>
      <w:r w:rsidR="00722AFA">
        <w:t>PANI@CF</w:t>
      </w:r>
      <w:r w:rsidRPr="00836174">
        <w:t xml:space="preserve">, and </w:t>
      </w:r>
      <w:r w:rsidR="00722AFA">
        <w:t>PPY@CF</w:t>
      </w:r>
      <w:r w:rsidRPr="00836174">
        <w:t xml:space="preserve"> composites</w:t>
      </w:r>
      <w:r w:rsidRPr="0040368C">
        <w:t xml:space="preserve"> was determined.</w:t>
      </w:r>
    </w:p>
    <w:p w14:paraId="15DDF4A3" w14:textId="77777777" w:rsidR="00AF36D7" w:rsidRPr="0057017C" w:rsidRDefault="00AF36D7" w:rsidP="00AF36D7">
      <w:pPr>
        <w:spacing w:line="360" w:lineRule="auto"/>
        <w:jc w:val="both"/>
        <w:rPr>
          <w:rFonts w:cs="Times New Roman"/>
          <w:szCs w:val="24"/>
        </w:rPr>
      </w:pPr>
      <w:r w:rsidRPr="0057017C">
        <w:rPr>
          <w:rFonts w:cs="Times New Roman"/>
          <w:szCs w:val="24"/>
        </w:rPr>
        <w:t>Blood clotting index = (A</w:t>
      </w:r>
      <w:r w:rsidRPr="0057017C">
        <w:rPr>
          <w:rFonts w:cs="Times New Roman"/>
          <w:szCs w:val="24"/>
          <w:vertAlign w:val="subscript"/>
        </w:rPr>
        <w:t>s</w:t>
      </w:r>
      <w:r w:rsidRPr="0057017C">
        <w:rPr>
          <w:rFonts w:cs="Times New Roman"/>
          <w:szCs w:val="24"/>
        </w:rPr>
        <w:t xml:space="preserve"> / A</w:t>
      </w:r>
      <w:r w:rsidRPr="0057017C">
        <w:rPr>
          <w:rFonts w:cs="Times New Roman"/>
          <w:szCs w:val="24"/>
          <w:vertAlign w:val="subscript"/>
        </w:rPr>
        <w:t>c</w:t>
      </w:r>
      <w:r w:rsidRPr="0057017C">
        <w:rPr>
          <w:rFonts w:cs="Times New Roman"/>
          <w:szCs w:val="24"/>
        </w:rPr>
        <w:t>) x 100</w:t>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r>
      <w:r w:rsidRPr="0057017C">
        <w:rPr>
          <w:rFonts w:cs="Times New Roman"/>
          <w:szCs w:val="24"/>
        </w:rPr>
        <w:tab/>
        <w:t xml:space="preserve">    </w:t>
      </w:r>
      <w:proofErr w:type="gramStart"/>
      <w:r w:rsidRPr="0057017C">
        <w:rPr>
          <w:rFonts w:cs="Times New Roman"/>
          <w:szCs w:val="24"/>
        </w:rPr>
        <w:t xml:space="preserve">   (</w:t>
      </w:r>
      <w:proofErr w:type="gramEnd"/>
      <w:r>
        <w:rPr>
          <w:rFonts w:cs="Times New Roman"/>
          <w:szCs w:val="24"/>
        </w:rPr>
        <w:t>4</w:t>
      </w:r>
      <w:r w:rsidRPr="0057017C">
        <w:rPr>
          <w:rFonts w:cs="Times New Roman"/>
          <w:szCs w:val="24"/>
        </w:rPr>
        <w:t>)</w:t>
      </w:r>
    </w:p>
    <w:p w14:paraId="7EFECCB4" w14:textId="0ED2D61F" w:rsidR="00AF36D7" w:rsidRPr="0057017C" w:rsidRDefault="00AF36D7" w:rsidP="00AF36D7">
      <w:pPr>
        <w:spacing w:line="360" w:lineRule="auto"/>
        <w:jc w:val="both"/>
        <w:rPr>
          <w:rFonts w:cs="Times New Roman"/>
          <w:b/>
          <w:bCs/>
          <w:szCs w:val="24"/>
        </w:rPr>
      </w:pPr>
      <w:r w:rsidRPr="0057017C">
        <w:rPr>
          <w:rFonts w:cs="Times New Roman"/>
          <w:szCs w:val="24"/>
        </w:rPr>
        <w:t>Here, the absorbance of blood samples incubated with “A</w:t>
      </w:r>
      <w:r w:rsidRPr="0057017C">
        <w:rPr>
          <w:rFonts w:cs="Times New Roman"/>
          <w:szCs w:val="24"/>
          <w:vertAlign w:val="subscript"/>
        </w:rPr>
        <w:t>s</w:t>
      </w:r>
      <w:r w:rsidRPr="0057017C">
        <w:rPr>
          <w:rFonts w:cs="Times New Roman"/>
          <w:szCs w:val="24"/>
        </w:rPr>
        <w:t xml:space="preserve">” </w:t>
      </w:r>
      <w:r w:rsidRPr="00836174">
        <w:t xml:space="preserve">bare CF, </w:t>
      </w:r>
      <w:r w:rsidR="00722AFA">
        <w:t>PANI@CF</w:t>
      </w:r>
      <w:r w:rsidRPr="00836174">
        <w:t xml:space="preserve">, and </w:t>
      </w:r>
      <w:r w:rsidR="00722AFA">
        <w:t>PPY@CF</w:t>
      </w:r>
      <w:r w:rsidRPr="00836174">
        <w:t xml:space="preserve"> composites</w:t>
      </w:r>
      <w:r w:rsidRPr="0057017C">
        <w:rPr>
          <w:rFonts w:cs="Times New Roman"/>
          <w:szCs w:val="24"/>
        </w:rPr>
        <w:t xml:space="preserve"> and “A</w:t>
      </w:r>
      <w:r w:rsidRPr="0057017C">
        <w:rPr>
          <w:rFonts w:cs="Times New Roman"/>
          <w:szCs w:val="24"/>
          <w:vertAlign w:val="subscript"/>
        </w:rPr>
        <w:t>c</w:t>
      </w:r>
      <w:r w:rsidRPr="0057017C">
        <w:rPr>
          <w:rFonts w:cs="Times New Roman"/>
          <w:szCs w:val="24"/>
        </w:rPr>
        <w:t>” are the absorbance value of blood samples incubated in pure water only. The results were created as hemolysis ratio (%) and blood clotting index (%) graphs with standard deviations by computing average values. All tests were carried out in triplicate to ensure accuracy.</w:t>
      </w:r>
    </w:p>
    <w:p w14:paraId="10001E23" w14:textId="77777777" w:rsidR="00AF36D7" w:rsidRPr="000405F9" w:rsidRDefault="00AF36D7" w:rsidP="00AF36D7">
      <w:pPr>
        <w:spacing w:line="360" w:lineRule="auto"/>
        <w:jc w:val="both"/>
        <w:rPr>
          <w:b/>
          <w:bCs/>
        </w:rPr>
      </w:pPr>
      <w:r w:rsidRPr="000405F9">
        <w:rPr>
          <w:b/>
          <w:bCs/>
        </w:rPr>
        <w:t>Biocompatibility assay</w:t>
      </w:r>
    </w:p>
    <w:p w14:paraId="6F90EB38" w14:textId="34A77F78" w:rsidR="00AF36D7" w:rsidRDefault="00AF36D7" w:rsidP="00AF36D7">
      <w:pPr>
        <w:spacing w:line="360" w:lineRule="auto"/>
        <w:jc w:val="both"/>
      </w:pPr>
      <w:r w:rsidRPr="000405F9">
        <w:lastRenderedPageBreak/>
        <w:t xml:space="preserve">Using L929 fibroblast cells, the cytotoxicity of bare CF, </w:t>
      </w:r>
      <w:r w:rsidR="00722AFA">
        <w:t>PANI@CF</w:t>
      </w:r>
      <w:r w:rsidRPr="000405F9">
        <w:t xml:space="preserve">, and </w:t>
      </w:r>
      <w:r w:rsidR="00722AFA">
        <w:t>PPY@CF</w:t>
      </w:r>
      <w:r w:rsidRPr="000405F9">
        <w:t xml:space="preserve"> composites was assessed using the MTT test.  The fibroblast cells were grown at 37 °C in a 5% CO</w:t>
      </w:r>
      <w:r w:rsidRPr="000405F9">
        <w:rPr>
          <w:vertAlign w:val="subscript"/>
        </w:rPr>
        <w:t>2</w:t>
      </w:r>
      <w:r w:rsidRPr="000405F9">
        <w:t xml:space="preserve"> environment in DMEM supplemented with 10% (v/v) FBS and 1% antibiotics. First, 100 </w:t>
      </w:r>
      <w:r>
        <w:rPr>
          <w:rFonts w:cs="Times New Roman"/>
        </w:rPr>
        <w:t>µ</w:t>
      </w:r>
      <w:r w:rsidRPr="000405F9">
        <w:t>L of the cell suspension was planted in each well of a 96-well plate at a concentration of 5x10</w:t>
      </w:r>
      <w:r w:rsidRPr="000405F9">
        <w:rPr>
          <w:vertAlign w:val="superscript"/>
        </w:rPr>
        <w:t>4</w:t>
      </w:r>
      <w:r w:rsidRPr="000405F9">
        <w:t xml:space="preserve"> cells/mL in culture media. The plate was kept in an incubator with 5% CO</w:t>
      </w:r>
      <w:r w:rsidRPr="000405F9">
        <w:rPr>
          <w:vertAlign w:val="subscript"/>
        </w:rPr>
        <w:t>2</w:t>
      </w:r>
      <w:r w:rsidRPr="000405F9">
        <w:t xml:space="preserve"> at 37 °C. </w:t>
      </w:r>
      <w:r w:rsidRPr="00B30A38">
        <w:t xml:space="preserve">In addition to 100 </w:t>
      </w:r>
      <w:proofErr w:type="spellStart"/>
      <w:r w:rsidRPr="00B30A38">
        <w:t>μL</w:t>
      </w:r>
      <w:proofErr w:type="spellEnd"/>
      <w:r w:rsidRPr="00B30A38">
        <w:t xml:space="preserve"> of growing media, separate bare CFs, </w:t>
      </w:r>
      <w:r w:rsidR="00722AFA">
        <w:t>PANI@CF</w:t>
      </w:r>
      <w:r w:rsidRPr="00B30A38">
        <w:t xml:space="preserve">, and </w:t>
      </w:r>
      <w:r w:rsidR="00722AFA">
        <w:t>PPY@CF</w:t>
      </w:r>
      <w:r w:rsidRPr="00B30A38">
        <w:t xml:space="preserve"> composites weighing 1 mg were carefully put on the cells in the wells. The identical conditions employed for cell development were applied to the plate throughout its 24-hour incubation. Following the incubation period, sterile phosphate-buffered saline (PBS) was used to wash the wells and discard the samples and medium within the plate.</w:t>
      </w:r>
      <w:r w:rsidRPr="004552E7">
        <w:t xml:space="preserve"> 200 </w:t>
      </w:r>
      <w:r>
        <w:rPr>
          <w:rFonts w:cs="Times New Roman"/>
        </w:rPr>
        <w:t>µ</w:t>
      </w:r>
      <w:r w:rsidRPr="004552E7">
        <w:t xml:space="preserve">L of DMSO was added to the wells after the MTT agent had been taken out after </w:t>
      </w:r>
      <w:r>
        <w:t>2 h</w:t>
      </w:r>
      <w:r w:rsidRPr="004552E7">
        <w:t>. Using a plate reader (</w:t>
      </w:r>
      <w:proofErr w:type="spellStart"/>
      <w:r w:rsidRPr="004552E7">
        <w:t>Thermo</w:t>
      </w:r>
      <w:proofErr w:type="spellEnd"/>
      <w:r w:rsidRPr="004552E7">
        <w:t xml:space="preserve">, </w:t>
      </w:r>
      <w:proofErr w:type="spellStart"/>
      <w:r w:rsidRPr="004552E7">
        <w:t>Multiskan</w:t>
      </w:r>
      <w:proofErr w:type="spellEnd"/>
      <w:r w:rsidRPr="004552E7">
        <w:t xml:space="preserve"> Sky, USA) set to detect absorbance values at a wavelength of 590 nm, the cell viability</w:t>
      </w:r>
      <w:r>
        <w:t>%</w:t>
      </w:r>
      <w:r w:rsidRPr="004552E7">
        <w:t xml:space="preserve"> of each well was computed by comparing it to that of the control group. Three iterations of each analysis were conducted, and standard deviations were provided for the outcomes.</w:t>
      </w:r>
    </w:p>
    <w:p w14:paraId="259CC0A0" w14:textId="77777777" w:rsidR="00AF36D7" w:rsidRPr="00784484" w:rsidRDefault="00AF36D7" w:rsidP="00AF36D7">
      <w:pPr>
        <w:spacing w:line="360" w:lineRule="auto"/>
        <w:jc w:val="both"/>
        <w:rPr>
          <w:b/>
          <w:bCs/>
        </w:rPr>
      </w:pPr>
      <w:r w:rsidRPr="00784484">
        <w:rPr>
          <w:b/>
          <w:bCs/>
        </w:rPr>
        <w:t>Antimicrobial activity assay</w:t>
      </w:r>
    </w:p>
    <w:p w14:paraId="09968894" w14:textId="48A4FDF9" w:rsidR="00AF36D7" w:rsidRDefault="00AF36D7" w:rsidP="00AF36D7">
      <w:pPr>
        <w:spacing w:line="360" w:lineRule="auto"/>
        <w:jc w:val="both"/>
        <w:rPr>
          <w:color w:val="222222"/>
          <w:szCs w:val="24"/>
          <w:shd w:val="clear" w:color="auto" w:fill="FFFFFF"/>
        </w:rPr>
      </w:pPr>
      <w:r>
        <w:rPr>
          <w:color w:val="222222"/>
          <w:szCs w:val="24"/>
          <w:shd w:val="clear" w:color="auto" w:fill="FFFFFF"/>
        </w:rPr>
        <w:t>Certain amounts</w:t>
      </w:r>
      <w:r w:rsidRPr="002C683E">
        <w:rPr>
          <w:color w:val="222222"/>
          <w:szCs w:val="24"/>
          <w:shd w:val="clear" w:color="auto" w:fill="FFFFFF"/>
        </w:rPr>
        <w:t xml:space="preserve"> of bare-CF, </w:t>
      </w:r>
      <w:r w:rsidR="00722AFA">
        <w:rPr>
          <w:color w:val="222222"/>
          <w:szCs w:val="24"/>
          <w:shd w:val="clear" w:color="auto" w:fill="FFFFFF"/>
        </w:rPr>
        <w:t>PANI@CF</w:t>
      </w:r>
      <w:r w:rsidRPr="002C683E">
        <w:rPr>
          <w:color w:val="222222"/>
          <w:szCs w:val="24"/>
          <w:shd w:val="clear" w:color="auto" w:fill="FFFFFF"/>
        </w:rPr>
        <w:t xml:space="preserve">, and </w:t>
      </w:r>
      <w:r w:rsidR="00722AFA">
        <w:rPr>
          <w:color w:val="222222"/>
          <w:szCs w:val="24"/>
          <w:shd w:val="clear" w:color="auto" w:fill="FFFFFF"/>
        </w:rPr>
        <w:t>PPY@CF</w:t>
      </w:r>
      <w:r w:rsidRPr="002C683E">
        <w:rPr>
          <w:color w:val="222222"/>
          <w:szCs w:val="24"/>
          <w:shd w:val="clear" w:color="auto" w:fill="FFFFFF"/>
        </w:rPr>
        <w:t xml:space="preserve"> composites</w:t>
      </w:r>
      <w:r>
        <w:rPr>
          <w:color w:val="222222"/>
          <w:szCs w:val="24"/>
          <w:shd w:val="clear" w:color="auto" w:fill="FFFFFF"/>
        </w:rPr>
        <w:t xml:space="preserve"> (1, 2.5, 5, and 10 mg)</w:t>
      </w:r>
      <w:r w:rsidRPr="002C683E">
        <w:rPr>
          <w:color w:val="222222"/>
          <w:szCs w:val="24"/>
          <w:shd w:val="clear" w:color="auto" w:fill="FFFFFF"/>
        </w:rPr>
        <w:t xml:space="preserve"> were put to each well of a 24-well plate to conduct the broth-micro dilution test. Next, each well of a 24-well plate was pipetted with 1 mL of nutritional broth (NB). Subsequently, 50 </w:t>
      </w:r>
      <w:proofErr w:type="spellStart"/>
      <w:r w:rsidRPr="002C683E">
        <w:rPr>
          <w:color w:val="222222"/>
          <w:szCs w:val="24"/>
          <w:shd w:val="clear" w:color="auto" w:fill="FFFFFF"/>
        </w:rPr>
        <w:t>μL</w:t>
      </w:r>
      <w:proofErr w:type="spellEnd"/>
      <w:r w:rsidRPr="002C683E">
        <w:rPr>
          <w:color w:val="222222"/>
          <w:szCs w:val="24"/>
          <w:shd w:val="clear" w:color="auto" w:fill="FFFFFF"/>
        </w:rPr>
        <w:t xml:space="preserve"> of reconstituted suspensions o</w:t>
      </w:r>
      <w:r w:rsidRPr="00EF510A">
        <w:rPr>
          <w:color w:val="222222"/>
          <w:szCs w:val="24"/>
          <w:shd w:val="clear" w:color="auto" w:fill="FFFFFF"/>
        </w:rPr>
        <w:t xml:space="preserve">f </w:t>
      </w:r>
      <w:r w:rsidRPr="00EF510A">
        <w:rPr>
          <w:i/>
          <w:iCs/>
          <w:szCs w:val="24"/>
          <w:shd w:val="clear" w:color="auto" w:fill="FFFFFF"/>
        </w:rPr>
        <w:t>Escherichia coli</w:t>
      </w:r>
      <w:r w:rsidRPr="00EF510A">
        <w:rPr>
          <w:szCs w:val="24"/>
          <w:shd w:val="clear" w:color="auto" w:fill="FFFFFF"/>
        </w:rPr>
        <w:t xml:space="preserve"> ATCC8739 (</w:t>
      </w:r>
      <w:r w:rsidRPr="00EF510A">
        <w:rPr>
          <w:i/>
          <w:iCs/>
          <w:szCs w:val="24"/>
          <w:shd w:val="clear" w:color="auto" w:fill="FFFFFF"/>
        </w:rPr>
        <w:t>E. coli</w:t>
      </w:r>
      <w:r w:rsidRPr="00EF510A">
        <w:rPr>
          <w:szCs w:val="24"/>
          <w:shd w:val="clear" w:color="auto" w:fill="FFFFFF"/>
        </w:rPr>
        <w:t xml:space="preserve">), </w:t>
      </w:r>
      <w:r w:rsidRPr="00EF510A">
        <w:rPr>
          <w:i/>
          <w:iCs/>
          <w:szCs w:val="24"/>
          <w:shd w:val="clear" w:color="auto" w:fill="FFFFFF"/>
        </w:rPr>
        <w:t>Staphylococcus aureus</w:t>
      </w:r>
      <w:r w:rsidRPr="00EF510A">
        <w:rPr>
          <w:szCs w:val="24"/>
          <w:shd w:val="clear" w:color="auto" w:fill="FFFFFF"/>
        </w:rPr>
        <w:t xml:space="preserve"> ATCC6538 (</w:t>
      </w:r>
      <w:r w:rsidRPr="00EF510A">
        <w:rPr>
          <w:i/>
          <w:iCs/>
          <w:szCs w:val="24"/>
          <w:shd w:val="clear" w:color="auto" w:fill="FFFFFF"/>
        </w:rPr>
        <w:t>S. aureus</w:t>
      </w:r>
      <w:r w:rsidRPr="00EF510A">
        <w:rPr>
          <w:szCs w:val="24"/>
          <w:shd w:val="clear" w:color="auto" w:fill="FFFFFF"/>
        </w:rPr>
        <w:t xml:space="preserve">), or </w:t>
      </w:r>
      <w:r w:rsidRPr="00EF510A">
        <w:rPr>
          <w:i/>
          <w:iCs/>
          <w:szCs w:val="24"/>
          <w:shd w:val="clear" w:color="auto" w:fill="FFFFFF"/>
        </w:rPr>
        <w:t>Candida albicans</w:t>
      </w:r>
      <w:r w:rsidRPr="00EF510A">
        <w:rPr>
          <w:szCs w:val="24"/>
          <w:shd w:val="clear" w:color="auto" w:fill="FFFFFF"/>
        </w:rPr>
        <w:t xml:space="preserve"> ATCC10231</w:t>
      </w:r>
      <w:r w:rsidRPr="00784484">
        <w:rPr>
          <w:szCs w:val="24"/>
          <w:shd w:val="clear" w:color="auto" w:fill="FFFFFF"/>
        </w:rPr>
        <w:t xml:space="preserve"> (</w:t>
      </w:r>
      <w:r w:rsidRPr="00784484">
        <w:rPr>
          <w:i/>
          <w:iCs/>
          <w:szCs w:val="24"/>
          <w:shd w:val="clear" w:color="auto" w:fill="FFFFFF"/>
        </w:rPr>
        <w:t>C.</w:t>
      </w:r>
      <w:r w:rsidRPr="00784484">
        <w:rPr>
          <w:szCs w:val="24"/>
          <w:shd w:val="clear" w:color="auto" w:fill="FFFFFF"/>
        </w:rPr>
        <w:t xml:space="preserve"> albicans), </w:t>
      </w:r>
      <w:r w:rsidRPr="002C683E">
        <w:rPr>
          <w:color w:val="222222"/>
          <w:szCs w:val="24"/>
          <w:shd w:val="clear" w:color="auto" w:fill="FFFFFF"/>
        </w:rPr>
        <w:t>standardized to 0.5 McFarland density, were introduced into every well. The doses at which there was no discernible growth (turbidity) were identified as minimum inhibitory concentrations (MIC) values, which removed 50% of the bacteria, after the plates were incubated at 37°C for 24 hours. To determine the minimum bactericidal concentration (MBC) values that eliminated 99.9% of bacteria, the contents of the wells were lastly grown on nutrient agar plates.</w:t>
      </w:r>
    </w:p>
    <w:p w14:paraId="6F02500F" w14:textId="77777777" w:rsidR="00AF36D7" w:rsidRDefault="00AF36D7" w:rsidP="00AF36D7"/>
    <w:p w14:paraId="46C6356D" w14:textId="77777777" w:rsidR="00AF36D7" w:rsidRDefault="00AF36D7" w:rsidP="00AF36D7"/>
    <w:p w14:paraId="3CFC78AE" w14:textId="4B911C28" w:rsidR="00AF36D7" w:rsidRDefault="00A93D11" w:rsidP="00AF36D7">
      <w:r w:rsidRPr="00A93D11">
        <w:rPr>
          <w:noProof/>
        </w:rPr>
        <w:lastRenderedPageBreak/>
        <w:drawing>
          <wp:inline distT="0" distB="0" distL="0" distR="0" wp14:anchorId="1AD4F3E2" wp14:editId="767A440A">
            <wp:extent cx="5657850" cy="4067175"/>
            <wp:effectExtent l="0" t="0" r="0" b="9525"/>
            <wp:docPr id="2005457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0" cy="4067175"/>
                    </a:xfrm>
                    <a:prstGeom prst="rect">
                      <a:avLst/>
                    </a:prstGeom>
                    <a:noFill/>
                    <a:ln>
                      <a:noFill/>
                    </a:ln>
                  </pic:spPr>
                </pic:pic>
              </a:graphicData>
            </a:graphic>
          </wp:inline>
        </w:drawing>
      </w:r>
    </w:p>
    <w:p w14:paraId="3CAE7C22" w14:textId="77777777" w:rsidR="00AF36D7" w:rsidRPr="00876C24" w:rsidRDefault="00AF36D7" w:rsidP="00AF36D7">
      <w:r w:rsidRPr="00876C24">
        <w:rPr>
          <w:b/>
          <w:bCs/>
        </w:rPr>
        <w:t xml:space="preserve">Figure S1. </w:t>
      </w:r>
      <w:r w:rsidRPr="00876C24">
        <w:t>The digital camera images of CF and CF-based conductive polymer composites in dry form.</w:t>
      </w:r>
    </w:p>
    <w:p w14:paraId="0CDD04CA" w14:textId="77777777" w:rsidR="00AF36D7" w:rsidRDefault="00AF36D7" w:rsidP="00AF36D7"/>
    <w:p w14:paraId="160D6418" w14:textId="4CC684CC" w:rsidR="00AF36D7" w:rsidRDefault="00A93D11" w:rsidP="00AF36D7">
      <w:r w:rsidRPr="00A93D11">
        <w:rPr>
          <w:noProof/>
        </w:rPr>
        <w:lastRenderedPageBreak/>
        <w:drawing>
          <wp:inline distT="0" distB="0" distL="0" distR="0" wp14:anchorId="665DAD87" wp14:editId="583EB5F9">
            <wp:extent cx="5943600" cy="3688080"/>
            <wp:effectExtent l="0" t="0" r="0" b="7620"/>
            <wp:docPr id="225378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688080"/>
                    </a:xfrm>
                    <a:prstGeom prst="rect">
                      <a:avLst/>
                    </a:prstGeom>
                    <a:noFill/>
                    <a:ln>
                      <a:noFill/>
                    </a:ln>
                  </pic:spPr>
                </pic:pic>
              </a:graphicData>
            </a:graphic>
          </wp:inline>
        </w:drawing>
      </w:r>
    </w:p>
    <w:p w14:paraId="1AC5B4BA" w14:textId="4C13A3D3" w:rsidR="00AF36D7" w:rsidRPr="00876C24" w:rsidRDefault="00AF36D7" w:rsidP="00AF36D7">
      <w:r w:rsidRPr="00876C24">
        <w:rPr>
          <w:b/>
          <w:bCs/>
        </w:rPr>
        <w:t xml:space="preserve">Figure S2. </w:t>
      </w:r>
      <w:r w:rsidRPr="00876C24">
        <w:t xml:space="preserve">The taken images about droplet formation on CF and </w:t>
      </w:r>
      <w:r w:rsidR="00722AFA">
        <w:t>PANI@CF</w:t>
      </w:r>
      <w:r w:rsidRPr="00876C24">
        <w:t xml:space="preserve"> composites in both states</w:t>
      </w:r>
    </w:p>
    <w:p w14:paraId="2DB30C67" w14:textId="77777777" w:rsidR="00AF36D7" w:rsidRDefault="00AF36D7" w:rsidP="00AF36D7"/>
    <w:p w14:paraId="48EF942C" w14:textId="77777777" w:rsidR="00AF36D7" w:rsidRDefault="00AF36D7" w:rsidP="00AF36D7"/>
    <w:p w14:paraId="2A144423" w14:textId="32F820AE" w:rsidR="00AF36D7" w:rsidRDefault="00AA5D96" w:rsidP="00AF36D7">
      <w:r w:rsidRPr="00AA5D96">
        <w:rPr>
          <w:noProof/>
        </w:rPr>
        <w:lastRenderedPageBreak/>
        <w:drawing>
          <wp:inline distT="0" distB="0" distL="0" distR="0" wp14:anchorId="2F9D83BD" wp14:editId="5A14BD99">
            <wp:extent cx="5943600" cy="3617595"/>
            <wp:effectExtent l="0" t="0" r="0" b="1905"/>
            <wp:docPr id="290736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17595"/>
                    </a:xfrm>
                    <a:prstGeom prst="rect">
                      <a:avLst/>
                    </a:prstGeom>
                    <a:noFill/>
                    <a:ln>
                      <a:noFill/>
                    </a:ln>
                  </pic:spPr>
                </pic:pic>
              </a:graphicData>
            </a:graphic>
          </wp:inline>
        </w:drawing>
      </w:r>
    </w:p>
    <w:p w14:paraId="6686B89F" w14:textId="096B4196" w:rsidR="00AF36D7" w:rsidRPr="00FD0836" w:rsidRDefault="00AF36D7" w:rsidP="00AF36D7">
      <w:r w:rsidRPr="00FD0836">
        <w:rPr>
          <w:b/>
          <w:bCs/>
        </w:rPr>
        <w:t xml:space="preserve">Figure S3. </w:t>
      </w:r>
      <w:r w:rsidRPr="00FD0836">
        <w:t xml:space="preserve">The taken images about droplet formation on CF and </w:t>
      </w:r>
      <w:r w:rsidR="00722AFA">
        <w:t>PPY@CF</w:t>
      </w:r>
      <w:r w:rsidRPr="00FD0836">
        <w:t xml:space="preserve"> composites in both states</w:t>
      </w:r>
    </w:p>
    <w:p w14:paraId="596597A8" w14:textId="77777777" w:rsidR="00AF36D7" w:rsidRDefault="00AF36D7" w:rsidP="00AF36D7"/>
    <w:p w14:paraId="1DA07347" w14:textId="77777777" w:rsidR="00AF36D7" w:rsidRDefault="00AF36D7"/>
    <w:sectPr w:rsidR="00AF36D7" w:rsidSect="00AF36D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2F9E1" w14:textId="77777777" w:rsidR="00A903A6" w:rsidRDefault="00A903A6" w:rsidP="004449B4">
      <w:pPr>
        <w:spacing w:after="0"/>
      </w:pPr>
      <w:r>
        <w:separator/>
      </w:r>
    </w:p>
  </w:endnote>
  <w:endnote w:type="continuationSeparator" w:id="0">
    <w:p w14:paraId="26177931" w14:textId="77777777" w:rsidR="00A903A6" w:rsidRDefault="00A903A6" w:rsidP="004449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9641700"/>
      <w:docPartObj>
        <w:docPartGallery w:val="Page Numbers (Bottom of Page)"/>
        <w:docPartUnique/>
      </w:docPartObj>
    </w:sdtPr>
    <w:sdtEndPr>
      <w:rPr>
        <w:noProof/>
      </w:rPr>
    </w:sdtEndPr>
    <w:sdtContent>
      <w:p w14:paraId="3AD6CCD9" w14:textId="3122D24E" w:rsidR="004449B4" w:rsidRDefault="004449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5E81C9" w14:textId="77777777" w:rsidR="004449B4" w:rsidRDefault="00444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CA2B5" w14:textId="77777777" w:rsidR="00A903A6" w:rsidRDefault="00A903A6" w:rsidP="004449B4">
      <w:pPr>
        <w:spacing w:after="0"/>
      </w:pPr>
      <w:r>
        <w:separator/>
      </w:r>
    </w:p>
  </w:footnote>
  <w:footnote w:type="continuationSeparator" w:id="0">
    <w:p w14:paraId="3FBA56A7" w14:textId="77777777" w:rsidR="00A903A6" w:rsidRDefault="00A903A6" w:rsidP="004449B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SysDA1MzM0NjAyMzFT0lEKTi0uzszPAykwrAUAqnVhZiwAAAA="/>
  </w:docVars>
  <w:rsids>
    <w:rsidRoot w:val="00AF36D7"/>
    <w:rsid w:val="000163AB"/>
    <w:rsid w:val="000F21EE"/>
    <w:rsid w:val="00194A1E"/>
    <w:rsid w:val="00253D31"/>
    <w:rsid w:val="003706E3"/>
    <w:rsid w:val="004449B4"/>
    <w:rsid w:val="004C2938"/>
    <w:rsid w:val="0062355C"/>
    <w:rsid w:val="0066359B"/>
    <w:rsid w:val="00722AFA"/>
    <w:rsid w:val="00772D4B"/>
    <w:rsid w:val="00A903A6"/>
    <w:rsid w:val="00A93D11"/>
    <w:rsid w:val="00AA5D96"/>
    <w:rsid w:val="00AB2F79"/>
    <w:rsid w:val="00AF36D7"/>
    <w:rsid w:val="00B6424D"/>
    <w:rsid w:val="00C611F1"/>
    <w:rsid w:val="00D22229"/>
    <w:rsid w:val="00D75520"/>
    <w:rsid w:val="00E320F7"/>
    <w:rsid w:val="00E3301F"/>
    <w:rsid w:val="00E5579D"/>
    <w:rsid w:val="00EF1385"/>
    <w:rsid w:val="00F7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DBFBD"/>
  <w15:chartTrackingRefBased/>
  <w15:docId w15:val="{F103EF8B-FF89-45F3-B699-826BBFB2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D7"/>
    <w:pPr>
      <w:spacing w:after="240" w:line="240"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AF36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36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36D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36D7"/>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F36D7"/>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F36D7"/>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F36D7"/>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F36D7"/>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F36D7"/>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6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6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6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6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6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6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6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6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6D7"/>
    <w:rPr>
      <w:rFonts w:eastAsiaTheme="majorEastAsia" w:cstheme="majorBidi"/>
      <w:color w:val="272727" w:themeColor="text1" w:themeTint="D8"/>
    </w:rPr>
  </w:style>
  <w:style w:type="paragraph" w:styleId="Title">
    <w:name w:val="Title"/>
    <w:basedOn w:val="Normal"/>
    <w:next w:val="Normal"/>
    <w:link w:val="TitleChar"/>
    <w:uiPriority w:val="10"/>
    <w:qFormat/>
    <w:rsid w:val="00AF36D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36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6D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36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6D7"/>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F36D7"/>
    <w:rPr>
      <w:i/>
      <w:iCs/>
      <w:color w:val="404040" w:themeColor="text1" w:themeTint="BF"/>
    </w:rPr>
  </w:style>
  <w:style w:type="paragraph" w:styleId="ListParagraph">
    <w:name w:val="List Paragraph"/>
    <w:basedOn w:val="Normal"/>
    <w:uiPriority w:val="34"/>
    <w:qFormat/>
    <w:rsid w:val="00AF36D7"/>
    <w:pPr>
      <w:spacing w:after="160"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AF36D7"/>
    <w:rPr>
      <w:i/>
      <w:iCs/>
      <w:color w:val="0F4761" w:themeColor="accent1" w:themeShade="BF"/>
    </w:rPr>
  </w:style>
  <w:style w:type="paragraph" w:styleId="IntenseQuote">
    <w:name w:val="Intense Quote"/>
    <w:basedOn w:val="Normal"/>
    <w:next w:val="Normal"/>
    <w:link w:val="IntenseQuoteChar"/>
    <w:uiPriority w:val="30"/>
    <w:qFormat/>
    <w:rsid w:val="00AF36D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F36D7"/>
    <w:rPr>
      <w:i/>
      <w:iCs/>
      <w:color w:val="0F4761" w:themeColor="accent1" w:themeShade="BF"/>
    </w:rPr>
  </w:style>
  <w:style w:type="character" w:styleId="IntenseReference">
    <w:name w:val="Intense Reference"/>
    <w:basedOn w:val="DefaultParagraphFont"/>
    <w:uiPriority w:val="32"/>
    <w:qFormat/>
    <w:rsid w:val="00AF36D7"/>
    <w:rPr>
      <w:b/>
      <w:bCs/>
      <w:smallCaps/>
      <w:color w:val="0F4761" w:themeColor="accent1" w:themeShade="BF"/>
      <w:spacing w:val="5"/>
    </w:rPr>
  </w:style>
  <w:style w:type="character" w:customStyle="1" w:styleId="rynqvb">
    <w:name w:val="rynqvb"/>
    <w:basedOn w:val="DefaultParagraphFont"/>
    <w:rsid w:val="00AF36D7"/>
  </w:style>
  <w:style w:type="paragraph" w:customStyle="1" w:styleId="BCAuthorAddress">
    <w:name w:val="BC_Author_Address"/>
    <w:basedOn w:val="Normal"/>
    <w:next w:val="Normal"/>
    <w:rsid w:val="00AF36D7"/>
    <w:pPr>
      <w:spacing w:line="480" w:lineRule="auto"/>
      <w:jc w:val="center"/>
    </w:pPr>
    <w:rPr>
      <w:rFonts w:ascii="Times" w:eastAsia="Times New Roman" w:hAnsi="Times" w:cs="Times New Roman"/>
      <w:szCs w:val="20"/>
    </w:rPr>
  </w:style>
  <w:style w:type="paragraph" w:styleId="Header">
    <w:name w:val="header"/>
    <w:basedOn w:val="Normal"/>
    <w:link w:val="HeaderChar"/>
    <w:uiPriority w:val="99"/>
    <w:unhideWhenUsed/>
    <w:rsid w:val="004449B4"/>
    <w:pPr>
      <w:tabs>
        <w:tab w:val="center" w:pos="4680"/>
        <w:tab w:val="right" w:pos="9360"/>
      </w:tabs>
      <w:spacing w:after="0"/>
    </w:pPr>
  </w:style>
  <w:style w:type="character" w:customStyle="1" w:styleId="HeaderChar">
    <w:name w:val="Header Char"/>
    <w:basedOn w:val="DefaultParagraphFont"/>
    <w:link w:val="Header"/>
    <w:uiPriority w:val="99"/>
    <w:rsid w:val="004449B4"/>
    <w:rPr>
      <w:rFonts w:ascii="Times New Roman" w:hAnsi="Times New Roman"/>
      <w:kern w:val="0"/>
      <w:szCs w:val="22"/>
      <w14:ligatures w14:val="none"/>
    </w:rPr>
  </w:style>
  <w:style w:type="paragraph" w:styleId="Footer">
    <w:name w:val="footer"/>
    <w:basedOn w:val="Normal"/>
    <w:link w:val="FooterChar"/>
    <w:uiPriority w:val="99"/>
    <w:unhideWhenUsed/>
    <w:rsid w:val="004449B4"/>
    <w:pPr>
      <w:tabs>
        <w:tab w:val="center" w:pos="4680"/>
        <w:tab w:val="right" w:pos="9360"/>
      </w:tabs>
      <w:spacing w:after="0"/>
    </w:pPr>
  </w:style>
  <w:style w:type="character" w:customStyle="1" w:styleId="FooterChar">
    <w:name w:val="Footer Char"/>
    <w:basedOn w:val="DefaultParagraphFont"/>
    <w:link w:val="Footer"/>
    <w:uiPriority w:val="99"/>
    <w:rsid w:val="004449B4"/>
    <w:rPr>
      <w:rFonts w:ascii="Times New Roman" w:hAnsi="Times New Roman"/>
      <w:kern w:val="0"/>
      <w:szCs w:val="22"/>
      <w14:ligatures w14:val="none"/>
    </w:rPr>
  </w:style>
  <w:style w:type="character" w:styleId="Hyperlink">
    <w:name w:val="Hyperlink"/>
    <w:basedOn w:val="DefaultParagraphFont"/>
    <w:uiPriority w:val="99"/>
    <w:unhideWhenUsed/>
    <w:rsid w:val="0062355C"/>
    <w:rPr>
      <w:color w:val="0000FF"/>
      <w:u w:val="single"/>
    </w:rPr>
  </w:style>
  <w:style w:type="character" w:styleId="UnresolvedMention">
    <w:name w:val="Unresolved Mention"/>
    <w:basedOn w:val="DefaultParagraphFont"/>
    <w:uiPriority w:val="99"/>
    <w:semiHidden/>
    <w:unhideWhenUsed/>
    <w:rsid w:val="00623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117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ner71@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sahiner@usf.edu"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ureddine.abidi@ttu.edu" TargetMode="External"/><Relationship Id="rId11" Type="http://schemas.openxmlformats.org/officeDocument/2006/relationships/image" Target="media/image3.emf"/><Relationship Id="rId5" Type="http://schemas.openxmlformats.org/officeDocument/2006/relationships/endnotes" Target="endnotes.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Nurettin SAHINER</dc:creator>
  <cp:keywords/>
  <dc:description/>
  <cp:lastModifiedBy>Nurettin SAHINER</cp:lastModifiedBy>
  <cp:revision>2</cp:revision>
  <dcterms:created xsi:type="dcterms:W3CDTF">2024-06-06T13:39:00Z</dcterms:created>
  <dcterms:modified xsi:type="dcterms:W3CDTF">2024-06-06T13:39:00Z</dcterms:modified>
</cp:coreProperties>
</file>