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0408E7" w14:textId="77777777" w:rsidR="002A409E" w:rsidRPr="00BE2513" w:rsidRDefault="002A409E" w:rsidP="002A409E">
      <w:pPr>
        <w:pStyle w:val="NormalWeb"/>
        <w:shd w:val="clear" w:color="auto" w:fill="FFFFFF"/>
        <w:spacing w:before="0" w:beforeAutospacing="0" w:after="0" w:afterAutospacing="0" w:line="480" w:lineRule="auto"/>
        <w:jc w:val="both"/>
        <w:textAlignment w:val="baseline"/>
        <w:rPr>
          <w:color w:val="000000" w:themeColor="text1"/>
        </w:rPr>
      </w:pPr>
      <w:r w:rsidRPr="00BE2513">
        <w:rPr>
          <w:b/>
          <w:bCs/>
          <w:color w:val="000000" w:themeColor="text1"/>
        </w:rPr>
        <w:t>Table 2</w:t>
      </w:r>
      <w:r w:rsidRPr="00BE2513">
        <w:rPr>
          <w:color w:val="000000" w:themeColor="text1"/>
        </w:rPr>
        <w:t xml:space="preserve"> The four predictive models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50"/>
        <w:gridCol w:w="4634"/>
        <w:gridCol w:w="1686"/>
      </w:tblGrid>
      <w:tr w:rsidR="002A409E" w:rsidRPr="00BE2513" w14:paraId="04E5E260" w14:textId="77777777" w:rsidTr="007F51B2">
        <w:tc>
          <w:tcPr>
            <w:tcW w:w="2450" w:type="dxa"/>
            <w:tcBorders>
              <w:top w:val="single" w:sz="4" w:space="0" w:color="auto"/>
              <w:bottom w:val="single" w:sz="4" w:space="0" w:color="auto"/>
            </w:tcBorders>
          </w:tcPr>
          <w:p w14:paraId="38D67A5B" w14:textId="77777777" w:rsidR="002A409E" w:rsidRPr="00BE2513" w:rsidRDefault="002A409E" w:rsidP="007F51B2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b/>
                <w:color w:val="000000" w:themeColor="text1"/>
              </w:rPr>
            </w:pPr>
            <w:r w:rsidRPr="00BE2513">
              <w:rPr>
                <w:b/>
                <w:color w:val="000000" w:themeColor="text1"/>
              </w:rPr>
              <w:t>Model</w:t>
            </w:r>
          </w:p>
        </w:tc>
        <w:tc>
          <w:tcPr>
            <w:tcW w:w="4634" w:type="dxa"/>
            <w:tcBorders>
              <w:top w:val="single" w:sz="4" w:space="0" w:color="auto"/>
              <w:bottom w:val="single" w:sz="4" w:space="0" w:color="auto"/>
            </w:tcBorders>
          </w:tcPr>
          <w:p w14:paraId="1720D93E" w14:textId="77777777" w:rsidR="002A409E" w:rsidRPr="00BE2513" w:rsidRDefault="002A409E" w:rsidP="007F51B2">
            <w:pPr>
              <w:pStyle w:val="NormalWeb"/>
              <w:spacing w:before="0" w:beforeAutospacing="0" w:after="0" w:afterAutospacing="0"/>
              <w:jc w:val="right"/>
              <w:textAlignment w:val="baseline"/>
              <w:rPr>
                <w:b/>
                <w:color w:val="000000" w:themeColor="text1"/>
              </w:rPr>
            </w:pPr>
            <w:r w:rsidRPr="00BE2513">
              <w:rPr>
                <w:b/>
                <w:color w:val="000000" w:themeColor="text1"/>
              </w:rPr>
              <w:t>Equation</w:t>
            </w:r>
          </w:p>
        </w:tc>
        <w:tc>
          <w:tcPr>
            <w:tcW w:w="1686" w:type="dxa"/>
            <w:tcBorders>
              <w:top w:val="single" w:sz="4" w:space="0" w:color="auto"/>
              <w:bottom w:val="single" w:sz="4" w:space="0" w:color="auto"/>
            </w:tcBorders>
          </w:tcPr>
          <w:p w14:paraId="623ACD61" w14:textId="77777777" w:rsidR="002A409E" w:rsidRPr="00BE2513" w:rsidRDefault="002A409E" w:rsidP="007F51B2">
            <w:pPr>
              <w:pStyle w:val="NormalWeb"/>
              <w:spacing w:before="0" w:beforeAutospacing="0" w:after="0" w:afterAutospacing="0"/>
              <w:jc w:val="right"/>
              <w:textAlignment w:val="baseline"/>
              <w:rPr>
                <w:b/>
                <w:color w:val="000000" w:themeColor="text1"/>
              </w:rPr>
            </w:pPr>
            <w:r w:rsidRPr="00BE2513">
              <w:rPr>
                <w:b/>
                <w:color w:val="000000" w:themeColor="text1"/>
              </w:rPr>
              <w:t>df</w:t>
            </w:r>
          </w:p>
        </w:tc>
      </w:tr>
      <w:tr w:rsidR="002A409E" w:rsidRPr="00BE2513" w14:paraId="34CFC907" w14:textId="77777777" w:rsidTr="007F51B2">
        <w:tc>
          <w:tcPr>
            <w:tcW w:w="2450" w:type="dxa"/>
            <w:tcBorders>
              <w:top w:val="single" w:sz="4" w:space="0" w:color="auto"/>
            </w:tcBorders>
          </w:tcPr>
          <w:p w14:paraId="022A3214" w14:textId="77777777" w:rsidR="002A409E" w:rsidRPr="00BE2513" w:rsidRDefault="002A409E" w:rsidP="007F51B2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color w:val="000000" w:themeColor="text1"/>
              </w:rPr>
            </w:pPr>
            <w:r w:rsidRPr="00BE2513">
              <w:rPr>
                <w:color w:val="000000" w:themeColor="text1"/>
              </w:rPr>
              <w:t>Linear</w:t>
            </w:r>
          </w:p>
        </w:tc>
        <w:tc>
          <w:tcPr>
            <w:tcW w:w="4634" w:type="dxa"/>
            <w:tcBorders>
              <w:top w:val="single" w:sz="4" w:space="0" w:color="auto"/>
            </w:tcBorders>
          </w:tcPr>
          <w:p w14:paraId="27CFDB65" w14:textId="77777777" w:rsidR="002A409E" w:rsidRPr="00BE2513" w:rsidRDefault="002A409E" w:rsidP="007F51B2">
            <w:pPr>
              <w:pStyle w:val="NormalWeb"/>
              <w:spacing w:before="0" w:beforeAutospacing="0" w:after="0" w:afterAutospacing="0"/>
              <w:jc w:val="right"/>
              <w:textAlignment w:val="baseline"/>
              <w:rPr>
                <w:color w:val="000000" w:themeColor="text1"/>
              </w:rPr>
            </w:pPr>
            <m:oMathPara>
              <m:oMathParaPr>
                <m:jc m:val="righ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0000" w:themeColor="text1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  <w:color w:val="000000" w:themeColor="text1"/>
                      </w:rPr>
                      <m:t>x</m:t>
                    </m:r>
                  </m:sub>
                </m:sSub>
                <m:r>
                  <w:rPr>
                    <w:rFonts w:ascii="Cambria Math" w:hAnsi="Cambria Math"/>
                    <w:color w:val="000000" w:themeColor="text1"/>
                  </w:rPr>
                  <m:t>=a+bx+ε</m:t>
                </m:r>
              </m:oMath>
            </m:oMathPara>
          </w:p>
        </w:tc>
        <w:tc>
          <w:tcPr>
            <w:tcW w:w="1686" w:type="dxa"/>
            <w:tcBorders>
              <w:top w:val="single" w:sz="4" w:space="0" w:color="auto"/>
            </w:tcBorders>
          </w:tcPr>
          <w:p w14:paraId="6C207906" w14:textId="77777777" w:rsidR="002A409E" w:rsidRPr="00BE2513" w:rsidRDefault="002A409E" w:rsidP="007F51B2">
            <w:pPr>
              <w:pStyle w:val="NormalWeb"/>
              <w:spacing w:before="0" w:beforeAutospacing="0" w:after="0" w:afterAutospacing="0"/>
              <w:jc w:val="right"/>
              <w:textAlignment w:val="baseline"/>
              <w:rPr>
                <w:color w:val="000000" w:themeColor="text1"/>
              </w:rPr>
            </w:pPr>
            <w:r w:rsidRPr="00BE2513">
              <w:rPr>
                <w:color w:val="000000" w:themeColor="text1"/>
              </w:rPr>
              <w:t>1</w:t>
            </w:r>
          </w:p>
        </w:tc>
      </w:tr>
      <w:tr w:rsidR="002A409E" w:rsidRPr="00BE2513" w14:paraId="5B355AB5" w14:textId="77777777" w:rsidTr="007F51B2">
        <w:tc>
          <w:tcPr>
            <w:tcW w:w="2450" w:type="dxa"/>
          </w:tcPr>
          <w:p w14:paraId="225FD01C" w14:textId="77777777" w:rsidR="002A409E" w:rsidRPr="00BE2513" w:rsidRDefault="002A409E" w:rsidP="007F51B2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color w:val="000000" w:themeColor="text1"/>
              </w:rPr>
            </w:pPr>
            <w:r w:rsidRPr="00BE2513">
              <w:rPr>
                <w:color w:val="000000" w:themeColor="text1"/>
              </w:rPr>
              <w:t>Quadratic</w:t>
            </w:r>
          </w:p>
        </w:tc>
        <w:tc>
          <w:tcPr>
            <w:tcW w:w="4634" w:type="dxa"/>
          </w:tcPr>
          <w:p w14:paraId="50BF8F59" w14:textId="77777777" w:rsidR="002A409E" w:rsidRPr="00BE2513" w:rsidRDefault="002A409E" w:rsidP="007F51B2">
            <w:pPr>
              <w:pStyle w:val="NormalWeb"/>
              <w:spacing w:before="0" w:beforeAutospacing="0" w:after="0" w:afterAutospacing="0"/>
              <w:jc w:val="right"/>
              <w:textAlignment w:val="baseline"/>
              <w:rPr>
                <w:color w:val="000000" w:themeColor="text1"/>
              </w:rPr>
            </w:pPr>
            <m:oMathPara>
              <m:oMathParaPr>
                <m:jc m:val="righ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0000" w:themeColor="text1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  <w:color w:val="000000" w:themeColor="text1"/>
                      </w:rPr>
                      <m:t>x</m:t>
                    </m:r>
                  </m:sub>
                </m:sSub>
                <m:r>
                  <w:rPr>
                    <w:rFonts w:ascii="Cambria Math" w:hAnsi="Cambria Math"/>
                    <w:color w:val="000000" w:themeColor="text1"/>
                  </w:rPr>
                  <m:t>=c+dx+e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color w:val="000000" w:themeColor="text1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000000" w:themeColor="text1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color w:val="000000" w:themeColor="text1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color w:val="000000" w:themeColor="text1"/>
                  </w:rPr>
                  <m:t>+ε</m:t>
                </m:r>
              </m:oMath>
            </m:oMathPara>
          </w:p>
        </w:tc>
        <w:tc>
          <w:tcPr>
            <w:tcW w:w="1686" w:type="dxa"/>
          </w:tcPr>
          <w:p w14:paraId="5FEB269E" w14:textId="77777777" w:rsidR="002A409E" w:rsidRPr="00BE2513" w:rsidRDefault="002A409E" w:rsidP="007F51B2">
            <w:pPr>
              <w:pStyle w:val="NormalWeb"/>
              <w:spacing w:before="0" w:beforeAutospacing="0" w:after="0" w:afterAutospacing="0"/>
              <w:jc w:val="right"/>
              <w:textAlignment w:val="baseline"/>
              <w:rPr>
                <w:color w:val="000000" w:themeColor="text1"/>
              </w:rPr>
            </w:pPr>
            <w:r w:rsidRPr="00BE2513">
              <w:rPr>
                <w:color w:val="000000" w:themeColor="text1"/>
              </w:rPr>
              <w:t>2</w:t>
            </w:r>
          </w:p>
        </w:tc>
      </w:tr>
      <w:tr w:rsidR="002A409E" w:rsidRPr="00BE2513" w14:paraId="6E27DA6F" w14:textId="77777777" w:rsidTr="007F51B2">
        <w:tc>
          <w:tcPr>
            <w:tcW w:w="2450" w:type="dxa"/>
          </w:tcPr>
          <w:p w14:paraId="28E5AD65" w14:textId="77777777" w:rsidR="002A409E" w:rsidRPr="00BE2513" w:rsidRDefault="002A409E" w:rsidP="007F51B2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color w:val="000000" w:themeColor="text1"/>
              </w:rPr>
            </w:pPr>
            <w:r w:rsidRPr="00BE2513">
              <w:rPr>
                <w:color w:val="000000" w:themeColor="text1"/>
              </w:rPr>
              <w:t>Cube polynomial</w:t>
            </w:r>
          </w:p>
        </w:tc>
        <w:tc>
          <w:tcPr>
            <w:tcW w:w="4634" w:type="dxa"/>
          </w:tcPr>
          <w:p w14:paraId="0E39B4CA" w14:textId="77777777" w:rsidR="002A409E" w:rsidRPr="00BE2513" w:rsidRDefault="002A409E" w:rsidP="007F51B2">
            <w:pPr>
              <w:pStyle w:val="NormalWeb"/>
              <w:spacing w:before="0" w:beforeAutospacing="0" w:after="0" w:afterAutospacing="0"/>
              <w:jc w:val="right"/>
              <w:textAlignment w:val="baseline"/>
              <w:rPr>
                <w:color w:val="000000" w:themeColor="text1"/>
              </w:rPr>
            </w:pPr>
            <m:oMathPara>
              <m:oMathParaPr>
                <m:jc m:val="righ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0000" w:themeColor="text1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  <w:color w:val="000000" w:themeColor="text1"/>
                      </w:rPr>
                      <m:t>x</m:t>
                    </m:r>
                  </m:sub>
                </m:sSub>
                <m:r>
                  <w:rPr>
                    <w:rFonts w:ascii="Cambria Math" w:hAnsi="Cambria Math"/>
                    <w:color w:val="000000" w:themeColor="text1"/>
                  </w:rPr>
                  <m:t>=f+gx+h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color w:val="000000" w:themeColor="text1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000000" w:themeColor="text1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color w:val="000000" w:themeColor="text1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color w:val="000000" w:themeColor="text1"/>
                  </w:rPr>
                  <m:t>+j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color w:val="000000" w:themeColor="text1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000000" w:themeColor="text1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color w:val="000000" w:themeColor="text1"/>
                      </w:rPr>
                      <m:t>3</m:t>
                    </m:r>
                  </m:sup>
                </m:sSup>
                <m:r>
                  <w:rPr>
                    <w:rFonts w:ascii="Cambria Math" w:hAnsi="Cambria Math"/>
                    <w:color w:val="000000" w:themeColor="text1"/>
                  </w:rPr>
                  <m:t>+ε</m:t>
                </m:r>
              </m:oMath>
            </m:oMathPara>
          </w:p>
        </w:tc>
        <w:tc>
          <w:tcPr>
            <w:tcW w:w="1686" w:type="dxa"/>
          </w:tcPr>
          <w:p w14:paraId="56D96C98" w14:textId="77777777" w:rsidR="002A409E" w:rsidRPr="00BE2513" w:rsidRDefault="002A409E" w:rsidP="007F51B2">
            <w:pPr>
              <w:pStyle w:val="NormalWeb"/>
              <w:spacing w:before="0" w:beforeAutospacing="0" w:after="0" w:afterAutospacing="0"/>
              <w:jc w:val="right"/>
              <w:textAlignment w:val="baseline"/>
              <w:rPr>
                <w:color w:val="000000" w:themeColor="text1"/>
              </w:rPr>
            </w:pPr>
            <w:r w:rsidRPr="00BE2513">
              <w:rPr>
                <w:color w:val="000000" w:themeColor="text1"/>
              </w:rPr>
              <w:t>3</w:t>
            </w:r>
          </w:p>
        </w:tc>
      </w:tr>
      <w:tr w:rsidR="002A409E" w:rsidRPr="00BE2513" w14:paraId="3079C8EC" w14:textId="77777777" w:rsidTr="007F51B2">
        <w:tc>
          <w:tcPr>
            <w:tcW w:w="2450" w:type="dxa"/>
          </w:tcPr>
          <w:p w14:paraId="09F3BEA7" w14:textId="77777777" w:rsidR="002A409E" w:rsidRPr="00BE2513" w:rsidRDefault="002A409E" w:rsidP="007F51B2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color w:val="000000" w:themeColor="text1"/>
              </w:rPr>
            </w:pPr>
            <w:r w:rsidRPr="00BE2513">
              <w:rPr>
                <w:color w:val="000000" w:themeColor="text1"/>
              </w:rPr>
              <w:t>Exponential</w:t>
            </w:r>
          </w:p>
        </w:tc>
        <w:tc>
          <w:tcPr>
            <w:tcW w:w="4634" w:type="dxa"/>
          </w:tcPr>
          <w:p w14:paraId="66E5B68D" w14:textId="77777777" w:rsidR="002A409E" w:rsidRPr="00BE2513" w:rsidRDefault="002A409E" w:rsidP="007F51B2">
            <w:pPr>
              <w:pStyle w:val="NormalWeb"/>
              <w:spacing w:before="0" w:beforeAutospacing="0" w:after="0" w:afterAutospacing="0"/>
              <w:jc w:val="right"/>
              <w:textAlignment w:val="baseline"/>
              <w:rPr>
                <w:color w:val="000000" w:themeColor="text1"/>
              </w:rPr>
            </w:pPr>
            <m:oMathPara>
              <m:oMathParaPr>
                <m:jc m:val="righ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0000" w:themeColor="text1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  <w:color w:val="000000" w:themeColor="text1"/>
                      </w:rPr>
                      <m:t>x</m:t>
                    </m:r>
                  </m:sub>
                </m:sSub>
                <m:r>
                  <w:rPr>
                    <w:rFonts w:ascii="Cambria Math" w:hAnsi="Cambria Math"/>
                    <w:color w:val="000000" w:themeColor="text1"/>
                  </w:rPr>
                  <m:t>=kexp(mx) +ε</m:t>
                </m:r>
              </m:oMath>
            </m:oMathPara>
          </w:p>
        </w:tc>
        <w:tc>
          <w:tcPr>
            <w:tcW w:w="1686" w:type="dxa"/>
          </w:tcPr>
          <w:p w14:paraId="15992DAB" w14:textId="77777777" w:rsidR="002A409E" w:rsidRPr="00BE2513" w:rsidRDefault="002A409E" w:rsidP="007F51B2">
            <w:pPr>
              <w:pStyle w:val="NormalWeb"/>
              <w:spacing w:before="0" w:beforeAutospacing="0" w:after="0" w:afterAutospacing="0"/>
              <w:jc w:val="right"/>
              <w:textAlignment w:val="baseline"/>
              <w:rPr>
                <w:color w:val="000000" w:themeColor="text1"/>
              </w:rPr>
            </w:pPr>
            <w:r w:rsidRPr="00BE2513">
              <w:rPr>
                <w:color w:val="000000" w:themeColor="text1"/>
              </w:rPr>
              <w:t>1</w:t>
            </w:r>
          </w:p>
        </w:tc>
      </w:tr>
    </w:tbl>
    <w:p w14:paraId="4B1DCA5E" w14:textId="77777777" w:rsidR="002A409E" w:rsidRPr="00BE2513" w:rsidRDefault="002A409E" w:rsidP="002A409E">
      <w:pPr>
        <w:spacing w:after="0" w:line="24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BE251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where a, c, f and k are intercepts; b, d, e, g, h, j and m are slopes which are estimated by least square estimation, </w:t>
      </w:r>
      <m:oMath>
        <m:r>
          <w:rPr>
            <w:rFonts w:ascii="Cambria Math" w:hAnsi="Cambria Math" w:cs="Times New Roman"/>
            <w:color w:val="000000" w:themeColor="text1"/>
            <w:sz w:val="20"/>
            <w:szCs w:val="20"/>
          </w:rPr>
          <m:t>x</m:t>
        </m:r>
      </m:oMath>
      <w:r w:rsidRPr="00BE251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is the time-point and </w:t>
      </w:r>
      <w:proofErr w:type="spellStart"/>
      <w:r w:rsidRPr="00BE2513">
        <w:rPr>
          <w:rFonts w:ascii="Times New Roman" w:hAnsi="Times New Roman" w:cs="Times New Roman"/>
          <w:color w:val="000000" w:themeColor="text1"/>
          <w:sz w:val="20"/>
          <w:szCs w:val="20"/>
        </w:rPr>
        <w:t>ɛ’s</w:t>
      </w:r>
      <w:proofErr w:type="spellEnd"/>
      <w:r w:rsidRPr="00BE2513">
        <w:rPr>
          <w:rFonts w:ascii="Times New Roman" w:hAnsi="Times New Roman" w:cs="Times New Roman"/>
          <w:color w:val="000000" w:themeColor="text1"/>
          <w:sz w:val="20"/>
          <w:szCs w:val="20"/>
        </w:rPr>
        <w:t> are mutually uncorrelated random errors with mean (0) and common variance (</w:t>
      </w:r>
      <w:r w:rsidRPr="00BE2513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σ</w:t>
      </w:r>
      <w:r w:rsidRPr="00BE2513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2</w:t>
      </w:r>
      <w:r w:rsidRPr="00BE2513">
        <w:rPr>
          <w:rFonts w:ascii="Times New Roman" w:hAnsi="Times New Roman" w:cs="Times New Roman"/>
          <w:color w:val="000000" w:themeColor="text1"/>
          <w:sz w:val="20"/>
          <w:szCs w:val="20"/>
        </w:rPr>
        <w:t>)</w:t>
      </w:r>
    </w:p>
    <w:p w14:paraId="3A941E62" w14:textId="77777777" w:rsidR="00386883" w:rsidRDefault="002A409E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409E"/>
    <w:rsid w:val="002A409E"/>
    <w:rsid w:val="00316534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0EFFF4"/>
  <w15:chartTrackingRefBased/>
  <w15:docId w15:val="{961EB49D-0021-4E8E-A7A9-32EA0FF03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409E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A40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2A40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2020-11-18T18:23:00Z</dcterms:created>
  <dcterms:modified xsi:type="dcterms:W3CDTF">2020-11-18T18:23:00Z</dcterms:modified>
</cp:coreProperties>
</file>