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tiff" ContentType="image/tif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keepNext w:val="0"/>
        <w:spacing w:before="0" w:after="0" w:line="360" w:lineRule="auto"/>
        <w:rPr>
          <w:rFonts w:ascii="Cambria" w:hAnsi="Cambria"/>
          <w:b w:val="0"/>
          <w:sz w:val="32"/>
          <w:szCs w:val="24"/>
        </w:rPr>
      </w:pPr>
      <w:r>
        <w:rPr>
          <w:rFonts w:ascii="Cambria" w:hAnsi="Cambria"/>
          <w:b w:val="0"/>
          <w:sz w:val="32"/>
          <w:szCs w:val="24"/>
        </w:rPr>
        <w:t>Supplementary Materials for</w:t>
      </w:r>
    </w:p>
    <w:p>
      <w:pPr>
        <w:pStyle w:val="24"/>
        <w:keepNext w:val="0"/>
        <w:spacing w:before="0" w:after="0" w:line="360" w:lineRule="auto"/>
        <w:rPr>
          <w:rFonts w:ascii="Cambria" w:hAnsi="Cambria"/>
          <w:szCs w:val="24"/>
        </w:rPr>
      </w:pPr>
      <w:r>
        <w:rPr>
          <w:rFonts w:ascii="Cambria" w:hAnsi="Cambria" w:eastAsia="宋体"/>
          <w:szCs w:val="24"/>
          <w:lang w:eastAsia="zh-CN"/>
        </w:rPr>
        <w:t>Laser Interferometry for High-Speed Railway Health Inspection using Telecom Fiber along the Line</w:t>
      </w:r>
    </w:p>
    <w:p>
      <w:pPr>
        <w:pStyle w:val="25"/>
        <w:spacing w:before="0" w:after="156" w:afterLines="50" w:line="360" w:lineRule="auto"/>
        <w:jc w:val="center"/>
        <w:rPr>
          <w:rFonts w:ascii="Cambria" w:hAnsi="Cambria"/>
          <w:sz w:val="22"/>
        </w:rPr>
      </w:pPr>
      <w:r>
        <w:rPr>
          <w:rFonts w:ascii="Cambria" w:hAnsi="Cambria" w:eastAsiaTheme="minorEastAsia"/>
          <w:color w:val="000000"/>
          <w:sz w:val="22"/>
          <w:lang w:eastAsia="zh-CN"/>
        </w:rPr>
        <w:t>Guan Wang</w:t>
      </w:r>
      <w:r>
        <w:rPr>
          <w:rFonts w:ascii="Cambria" w:hAnsi="Cambria"/>
          <w:color w:val="000000"/>
          <w:sz w:val="22"/>
        </w:rPr>
        <w:t>,</w:t>
      </w:r>
      <w:r>
        <w:rPr>
          <w:rFonts w:ascii="Cambria" w:hAnsi="Cambria"/>
          <w:color w:val="000000"/>
          <w:sz w:val="22"/>
          <w:vertAlign w:val="superscript"/>
        </w:rPr>
        <w:t>1,2</w:t>
      </w:r>
      <w:r>
        <w:rPr>
          <w:rFonts w:ascii="Cambria" w:hAnsi="Cambria" w:eastAsiaTheme="minorEastAsia"/>
          <w:color w:val="000000"/>
          <w:sz w:val="22"/>
          <w:vertAlign w:val="superscript"/>
          <w:lang w:eastAsia="zh-CN"/>
        </w:rPr>
        <w:t>,3</w:t>
      </w:r>
      <w:r>
        <w:rPr>
          <w:rFonts w:hint="eastAsia" w:ascii="Cambria" w:hAnsi="Cambria" w:eastAsiaTheme="minorEastAsia"/>
          <w:color w:val="000000"/>
          <w:sz w:val="22"/>
          <w:vertAlign w:val="superscript"/>
          <w:lang w:eastAsia="zh-CN"/>
        </w:rPr>
        <w:t>,</w:t>
      </w:r>
      <w:r>
        <w:rPr>
          <w:rFonts w:ascii="Cambria" w:hAnsi="Cambria"/>
          <w:color w:val="000000"/>
          <w:sz w:val="22"/>
        </w:rPr>
        <w:t xml:space="preserve">† </w:t>
      </w:r>
      <w:r>
        <w:rPr>
          <w:rFonts w:ascii="Cambria" w:hAnsi="Cambria" w:eastAsiaTheme="minorEastAsia"/>
          <w:color w:val="000000"/>
          <w:sz w:val="22"/>
          <w:lang w:eastAsia="zh-CN"/>
        </w:rPr>
        <w:t>Dongqi Song</w:t>
      </w:r>
      <w:r>
        <w:rPr>
          <w:rFonts w:ascii="Cambria" w:hAnsi="Cambria"/>
          <w:color w:val="000000"/>
          <w:sz w:val="22"/>
        </w:rPr>
        <w:t>,</w:t>
      </w:r>
      <w:r>
        <w:rPr>
          <w:rFonts w:ascii="Cambria" w:hAnsi="Cambria"/>
          <w:color w:val="000000"/>
          <w:sz w:val="22"/>
          <w:vertAlign w:val="superscript"/>
        </w:rPr>
        <w:t>1,2</w:t>
      </w:r>
      <w:r>
        <w:rPr>
          <w:rFonts w:ascii="Cambria" w:hAnsi="Cambria" w:eastAsiaTheme="minorEastAsia"/>
          <w:color w:val="000000"/>
          <w:sz w:val="22"/>
          <w:vertAlign w:val="superscript"/>
          <w:lang w:eastAsia="zh-CN"/>
        </w:rPr>
        <w:t>,3</w:t>
      </w:r>
      <w:r>
        <w:rPr>
          <w:rFonts w:hint="eastAsia" w:ascii="Cambria" w:hAnsi="Cambria" w:eastAsiaTheme="minorEastAsia"/>
          <w:color w:val="000000"/>
          <w:sz w:val="22"/>
          <w:vertAlign w:val="superscript"/>
          <w:lang w:eastAsia="zh-CN"/>
        </w:rPr>
        <w:t>,</w:t>
      </w:r>
      <w:r>
        <w:rPr>
          <w:rFonts w:ascii="Cambria" w:hAnsi="Cambria"/>
          <w:sz w:val="22"/>
        </w:rPr>
        <w:t>‡</w:t>
      </w:r>
      <w:r>
        <w:rPr>
          <w:rFonts w:ascii="Cambria" w:hAnsi="Cambria"/>
          <w:color w:val="000000"/>
          <w:sz w:val="22"/>
        </w:rPr>
        <w:t xml:space="preserve"> </w:t>
      </w:r>
      <w:r>
        <w:rPr>
          <w:rFonts w:ascii="Cambria" w:hAnsi="Cambria" w:eastAsiaTheme="minorEastAsia"/>
          <w:color w:val="000000"/>
          <w:sz w:val="22"/>
          <w:lang w:eastAsia="zh-CN"/>
        </w:rPr>
        <w:t>Zhongwang Pang</w:t>
      </w:r>
      <w:r>
        <w:rPr>
          <w:rFonts w:ascii="Cambria" w:hAnsi="Cambria"/>
          <w:color w:val="000000"/>
          <w:sz w:val="22"/>
        </w:rPr>
        <w:t>,</w:t>
      </w:r>
      <w:r>
        <w:rPr>
          <w:rFonts w:ascii="Cambria" w:hAnsi="Cambria"/>
          <w:color w:val="000000"/>
          <w:sz w:val="22"/>
          <w:vertAlign w:val="superscript"/>
        </w:rPr>
        <w:t>1,2</w:t>
      </w:r>
      <w:r>
        <w:rPr>
          <w:rFonts w:ascii="Cambria" w:hAnsi="Cambria" w:eastAsiaTheme="minorEastAsia"/>
          <w:color w:val="000000"/>
          <w:sz w:val="22"/>
          <w:vertAlign w:val="superscript"/>
          <w:lang w:eastAsia="zh-CN"/>
        </w:rPr>
        <w:t>,3</w:t>
      </w:r>
      <w:r>
        <w:rPr>
          <w:rFonts w:ascii="Cambria" w:hAnsi="Cambria"/>
          <w:color w:val="000000"/>
          <w:sz w:val="22"/>
        </w:rPr>
        <w:t xml:space="preserve"> </w:t>
      </w:r>
      <w:r>
        <w:rPr>
          <w:rFonts w:ascii="Cambria" w:hAnsi="Cambria" w:eastAsiaTheme="minorEastAsia"/>
          <w:color w:val="000000"/>
          <w:sz w:val="22"/>
          <w:lang w:eastAsia="zh-CN"/>
        </w:rPr>
        <w:t>Fangmin Wang</w:t>
      </w:r>
      <w:r>
        <w:rPr>
          <w:rFonts w:ascii="Cambria" w:hAnsi="Cambria"/>
          <w:color w:val="000000"/>
          <w:sz w:val="22"/>
        </w:rPr>
        <w:t>,</w:t>
      </w:r>
      <w:r>
        <w:rPr>
          <w:rFonts w:ascii="Cambria" w:hAnsi="Cambria"/>
          <w:color w:val="000000"/>
          <w:sz w:val="22"/>
          <w:vertAlign w:val="superscript"/>
        </w:rPr>
        <w:t>1,2</w:t>
      </w:r>
      <w:r>
        <w:rPr>
          <w:rFonts w:ascii="Cambria" w:hAnsi="Cambria" w:eastAsiaTheme="minorEastAsia"/>
          <w:color w:val="000000"/>
          <w:sz w:val="22"/>
          <w:vertAlign w:val="superscript"/>
          <w:lang w:eastAsia="zh-CN"/>
        </w:rPr>
        <w:t>,3</w:t>
      </w:r>
      <w:r>
        <w:rPr>
          <w:rFonts w:ascii="Cambria" w:hAnsi="Cambria"/>
          <w:color w:val="000000"/>
          <w:sz w:val="22"/>
        </w:rPr>
        <w:t xml:space="preserve"> Hongfei Dai,</w:t>
      </w:r>
      <w:r>
        <w:rPr>
          <w:rFonts w:ascii="Cambria" w:hAnsi="Cambria"/>
          <w:color w:val="000000"/>
          <w:sz w:val="22"/>
          <w:vertAlign w:val="superscript"/>
        </w:rPr>
        <w:t>1,2</w:t>
      </w:r>
      <w:r>
        <w:rPr>
          <w:rFonts w:ascii="Cambria" w:hAnsi="Cambria" w:eastAsiaTheme="minorEastAsia"/>
          <w:color w:val="000000"/>
          <w:sz w:val="22"/>
          <w:vertAlign w:val="superscript"/>
          <w:lang w:eastAsia="zh-CN"/>
        </w:rPr>
        <w:t>,3</w:t>
      </w:r>
      <w:r>
        <w:rPr>
          <w:rFonts w:ascii="Cambria" w:hAnsi="Cambria"/>
          <w:color w:val="000000"/>
          <w:sz w:val="22"/>
        </w:rPr>
        <w:t xml:space="preserve"> Wenlin Li,</w:t>
      </w:r>
      <w:r>
        <w:rPr>
          <w:rFonts w:ascii="Cambria" w:hAnsi="Cambria"/>
          <w:color w:val="000000"/>
          <w:sz w:val="22"/>
          <w:vertAlign w:val="superscript"/>
        </w:rPr>
        <w:t>1,2</w:t>
      </w:r>
      <w:r>
        <w:rPr>
          <w:rFonts w:ascii="Cambria" w:hAnsi="Cambria" w:eastAsiaTheme="minorEastAsia"/>
          <w:color w:val="000000"/>
          <w:sz w:val="22"/>
          <w:vertAlign w:val="superscript"/>
          <w:lang w:eastAsia="zh-CN"/>
        </w:rPr>
        <w:t>,3</w:t>
      </w:r>
      <w:r>
        <w:rPr>
          <w:rFonts w:ascii="Cambria" w:hAnsi="Cambria"/>
          <w:color w:val="000000"/>
          <w:sz w:val="22"/>
        </w:rPr>
        <w:t xml:space="preserve"> Bo Wang,</w:t>
      </w:r>
      <w:r>
        <w:rPr>
          <w:rFonts w:ascii="Cambria" w:hAnsi="Cambria"/>
          <w:color w:val="000000"/>
          <w:sz w:val="22"/>
          <w:vertAlign w:val="superscript"/>
        </w:rPr>
        <w:t>1,2</w:t>
      </w:r>
      <w:r>
        <w:rPr>
          <w:rFonts w:ascii="Cambria" w:hAnsi="Cambria" w:eastAsiaTheme="minorEastAsia"/>
          <w:color w:val="000000"/>
          <w:sz w:val="22"/>
          <w:vertAlign w:val="superscript"/>
          <w:lang w:eastAsia="zh-CN"/>
        </w:rPr>
        <w:t>,3</w:t>
      </w:r>
      <w:r>
        <w:rPr>
          <w:rFonts w:hint="eastAsia" w:ascii="Cambria" w:hAnsi="Cambria" w:eastAsiaTheme="minorEastAsia"/>
          <w:color w:val="000000"/>
          <w:sz w:val="22"/>
          <w:vertAlign w:val="superscript"/>
          <w:lang w:eastAsia="zh-CN"/>
        </w:rPr>
        <w:t>,</w:t>
      </w:r>
      <w:r>
        <w:rPr>
          <w:rFonts w:ascii="Cambria" w:hAnsi="Cambria"/>
          <w:color w:val="000000"/>
          <w:sz w:val="22"/>
        </w:rPr>
        <w:t>*</w:t>
      </w:r>
    </w:p>
    <w:p>
      <w:pPr>
        <w:pStyle w:val="23"/>
        <w:spacing w:before="0" w:line="360" w:lineRule="auto"/>
        <w:ind w:firstLine="0"/>
        <w:jc w:val="center"/>
        <w:rPr>
          <w:rFonts w:ascii="Cambria" w:hAnsi="Cambria" w:eastAsiaTheme="minorEastAsia"/>
          <w:sz w:val="22"/>
          <w:lang w:eastAsia="zh-CN"/>
        </w:rPr>
      </w:pPr>
      <w:r>
        <w:rPr>
          <w:rFonts w:ascii="Cambria" w:hAnsi="Cambria"/>
          <w:sz w:val="22"/>
        </w:rPr>
        <w:t xml:space="preserve">1, </w:t>
      </w:r>
      <w:r>
        <w:rPr>
          <w:rFonts w:ascii="Cambria" w:hAnsi="Cambria"/>
        </w:rPr>
        <w:t>Department of Precision Instrument, Tsinghua University, No.1 Qinghua Garden, Chengfu Road, Haidian District, Beijing, P.R.China, 100084</w:t>
      </w:r>
      <w:r>
        <w:rPr>
          <w:rFonts w:ascii="Cambria" w:hAnsi="Cambria" w:eastAsiaTheme="minorEastAsia"/>
          <w:lang w:eastAsia="zh-CN"/>
        </w:rPr>
        <w:t>.</w:t>
      </w:r>
    </w:p>
    <w:p>
      <w:pPr>
        <w:pStyle w:val="23"/>
        <w:spacing w:before="0" w:line="360" w:lineRule="auto"/>
        <w:ind w:firstLine="0"/>
        <w:jc w:val="center"/>
        <w:rPr>
          <w:rFonts w:ascii="Cambria" w:hAnsi="Cambria" w:eastAsiaTheme="minorEastAsia"/>
          <w:sz w:val="22"/>
          <w:lang w:eastAsia="zh-CN"/>
        </w:rPr>
      </w:pPr>
      <w:r>
        <w:rPr>
          <w:rFonts w:ascii="Cambria" w:hAnsi="Cambria" w:eastAsiaTheme="minorEastAsia"/>
          <w:sz w:val="22"/>
          <w:lang w:eastAsia="zh-CN"/>
        </w:rPr>
        <w:t xml:space="preserve">2, </w:t>
      </w:r>
      <w:r>
        <w:rPr>
          <w:rFonts w:ascii="Cambria" w:hAnsi="Cambria"/>
        </w:rPr>
        <w:t xml:space="preserve">State Key Laboratory of Precision </w:t>
      </w:r>
      <w:r>
        <w:rPr>
          <w:rFonts w:ascii="Cambria" w:hAnsi="Cambria"/>
          <w:lang w:eastAsia="zh-CN"/>
        </w:rPr>
        <w:t>Space-time Information Sensing</w:t>
      </w:r>
      <w:r>
        <w:rPr>
          <w:rFonts w:ascii="Cambria" w:hAnsi="Cambria"/>
        </w:rPr>
        <w:t xml:space="preserve"> Technology, No.1 Qinghua Garden, Chengfu Road, Haidian District, Beijing, P.R.China, 100084</w:t>
      </w:r>
      <w:r>
        <w:rPr>
          <w:rFonts w:ascii="Cambria" w:hAnsi="Cambria" w:eastAsiaTheme="minorEastAsia"/>
          <w:lang w:eastAsia="zh-CN"/>
        </w:rPr>
        <w:t>.</w:t>
      </w:r>
    </w:p>
    <w:p>
      <w:pPr>
        <w:pStyle w:val="23"/>
        <w:spacing w:before="0" w:line="360" w:lineRule="auto"/>
        <w:ind w:firstLine="0"/>
        <w:jc w:val="center"/>
        <w:rPr>
          <w:rFonts w:ascii="Cambria" w:hAnsi="Cambria" w:eastAsiaTheme="minorEastAsia"/>
          <w:sz w:val="22"/>
          <w:lang w:eastAsia="zh-CN"/>
        </w:rPr>
      </w:pPr>
      <w:r>
        <w:rPr>
          <w:rFonts w:ascii="Cambria" w:hAnsi="Cambria" w:eastAsiaTheme="minorEastAsia"/>
          <w:sz w:val="22"/>
          <w:lang w:eastAsia="zh-CN"/>
        </w:rPr>
        <w:t>3</w:t>
      </w:r>
      <w:r>
        <w:rPr>
          <w:rFonts w:ascii="Cambria" w:hAnsi="Cambria"/>
          <w:sz w:val="22"/>
        </w:rPr>
        <w:t xml:space="preserve">, Key Laboratory of Photonic Control Technology (Tsinghua University), Ministry of Education, </w:t>
      </w:r>
      <w:r>
        <w:rPr>
          <w:rFonts w:ascii="Cambria" w:hAnsi="Cambria"/>
        </w:rPr>
        <w:t>Beijing, P.R.China, 100084</w:t>
      </w:r>
      <w:r>
        <w:rPr>
          <w:rFonts w:ascii="Cambria" w:hAnsi="Cambria" w:eastAsiaTheme="minorEastAsia"/>
          <w:lang w:eastAsia="zh-CN"/>
        </w:rPr>
        <w:t>.</w:t>
      </w:r>
    </w:p>
    <w:p>
      <w:pPr>
        <w:pStyle w:val="23"/>
        <w:spacing w:before="0" w:line="360" w:lineRule="auto"/>
        <w:ind w:firstLine="0"/>
        <w:jc w:val="center"/>
        <w:rPr>
          <w:rFonts w:ascii="Cambria" w:hAnsi="Cambria"/>
          <w:sz w:val="22"/>
        </w:rPr>
      </w:pPr>
      <w:r>
        <w:rPr>
          <w:rFonts w:ascii="Cambria" w:hAnsi="Cambria"/>
          <w:sz w:val="22"/>
        </w:rPr>
        <w:t xml:space="preserve">*corresponding author: </w:t>
      </w:r>
      <w:r>
        <w:fldChar w:fldCharType="begin"/>
      </w:r>
      <w:r>
        <w:instrText xml:space="preserve"> HYPERLINK "mailto:bo.wang@tsinghua.edu.cn" </w:instrText>
      </w:r>
      <w:r>
        <w:fldChar w:fldCharType="separate"/>
      </w:r>
      <w:r>
        <w:rPr>
          <w:rStyle w:val="11"/>
          <w:rFonts w:ascii="Cambria" w:hAnsi="Cambria"/>
          <w:sz w:val="22"/>
        </w:rPr>
        <w:t>bo.wang@tsinghua.edu.cn</w:t>
      </w:r>
      <w:r>
        <w:rPr>
          <w:rStyle w:val="11"/>
          <w:rFonts w:ascii="Cambria" w:hAnsi="Cambria"/>
          <w:sz w:val="22"/>
        </w:rPr>
        <w:fldChar w:fldCharType="end"/>
      </w:r>
      <w:r>
        <w:rPr>
          <w:rFonts w:ascii="Cambria" w:hAnsi="Cambria"/>
          <w:sz w:val="22"/>
        </w:rPr>
        <w:t>,</w:t>
      </w:r>
    </w:p>
    <w:p>
      <w:pPr>
        <w:pStyle w:val="23"/>
        <w:spacing w:before="0" w:line="360" w:lineRule="auto"/>
        <w:ind w:firstLine="0"/>
        <w:jc w:val="center"/>
        <w:rPr>
          <w:rFonts w:ascii="Cambria" w:hAnsi="Cambria"/>
          <w:sz w:val="22"/>
        </w:rPr>
      </w:pPr>
      <w:r>
        <w:rPr>
          <w:rFonts w:ascii="Cambria" w:hAnsi="Cambria"/>
          <w:sz w:val="22"/>
        </w:rPr>
        <w:t>†, ‡: These authors contributed equally to this work.</w:t>
      </w:r>
    </w:p>
    <w:p>
      <w:pPr>
        <w:rPr>
          <w:lang w:eastAsia="en-US"/>
        </w:rPr>
      </w:pPr>
    </w:p>
    <w:p>
      <w:pPr>
        <w:pageBreakBefore/>
        <w:spacing w:line="360" w:lineRule="auto"/>
        <w:rPr>
          <w:rFonts w:ascii="Cambria" w:hAnsi="Cambria" w:cs="Times New Roman"/>
          <w:sz w:val="24"/>
          <w:szCs w:val="24"/>
        </w:rPr>
      </w:pPr>
      <w:r>
        <w:rPr>
          <w:rFonts w:ascii="Cambria" w:hAnsi="Cambria" w:cs="Times New Roman"/>
          <w:b/>
          <w:sz w:val="24"/>
          <w:szCs w:val="24"/>
        </w:rPr>
        <w:t>Carriage passage frequency analysis</w:t>
      </w:r>
    </w:p>
    <w:p>
      <w:pPr>
        <w:widowControl/>
        <w:tabs>
          <w:tab w:val="left" w:pos="1350"/>
        </w:tabs>
        <w:autoSpaceDE w:val="0"/>
        <w:autoSpaceDN w:val="0"/>
        <w:spacing w:line="360" w:lineRule="auto"/>
        <w:rPr>
          <w:rFonts w:ascii="Cambria" w:hAnsi="Cambria" w:eastAsia="宋体" w:cs="Times New Roman"/>
          <w:spacing w:val="-8"/>
          <w:kern w:val="0"/>
          <w:sz w:val="24"/>
          <w:szCs w:val="24"/>
        </w:rPr>
      </w:pPr>
      <w:r>
        <w:rPr>
          <w:rFonts w:ascii="Cambria" w:hAnsi="Cambria" w:eastAsia="宋体" w:cs="Times New Roman"/>
          <w:spacing w:val="-8"/>
          <w:kern w:val="0"/>
          <w:sz w:val="24"/>
          <w:szCs w:val="24"/>
        </w:rPr>
        <w:t>After analyzing the time-frequency curve and obtain the overall passage speed of the High-Speed train, we focus on vibrations occurring at each typical section to reveal the relation between vibration spectrum and HSR health condition.</w:t>
      </w:r>
    </w:p>
    <w:p>
      <w:pPr>
        <w:widowControl/>
        <w:tabs>
          <w:tab w:val="left" w:pos="1350"/>
        </w:tabs>
        <w:autoSpaceDE w:val="0"/>
        <w:autoSpaceDN w:val="0"/>
        <w:spacing w:line="360" w:lineRule="auto"/>
        <w:ind w:firstLine="224" w:firstLineChars="100"/>
        <w:rPr>
          <w:rFonts w:ascii="Cambria" w:hAnsi="Cambria" w:eastAsia="宋体" w:cs="Times New Roman"/>
          <w:spacing w:val="-8"/>
          <w:kern w:val="0"/>
          <w:sz w:val="24"/>
          <w:szCs w:val="24"/>
        </w:rPr>
      </w:pPr>
      <w:bookmarkStart w:id="1" w:name="_GoBack"/>
      <w:bookmarkEnd w:id="1"/>
      <w:r>
        <w:rPr>
          <w:rFonts w:ascii="Cambria" w:hAnsi="Cambria" w:eastAsia="宋体" w:cs="Times New Roman"/>
          <w:spacing w:val="-8"/>
          <w:kern w:val="0"/>
          <w:sz w:val="24"/>
          <w:szCs w:val="24"/>
        </w:rPr>
        <w:t xml:space="preserve">We first notice that after the train leaves the sensing rail (out of Dujiakan Bridge), vibrations excited by carriage passage in the next 2 km railway will still be detected by laser interferometer (shown as vibrations during 329 ~ 400 s). The detailed waveform and frequency spectrum are shown as Fig. </w:t>
      </w:r>
      <w:r>
        <w:rPr>
          <w:rFonts w:hint="eastAsia" w:ascii="Cambria" w:hAnsi="Cambria" w:eastAsia="宋体" w:cs="Times New Roman"/>
          <w:spacing w:val="-8"/>
          <w:kern w:val="0"/>
          <w:sz w:val="24"/>
          <w:szCs w:val="24"/>
          <w:lang w:val="en-US" w:eastAsia="zh-CN"/>
        </w:rPr>
        <w:t>S</w:t>
      </w:r>
      <w:r>
        <w:rPr>
          <w:rFonts w:ascii="Cambria" w:hAnsi="Cambria" w:eastAsia="宋体" w:cs="Times New Roman"/>
          <w:spacing w:val="-8"/>
          <w:kern w:val="0"/>
          <w:sz w:val="24"/>
          <w:szCs w:val="24"/>
        </w:rPr>
        <w:t xml:space="preserve">1a and </w:t>
      </w:r>
      <w:r>
        <w:rPr>
          <w:rFonts w:hint="eastAsia" w:ascii="Cambria" w:hAnsi="Cambria" w:eastAsia="宋体" w:cs="Times New Roman"/>
          <w:spacing w:val="-8"/>
          <w:kern w:val="0"/>
          <w:sz w:val="24"/>
          <w:szCs w:val="24"/>
          <w:lang w:val="en-US" w:eastAsia="zh-CN"/>
        </w:rPr>
        <w:t>S</w:t>
      </w:r>
      <w:r>
        <w:rPr>
          <w:rFonts w:ascii="Cambria" w:hAnsi="Cambria" w:eastAsia="宋体" w:cs="Times New Roman"/>
          <w:spacing w:val="-8"/>
          <w:kern w:val="0"/>
          <w:sz w:val="24"/>
          <w:szCs w:val="24"/>
        </w:rPr>
        <w:t xml:space="preserve">1b. Since high frequency vibrations attenuate rapidly, only fundamental frequency component of carriage passage reaches the sensing fiber cable and appear as a time-attenuating curve. The waveform is clear enough to interpret even in time domain: the loading and unloading of a 25-m carriage induce vibration with period of </w:t>
      </w:r>
      <w:r>
        <w:rPr>
          <w:position w:val="-12"/>
        </w:rPr>
        <w:object>
          <v:shape id="_x0000_i1025" o:spt="75" type="#_x0000_t75" style="height:17.9pt;width:126.95pt;" o:ole="t" filled="f" o:preferrelative="t" stroked="f" coordsize="21600,21600">
            <v:path/>
            <v:fill on="f" focussize="0,0"/>
            <v:stroke on="f" joinstyle="miter"/>
            <v:imagedata r:id="rId5" o:title=""/>
            <o:lock v:ext="edit" aspectratio="t"/>
            <w10:wrap type="none"/>
            <w10:anchorlock/>
          </v:shape>
          <o:OLEObject Type="Embed" ProgID="Equation.DSMT4" ShapeID="_x0000_i1025" DrawAspect="Content" ObjectID="_1468075725" r:id="rId4">
            <o:LockedField>false</o:LockedField>
          </o:OLEObject>
        </w:object>
      </w:r>
      <w:r>
        <w:rPr>
          <w:rFonts w:ascii="Cambria" w:hAnsi="Cambria" w:eastAsia="宋体" w:cs="Times New Roman"/>
          <w:spacing w:val="-8"/>
          <w:kern w:val="0"/>
          <w:sz w:val="24"/>
          <w:szCs w:val="24"/>
        </w:rPr>
        <w:t xml:space="preserve">s (frequency </w:t>
      </w:r>
      <w:r>
        <w:rPr>
          <w:position w:val="-12"/>
        </w:rPr>
        <w:object>
          <v:shape id="_x0000_i1026" o:spt="75" type="#_x0000_t75" style="height:17.9pt;width:94.05pt;" o:ole="t" filled="f" o:preferrelative="t" stroked="f" coordsize="21600,21600">
            <v:path/>
            <v:fill on="f" focussize="0,0"/>
            <v:stroke on="f" joinstyle="miter"/>
            <v:imagedata r:id="rId7" o:title=""/>
            <o:lock v:ext="edit" aspectratio="t"/>
            <w10:wrap type="none"/>
            <w10:anchorlock/>
          </v:shape>
          <o:OLEObject Type="Embed" ProgID="Equation.DSMT4" ShapeID="_x0000_i1026" DrawAspect="Content" ObjectID="_1468075726" r:id="rId6">
            <o:LockedField>false</o:LockedField>
          </o:OLEObject>
        </w:object>
      </w:r>
      <w:r>
        <w:rPr>
          <w:rFonts w:ascii="Cambria" w:hAnsi="Cambria" w:eastAsia="宋体" w:cs="Times New Roman"/>
          <w:spacing w:val="-8"/>
          <w:kern w:val="0"/>
          <w:sz w:val="24"/>
          <w:szCs w:val="24"/>
        </w:rPr>
        <w:t xml:space="preserve">Hz), and it is modulated by 5-second envelope, which is shown as red curve in Fig. </w:t>
      </w:r>
      <w:r>
        <w:rPr>
          <w:rFonts w:hint="eastAsia" w:ascii="Cambria" w:hAnsi="Cambria" w:eastAsia="宋体" w:cs="Times New Roman"/>
          <w:spacing w:val="-8"/>
          <w:kern w:val="0"/>
          <w:sz w:val="24"/>
          <w:szCs w:val="24"/>
          <w:lang w:val="en-US" w:eastAsia="zh-CN"/>
        </w:rPr>
        <w:t>S</w:t>
      </w:r>
      <w:r>
        <w:rPr>
          <w:rFonts w:ascii="Cambria" w:hAnsi="Cambria" w:eastAsia="宋体" w:cs="Times New Roman"/>
          <w:spacing w:val="-8"/>
          <w:kern w:val="0"/>
          <w:sz w:val="24"/>
          <w:szCs w:val="24"/>
        </w:rPr>
        <w:t>1a and corresponds to the 8-carriage train with total length of 200 m (</w:t>
      </w:r>
      <w:bookmarkStart w:id="0" w:name="MTBlankEqn"/>
      <w:r>
        <w:rPr>
          <w:position w:val="-12"/>
        </w:rPr>
        <w:object>
          <v:shape id="_x0000_i1027" o:spt="75" type="#_x0000_t75" style="height:17.9pt;width:132.75pt;" o:ole="t" filled="f" o:preferrelative="t" stroked="f" coordsize="21600,21600">
            <v:path/>
            <v:fill on="f" focussize="0,0"/>
            <v:stroke on="f" joinstyle="miter"/>
            <v:imagedata r:id="rId9" o:title=""/>
            <o:lock v:ext="edit" aspectratio="t"/>
            <w10:wrap type="none"/>
            <w10:anchorlock/>
          </v:shape>
          <o:OLEObject Type="Embed" ProgID="Equation.DSMT4" ShapeID="_x0000_i1027" DrawAspect="Content" ObjectID="_1468075727" r:id="rId8">
            <o:LockedField>false</o:LockedField>
          </o:OLEObject>
        </w:object>
      </w:r>
      <w:bookmarkEnd w:id="0"/>
      <w:r>
        <w:rPr>
          <w:rFonts w:ascii="Cambria" w:hAnsi="Cambria" w:eastAsia="宋体" w:cs="Times New Roman"/>
          <w:spacing w:val="-8"/>
          <w:kern w:val="0"/>
          <w:sz w:val="24"/>
          <w:szCs w:val="24"/>
        </w:rPr>
        <w:t xml:space="preserve">s, </w:t>
      </w:r>
      <w:r>
        <w:rPr>
          <w:position w:val="-12"/>
        </w:rPr>
        <w:object>
          <v:shape id="_x0000_i1028" o:spt="75" type="#_x0000_t75" style="height:17.9pt;width:97.8pt;" o:ole="t" filled="f" o:preferrelative="t" stroked="f" coordsize="21600,21600">
            <v:path/>
            <v:fill on="f" focussize="0,0"/>
            <v:stroke on="f" joinstyle="miter"/>
            <v:imagedata r:id="rId11" o:title=""/>
            <o:lock v:ext="edit" aspectratio="t"/>
            <w10:wrap type="none"/>
            <w10:anchorlock/>
          </v:shape>
          <o:OLEObject Type="Embed" ProgID="Equation.DSMT4" ShapeID="_x0000_i1028" DrawAspect="Content" ObjectID="_1468075728" r:id="rId10">
            <o:LockedField>false</o:LockedField>
          </o:OLEObject>
        </w:object>
      </w:r>
      <w:r>
        <w:rPr>
          <w:rFonts w:ascii="Cambria" w:hAnsi="Cambria" w:eastAsia="宋体" w:cs="Times New Roman"/>
          <w:spacing w:val="-8"/>
          <w:kern w:val="0"/>
          <w:sz w:val="24"/>
          <w:szCs w:val="24"/>
        </w:rPr>
        <w:t xml:space="preserve">Hz). One step further, we can find that the period of this red envelope is not constant. It increases from 329 s to 347 s, and </w:t>
      </w:r>
    </w:p>
    <w:p>
      <w:pPr>
        <w:widowControl/>
        <w:tabs>
          <w:tab w:val="left" w:pos="1350"/>
        </w:tabs>
        <w:autoSpaceDE w:val="0"/>
        <w:autoSpaceDN w:val="0"/>
        <w:adjustRightInd w:val="0"/>
        <w:spacing w:before="480" w:line="360" w:lineRule="auto"/>
        <w:jc w:val="center"/>
        <w:rPr>
          <w:rFonts w:ascii="Cambria" w:hAnsi="Cambria" w:eastAsia="Malgun Gothic" w:cs="Times New Roman"/>
          <w:spacing w:val="-8"/>
          <w:kern w:val="0"/>
          <w:sz w:val="24"/>
          <w:szCs w:val="24"/>
          <w:lang w:eastAsia="en-US"/>
        </w:rPr>
      </w:pPr>
      <w:r>
        <w:rPr>
          <w:rFonts w:ascii="Cambria" w:hAnsi="Cambria" w:eastAsia="Malgun Gothic" w:cs="Times New Roman"/>
          <w:spacing w:val="-8"/>
          <w:kern w:val="0"/>
          <w:sz w:val="24"/>
          <w:szCs w:val="24"/>
        </w:rPr>
        <w:drawing>
          <wp:inline distT="0" distB="0" distL="114300" distR="114300">
            <wp:extent cx="1511935" cy="966470"/>
            <wp:effectExtent l="0" t="0" r="0" b="0"/>
            <wp:docPr id="32" name="图片 32" descr="速度描线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速度描线_03"/>
                    <pic:cNvPicPr>
                      <a:picLocks noChangeAspect="1"/>
                    </pic:cNvPicPr>
                  </pic:nvPicPr>
                  <pic:blipFill>
                    <a:blip r:embed="rId12"/>
                    <a:srcRect b="-4318"/>
                    <a:stretch>
                      <a:fillRect/>
                    </a:stretch>
                  </pic:blipFill>
                  <pic:spPr>
                    <a:xfrm>
                      <a:off x="0" y="0"/>
                      <a:ext cx="1511935" cy="966470"/>
                    </a:xfrm>
                    <a:prstGeom prst="rect">
                      <a:avLst/>
                    </a:prstGeom>
                  </pic:spPr>
                </pic:pic>
              </a:graphicData>
            </a:graphic>
          </wp:inline>
        </w:drawing>
      </w:r>
      <w:r>
        <w:rPr>
          <w:rFonts w:ascii="Cambria" w:hAnsi="Cambria" w:eastAsia="Malgun Gothic" w:cs="Times New Roman"/>
          <w:spacing w:val="-8"/>
          <w:kern w:val="0"/>
          <w:sz w:val="24"/>
          <w:szCs w:val="24"/>
        </w:rPr>
        <w:drawing>
          <wp:inline distT="0" distB="0" distL="114300" distR="114300">
            <wp:extent cx="1511935" cy="943610"/>
            <wp:effectExtent l="0" t="0" r="12065" b="8890"/>
            <wp:docPr id="25"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4"/>
                    <pic:cNvPicPr>
                      <a:picLocks noChangeAspect="1"/>
                    </pic:cNvPicPr>
                  </pic:nvPicPr>
                  <pic:blipFill>
                    <a:blip r:embed="rId13"/>
                    <a:stretch>
                      <a:fillRect/>
                    </a:stretch>
                  </pic:blipFill>
                  <pic:spPr>
                    <a:xfrm>
                      <a:off x="0" y="0"/>
                      <a:ext cx="1511935" cy="943610"/>
                    </a:xfrm>
                    <a:prstGeom prst="rect">
                      <a:avLst/>
                    </a:prstGeom>
                    <a:noFill/>
                    <a:ln>
                      <a:noFill/>
                    </a:ln>
                  </pic:spPr>
                </pic:pic>
              </a:graphicData>
            </a:graphic>
          </wp:inline>
        </w:drawing>
      </w:r>
    </w:p>
    <w:p>
      <w:pPr>
        <w:widowControl/>
        <w:tabs>
          <w:tab w:val="left" w:pos="1350"/>
        </w:tabs>
        <w:autoSpaceDE w:val="0"/>
        <w:autoSpaceDN w:val="0"/>
        <w:adjustRightInd w:val="0"/>
        <w:spacing w:before="31" w:beforeLines="10" w:line="360" w:lineRule="auto"/>
        <w:jc w:val="center"/>
        <w:rPr>
          <w:rFonts w:ascii="Cambria" w:hAnsi="Cambria" w:eastAsia="Malgun Gothic" w:cs="Times New Roman"/>
          <w:spacing w:val="-8"/>
          <w:kern w:val="0"/>
          <w:sz w:val="24"/>
          <w:szCs w:val="24"/>
          <w:lang w:eastAsia="en-US"/>
        </w:rPr>
      </w:pPr>
      <w:r>
        <w:rPr>
          <w:rFonts w:ascii="Cambria" w:hAnsi="Cambria" w:eastAsia="Malgun Gothic" w:cs="Times New Roman"/>
          <w:spacing w:val="-8"/>
          <w:kern w:val="0"/>
          <w:sz w:val="24"/>
          <w:szCs w:val="24"/>
        </w:rPr>
        <w:drawing>
          <wp:inline distT="0" distB="0" distL="114300" distR="114300">
            <wp:extent cx="1511935" cy="1005205"/>
            <wp:effectExtent l="0" t="0" r="12065" b="4445"/>
            <wp:docPr id="30" name="图片 30" descr="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3c"/>
                    <pic:cNvPicPr>
                      <a:picLocks noChangeAspect="1"/>
                    </pic:cNvPicPr>
                  </pic:nvPicPr>
                  <pic:blipFill>
                    <a:blip r:embed="rId14"/>
                    <a:srcRect r="2473"/>
                    <a:stretch>
                      <a:fillRect/>
                    </a:stretch>
                  </pic:blipFill>
                  <pic:spPr>
                    <a:xfrm>
                      <a:off x="0" y="0"/>
                      <a:ext cx="1511935" cy="1005205"/>
                    </a:xfrm>
                    <a:prstGeom prst="rect">
                      <a:avLst/>
                    </a:prstGeom>
                  </pic:spPr>
                </pic:pic>
              </a:graphicData>
            </a:graphic>
          </wp:inline>
        </w:drawing>
      </w:r>
      <w:r>
        <w:rPr>
          <w:rFonts w:ascii="Cambria" w:hAnsi="Cambria" w:eastAsia="Malgun Gothic" w:cs="Times New Roman"/>
          <w:spacing w:val="-8"/>
          <w:kern w:val="0"/>
          <w:sz w:val="24"/>
          <w:szCs w:val="24"/>
        </w:rPr>
        <w:drawing>
          <wp:inline distT="0" distB="0" distL="114300" distR="114300">
            <wp:extent cx="1511935" cy="1003300"/>
            <wp:effectExtent l="0" t="0" r="12065" b="6350"/>
            <wp:docPr id="34" name="图片 34" descr="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3d"/>
                    <pic:cNvPicPr>
                      <a:picLocks noChangeAspect="1"/>
                    </pic:cNvPicPr>
                  </pic:nvPicPr>
                  <pic:blipFill>
                    <a:blip r:embed="rId15"/>
                    <a:srcRect l="618" r="8030"/>
                    <a:stretch>
                      <a:fillRect/>
                    </a:stretch>
                  </pic:blipFill>
                  <pic:spPr>
                    <a:xfrm>
                      <a:off x="0" y="0"/>
                      <a:ext cx="1511935" cy="1003300"/>
                    </a:xfrm>
                    <a:prstGeom prst="rect">
                      <a:avLst/>
                    </a:prstGeom>
                  </pic:spPr>
                </pic:pic>
              </a:graphicData>
            </a:graphic>
          </wp:inline>
        </w:drawing>
      </w:r>
    </w:p>
    <w:p>
      <w:pPr>
        <w:widowControl/>
        <w:tabs>
          <w:tab w:val="left" w:pos="1350"/>
        </w:tabs>
        <w:autoSpaceDE w:val="0"/>
        <w:autoSpaceDN w:val="0"/>
        <w:rPr>
          <w:rFonts w:ascii="Cambria" w:hAnsi="Cambria" w:eastAsia="宋体" w:cs="Times New Roman"/>
          <w:spacing w:val="-8"/>
          <w:kern w:val="0"/>
          <w:sz w:val="22"/>
        </w:rPr>
      </w:pPr>
      <w:r>
        <w:rPr>
          <w:rFonts w:ascii="Cambria" w:hAnsi="Cambria" w:cs="Times New Roman"/>
          <w:sz w:val="22"/>
        </w:rPr>
        <w:t>Figure. S</w:t>
      </w:r>
      <w:r>
        <w:rPr>
          <w:rFonts w:ascii="Cambria" w:hAnsi="Cambria" w:eastAsia="宋体" w:cs="Times New Roman"/>
          <w:spacing w:val="-8"/>
          <w:kern w:val="0"/>
          <w:sz w:val="22"/>
        </w:rPr>
        <w:t>1</w:t>
      </w:r>
      <w:r>
        <w:rPr>
          <w:rFonts w:ascii="Cambria" w:hAnsi="Cambria" w:eastAsia="宋体" w:cs="Times New Roman"/>
          <w:spacing w:val="-8"/>
          <w:kern w:val="0"/>
          <w:sz w:val="22"/>
          <w:lang w:eastAsia="en-US"/>
        </w:rPr>
        <w:t>. The</w:t>
      </w:r>
      <w:r>
        <w:rPr>
          <w:rFonts w:ascii="Cambria" w:hAnsi="Cambria" w:eastAsia="宋体" w:cs="Times New Roman"/>
          <w:spacing w:val="-8"/>
          <w:kern w:val="0"/>
          <w:sz w:val="22"/>
        </w:rPr>
        <w:t xml:space="preserve"> carriage passage vibrations caused by trains out of sensing rail line</w:t>
      </w:r>
      <w:r>
        <w:rPr>
          <w:rFonts w:ascii="Cambria" w:hAnsi="Cambria" w:eastAsia="宋体" w:cs="Times New Roman"/>
          <w:spacing w:val="-8"/>
          <w:kern w:val="0"/>
          <w:sz w:val="22"/>
          <w:lang w:eastAsia="en-US"/>
        </w:rPr>
        <w:t>.</w:t>
      </w:r>
      <w:r>
        <w:rPr>
          <w:rFonts w:ascii="Cambria" w:hAnsi="Cambria" w:eastAsia="宋体" w:cs="Times New Roman"/>
          <w:spacing w:val="-8"/>
          <w:kern w:val="0"/>
          <w:sz w:val="22"/>
        </w:rPr>
        <w:t xml:space="preserve"> (a) The vibration waveform of 8-carriage High-Speed train. Vibration envelope of the whole train passing is shown as red curve. (b) The frequency spectrum of the 8-carriage train vibration. (c) The vibration waveform of 16-carriage High-Speed train. (d) The frequency spectrum of the 16-carriage train vibration.</w:t>
      </w:r>
    </w:p>
    <w:p>
      <w:pPr>
        <w:widowControl/>
        <w:tabs>
          <w:tab w:val="left" w:pos="1350"/>
        </w:tabs>
        <w:autoSpaceDE w:val="0"/>
        <w:autoSpaceDN w:val="0"/>
        <w:adjustRightInd w:val="0"/>
        <w:spacing w:line="360" w:lineRule="auto"/>
        <w:rPr>
          <w:rFonts w:ascii="Cambria" w:hAnsi="Cambria" w:eastAsia="宋体" w:cs="Times New Roman"/>
          <w:spacing w:val="-8"/>
          <w:kern w:val="0"/>
          <w:sz w:val="24"/>
          <w:szCs w:val="24"/>
        </w:rPr>
      </w:pPr>
    </w:p>
    <w:p>
      <w:pPr>
        <w:widowControl/>
        <w:tabs>
          <w:tab w:val="left" w:pos="1350"/>
        </w:tabs>
        <w:autoSpaceDE w:val="0"/>
        <w:autoSpaceDN w:val="0"/>
        <w:spacing w:line="360" w:lineRule="auto"/>
        <w:rPr>
          <w:rFonts w:ascii="Cambria" w:hAnsi="Cambria" w:eastAsia="宋体" w:cs="Times New Roman"/>
          <w:spacing w:val="-8"/>
          <w:kern w:val="0"/>
          <w:sz w:val="24"/>
          <w:szCs w:val="24"/>
        </w:rPr>
      </w:pPr>
      <w:r>
        <w:rPr>
          <w:rFonts w:ascii="Cambria" w:hAnsi="Cambria" w:eastAsia="宋体" w:cs="Times New Roman"/>
          <w:spacing w:val="-8"/>
          <w:kern w:val="0"/>
          <w:sz w:val="24"/>
          <w:szCs w:val="24"/>
        </w:rPr>
        <w:t xml:space="preserve">decreases after 347 s. The reason is the speed of train changes during the time, which can also be observed in Fig. 3d in main text. At around 347 s, the train passes by the conjunction point, thus it should slow down before 347 s and speed up afterwards. </w:t>
      </w:r>
    </w:p>
    <w:p>
      <w:pPr>
        <w:widowControl/>
        <w:tabs>
          <w:tab w:val="left" w:pos="1350"/>
        </w:tabs>
        <w:autoSpaceDE w:val="0"/>
        <w:autoSpaceDN w:val="0"/>
        <w:adjustRightInd w:val="0"/>
        <w:spacing w:line="360" w:lineRule="auto"/>
        <w:ind w:firstLine="224" w:firstLineChars="100"/>
        <w:rPr>
          <w:rFonts w:ascii="Cambria" w:hAnsi="Cambria" w:eastAsia="宋体" w:cs="Times New Roman"/>
          <w:spacing w:val="-8"/>
          <w:kern w:val="0"/>
          <w:sz w:val="24"/>
          <w:szCs w:val="24"/>
        </w:rPr>
      </w:pPr>
      <w:r>
        <w:rPr>
          <w:rFonts w:ascii="Cambria" w:hAnsi="Cambria" w:eastAsia="宋体" w:cs="Times New Roman"/>
          <w:spacing w:val="-8"/>
          <w:kern w:val="0"/>
          <w:sz w:val="24"/>
          <w:szCs w:val="24"/>
        </w:rPr>
        <w:t xml:space="preserve">The precise parameters can be determined in frequency domain. In Fig. </w:t>
      </w:r>
      <w:r>
        <w:rPr>
          <w:rFonts w:hint="eastAsia" w:ascii="Cambria" w:hAnsi="Cambria" w:eastAsia="宋体" w:cs="Times New Roman"/>
          <w:spacing w:val="-8"/>
          <w:kern w:val="0"/>
          <w:sz w:val="24"/>
          <w:szCs w:val="24"/>
          <w:lang w:val="en-US" w:eastAsia="zh-CN"/>
        </w:rPr>
        <w:t>S</w:t>
      </w:r>
      <w:r>
        <w:rPr>
          <w:rFonts w:ascii="Cambria" w:hAnsi="Cambria" w:eastAsia="宋体" w:cs="Times New Roman"/>
          <w:spacing w:val="-8"/>
          <w:kern w:val="0"/>
          <w:sz w:val="24"/>
          <w:szCs w:val="24"/>
        </w:rPr>
        <w:t xml:space="preserve">1b, there are two main peaks at </w:t>
      </w:r>
      <w:r>
        <w:rPr>
          <w:position w:val="-12"/>
        </w:rPr>
        <w:object>
          <v:shape id="_x0000_i1029" o:spt="75" type="#_x0000_t75" style="height:17.9pt;width:44.95pt;" o:ole="t" filled="f" o:preferrelative="t" stroked="f" coordsize="21600,21600">
            <v:path/>
            <v:fill on="f" focussize="0,0"/>
            <v:stroke on="f" joinstyle="miter"/>
            <v:imagedata r:id="rId17" o:title=""/>
            <o:lock v:ext="edit" aspectratio="t"/>
            <w10:wrap type="none"/>
            <w10:anchorlock/>
          </v:shape>
          <o:OLEObject Type="Embed" ProgID="Equation.DSMT4" ShapeID="_x0000_i1029" DrawAspect="Content" ObjectID="_1468075729" r:id="rId16">
            <o:LockedField>false</o:LockedField>
          </o:OLEObject>
        </w:object>
      </w:r>
      <w:r>
        <w:rPr>
          <w:rFonts w:ascii="Cambria" w:hAnsi="Cambria" w:eastAsia="宋体" w:cs="Times New Roman"/>
          <w:spacing w:val="-8"/>
          <w:kern w:val="0"/>
          <w:sz w:val="24"/>
          <w:szCs w:val="24"/>
        </w:rPr>
        <w:t xml:space="preserve"> Hz and </w:t>
      </w:r>
      <w:r>
        <w:rPr>
          <w:position w:val="-12"/>
        </w:rPr>
        <w:object>
          <v:shape id="_x0000_i1030" o:spt="75" type="#_x0000_t75" style="height:17.9pt;width:46.2pt;" o:ole="t" filled="f" o:preferrelative="t" stroked="f" coordsize="21600,21600">
            <v:path/>
            <v:fill on="f" focussize="0,0"/>
            <v:stroke on="f" joinstyle="miter"/>
            <v:imagedata r:id="rId19" o:title=""/>
            <o:lock v:ext="edit" aspectratio="t"/>
            <w10:wrap type="none"/>
            <w10:anchorlock/>
          </v:shape>
          <o:OLEObject Type="Embed" ProgID="Equation.DSMT4" ShapeID="_x0000_i1030" DrawAspect="Content" ObjectID="_1468075730" r:id="rId18">
            <o:LockedField>false</o:LockedField>
          </o:OLEObject>
        </w:object>
      </w:r>
      <w:r>
        <w:rPr>
          <w:rFonts w:ascii="Cambria" w:hAnsi="Cambria" w:eastAsia="宋体" w:cs="Times New Roman"/>
          <w:spacing w:val="-8"/>
          <w:kern w:val="0"/>
          <w:sz w:val="24"/>
          <w:szCs w:val="24"/>
        </w:rPr>
        <w:t xml:space="preserve"> Hz. Due to the speed changing in this process, the frequency of train modulation envelope (red curve) will change accordingly, which makes it a non-ideal amplitude modulation case. These two frequency components correspond to carrier frequency and upper sideband frequency. That’s to say, the precise carriage frequency is </w:t>
      </w:r>
      <w:r>
        <w:rPr>
          <w:position w:val="-12"/>
        </w:rPr>
        <w:object>
          <v:shape id="_x0000_i1031" o:spt="75" type="#_x0000_t75" style="height:17.9pt;width:57.85pt;" o:ole="t" filled="f" o:preferrelative="t" stroked="f" coordsize="21600,21600">
            <v:path/>
            <v:fill on="f" focussize="0,0"/>
            <v:stroke on="f" joinstyle="miter"/>
            <v:imagedata r:id="rId21" o:title=""/>
            <o:lock v:ext="edit" aspectratio="t"/>
            <w10:wrap type="none"/>
            <w10:anchorlock/>
          </v:shape>
          <o:OLEObject Type="Embed" ProgID="Equation.DSMT4" ShapeID="_x0000_i1031" DrawAspect="Content" ObjectID="_1468075731" r:id="rId20">
            <o:LockedField>false</o:LockedField>
          </o:OLEObject>
        </w:object>
      </w:r>
      <w:r>
        <w:rPr>
          <w:rFonts w:ascii="Cambria" w:hAnsi="Cambria" w:eastAsia="宋体" w:cs="Times New Roman"/>
          <w:spacing w:val="-8"/>
          <w:kern w:val="0"/>
          <w:sz w:val="24"/>
          <w:szCs w:val="24"/>
        </w:rPr>
        <w:t xml:space="preserve"> Hz, and the train modulation frequency is </w:t>
      </w:r>
      <w:r>
        <w:rPr>
          <w:position w:val="-12"/>
        </w:rPr>
        <w:object>
          <v:shape id="_x0000_i1032" o:spt="75" type="#_x0000_t75" style="height:17.9pt;width:104.05pt;" o:ole="t" filled="f" o:preferrelative="t" stroked="f" coordsize="21600,21600">
            <v:path/>
            <v:fill on="f" focussize="0,0"/>
            <v:stroke on="f" joinstyle="miter"/>
            <v:imagedata r:id="rId23" o:title=""/>
            <o:lock v:ext="edit" aspectratio="t"/>
            <w10:wrap type="none"/>
            <w10:anchorlock/>
          </v:shape>
          <o:OLEObject Type="Embed" ProgID="Equation.DSMT4" ShapeID="_x0000_i1032" DrawAspect="Content" ObjectID="_1468075732" r:id="rId22">
            <o:LockedField>false</o:LockedField>
          </o:OLEObject>
        </w:object>
      </w:r>
      <w:r>
        <w:rPr>
          <w:rFonts w:ascii="Cambria" w:hAnsi="Cambria" w:eastAsia="宋体" w:cs="Times New Roman"/>
          <w:spacing w:val="-8"/>
          <w:kern w:val="0"/>
          <w:sz w:val="24"/>
          <w:szCs w:val="24"/>
        </w:rPr>
        <w:t xml:space="preserve"> Hz, which are both in line with the estimated value. What’s more, we can also inverse the average speed of train from precise carriage frequency </w:t>
      </w:r>
      <w:r>
        <w:rPr>
          <w:position w:val="-12"/>
        </w:rPr>
        <w:object>
          <v:shape id="_x0000_i1033" o:spt="75" type="#_x0000_t75" style="height:17.9pt;width:27.05pt;" o:ole="t" filled="f" o:preferrelative="t" stroked="f" coordsize="21600,21600">
            <v:path/>
            <v:fill on="f" focussize="0,0"/>
            <v:stroke on="f" joinstyle="miter"/>
            <v:imagedata r:id="rId25" o:title=""/>
            <o:lock v:ext="edit" aspectratio="t"/>
            <w10:wrap type="none"/>
            <w10:anchorlock/>
          </v:shape>
          <o:OLEObject Type="Embed" ProgID="Equation.DSMT4" ShapeID="_x0000_i1033" DrawAspect="Content" ObjectID="_1468075733" r:id="rId24">
            <o:LockedField>false</o:LockedField>
          </o:OLEObject>
        </w:object>
      </w:r>
      <w:r>
        <w:rPr>
          <w:rFonts w:ascii="Cambria" w:hAnsi="Cambria" w:eastAsia="宋体" w:cs="Times New Roman"/>
          <w:spacing w:val="-8"/>
          <w:kern w:val="0"/>
          <w:sz w:val="24"/>
          <w:szCs w:val="24"/>
        </w:rPr>
        <w:t xml:space="preserve">, and obtain </w:t>
      </w:r>
      <w:r>
        <w:rPr>
          <w:position w:val="-6"/>
        </w:rPr>
        <w:object>
          <v:shape id="_x0000_i1034" o:spt="75" type="#_x0000_t75" style="height:17.9pt;width:108.2pt;" o:ole="t" filled="f" o:preferrelative="t" stroked="f" coordsize="21600,21600">
            <v:path/>
            <v:fill on="f" focussize="0,0"/>
            <v:stroke on="f" joinstyle="miter"/>
            <v:imagedata r:id="rId27" o:title=""/>
            <o:lock v:ext="edit" aspectratio="t"/>
            <w10:wrap type="none"/>
            <w10:anchorlock/>
          </v:shape>
          <o:OLEObject Type="Embed" ProgID="Equation.DSMT4" ShapeID="_x0000_i1034" DrawAspect="Content" ObjectID="_1468075734" r:id="rId26">
            <o:LockedField>false</o:LockedField>
          </o:OLEObject>
        </w:object>
      </w:r>
      <w:r>
        <w:rPr>
          <w:rFonts w:ascii="Cambria" w:hAnsi="Cambria" w:eastAsia="宋体" w:cs="Times New Roman"/>
          <w:spacing w:val="-8"/>
          <w:kern w:val="0"/>
          <w:sz w:val="24"/>
          <w:szCs w:val="24"/>
        </w:rPr>
        <w:t xml:space="preserve"> m/s. According to the real speed curve of train in Fig. 3d in main text, this deduction is also reasonable.</w:t>
      </w:r>
    </w:p>
    <w:p>
      <w:pPr>
        <w:spacing w:line="360" w:lineRule="auto"/>
        <w:ind w:firstLine="240" w:firstLineChars="100"/>
        <w:rPr>
          <w:rFonts w:hint="eastAsia" w:ascii="Cambria" w:hAnsi="Cambria" w:eastAsia="宋体" w:cs="Times New Roman"/>
          <w:sz w:val="24"/>
          <w:szCs w:val="24"/>
          <w:lang w:val="en-US" w:eastAsia="zh-CN"/>
        </w:rPr>
      </w:pPr>
      <w:r>
        <w:rPr>
          <w:rFonts w:ascii="Cambria" w:hAnsi="Cambria" w:eastAsia="宋体" w:cs="Times New Roman"/>
          <w:kern w:val="0"/>
          <w:sz w:val="24"/>
          <w:szCs w:val="24"/>
        </w:rPr>
        <w:t xml:space="preserve">The conclusion can be further proved in Fig. </w:t>
      </w:r>
      <w:r>
        <w:rPr>
          <w:rFonts w:hint="eastAsia" w:ascii="Cambria" w:hAnsi="Cambria" w:eastAsia="宋体" w:cs="Times New Roman"/>
          <w:kern w:val="0"/>
          <w:sz w:val="24"/>
          <w:szCs w:val="24"/>
          <w:lang w:val="en-US" w:eastAsia="zh-CN"/>
        </w:rPr>
        <w:t>S</w:t>
      </w:r>
      <w:r>
        <w:rPr>
          <w:rFonts w:ascii="Cambria" w:hAnsi="Cambria" w:eastAsia="宋体" w:cs="Times New Roman"/>
          <w:kern w:val="0"/>
          <w:sz w:val="24"/>
          <w:szCs w:val="24"/>
        </w:rPr>
        <w:t xml:space="preserve">1c and </w:t>
      </w:r>
      <w:r>
        <w:rPr>
          <w:rFonts w:hint="eastAsia" w:ascii="Cambria" w:hAnsi="Cambria" w:eastAsia="宋体" w:cs="Times New Roman"/>
          <w:kern w:val="0"/>
          <w:sz w:val="24"/>
          <w:szCs w:val="24"/>
          <w:lang w:val="en-US" w:eastAsia="zh-CN"/>
        </w:rPr>
        <w:t>S</w:t>
      </w:r>
      <w:r>
        <w:rPr>
          <w:rFonts w:ascii="Cambria" w:hAnsi="Cambria" w:eastAsia="宋体" w:cs="Times New Roman"/>
          <w:kern w:val="0"/>
          <w:sz w:val="24"/>
          <w:szCs w:val="24"/>
        </w:rPr>
        <w:t xml:space="preserve">1d, when a 16-carriage train is detected. In frequency domain, two main peaks are at </w:t>
      </w:r>
      <w:r>
        <w:rPr>
          <w:position w:val="-12"/>
        </w:rPr>
        <w:object>
          <v:shape id="_x0000_i1035" o:spt="75" type="#_x0000_t75" style="height:17.9pt;width:44.95pt;" o:ole="t" filled="f" o:preferrelative="t" stroked="f" coordsize="21600,21600">
            <v:path/>
            <v:fill on="f" focussize="0,0"/>
            <v:stroke on="f" joinstyle="miter"/>
            <v:imagedata r:id="rId29" o:title=""/>
            <o:lock v:ext="edit" aspectratio="t"/>
            <w10:wrap type="none"/>
            <w10:anchorlock/>
          </v:shape>
          <o:OLEObject Type="Embed" ProgID="Equation.DSMT4" ShapeID="_x0000_i1035" DrawAspect="Content" ObjectID="_1468075735" r:id="rId28">
            <o:LockedField>false</o:LockedField>
          </o:OLEObject>
        </w:object>
      </w:r>
      <w:r>
        <w:rPr>
          <w:rFonts w:ascii="Cambria" w:hAnsi="Cambria" w:eastAsia="宋体" w:cs="Times New Roman"/>
          <w:kern w:val="0"/>
          <w:sz w:val="24"/>
          <w:szCs w:val="24"/>
        </w:rPr>
        <w:t xml:space="preserve"> Hz and </w:t>
      </w:r>
      <w:r>
        <w:rPr>
          <w:position w:val="-12"/>
        </w:rPr>
        <w:object>
          <v:shape id="_x0000_i1036" o:spt="75" type="#_x0000_t75" style="height:17.9pt;width:46.2pt;" o:ole="t" filled="f" o:preferrelative="t" stroked="f" coordsize="21600,21600">
            <v:path/>
            <v:fill on="f" focussize="0,0"/>
            <v:stroke on="f" joinstyle="miter"/>
            <v:imagedata r:id="rId31" o:title=""/>
            <o:lock v:ext="edit" aspectratio="t"/>
            <w10:wrap type="none"/>
            <w10:anchorlock/>
          </v:shape>
          <o:OLEObject Type="Embed" ProgID="Equation.DSMT4" ShapeID="_x0000_i1036" DrawAspect="Content" ObjectID="_1468075736" r:id="rId30">
            <o:LockedField>false</o:LockedField>
          </o:OLEObject>
        </w:object>
      </w:r>
      <w:r>
        <w:rPr>
          <w:rFonts w:ascii="Cambria" w:hAnsi="Cambria" w:eastAsia="宋体" w:cs="Times New Roman"/>
          <w:kern w:val="0"/>
          <w:sz w:val="24"/>
          <w:szCs w:val="24"/>
        </w:rPr>
        <w:t xml:space="preserve"> Hz. It corresponds to the carriage frequency of </w:t>
      </w:r>
      <w:r>
        <w:rPr>
          <w:position w:val="-12"/>
        </w:rPr>
        <w:object>
          <v:shape id="_x0000_i1037" o:spt="75" type="#_x0000_t75" style="height:17.9pt;width:57.85pt;" o:ole="t" filled="f" o:preferrelative="t" stroked="f" coordsize="21600,21600">
            <v:path/>
            <v:fill on="f" focussize="0,0"/>
            <v:stroke on="f" joinstyle="miter"/>
            <v:imagedata r:id="rId33" o:title=""/>
            <o:lock v:ext="edit" aspectratio="t"/>
            <w10:wrap type="none"/>
            <w10:anchorlock/>
          </v:shape>
          <o:OLEObject Type="Embed" ProgID="Equation.DSMT4" ShapeID="_x0000_i1037" DrawAspect="Content" ObjectID="_1468075737" r:id="rId32">
            <o:LockedField>false</o:LockedField>
          </o:OLEObject>
        </w:object>
      </w:r>
      <w:r>
        <w:rPr>
          <w:rFonts w:ascii="Cambria" w:hAnsi="Cambria" w:eastAsia="宋体" w:cs="Times New Roman"/>
          <w:kern w:val="0"/>
          <w:sz w:val="24"/>
          <w:szCs w:val="24"/>
        </w:rPr>
        <w:t xml:space="preserve"> Hz, which is in line with that of 8-carriage case, and train modulation frequency turns into </w:t>
      </w:r>
      <w:r>
        <w:rPr>
          <w:position w:val="-12"/>
        </w:rPr>
        <w:object>
          <v:shape id="_x0000_i1038" o:spt="75" type="#_x0000_t75" style="height:17.9pt;width:104.05pt;" o:ole="t" filled="f" o:preferrelative="t" stroked="f" coordsize="21600,21600">
            <v:path/>
            <v:fill on="f" focussize="0,0"/>
            <v:stroke on="f" joinstyle="miter"/>
            <v:imagedata r:id="rId35" o:title=""/>
            <o:lock v:ext="edit" aspectratio="t"/>
            <w10:wrap type="none"/>
            <w10:anchorlock/>
          </v:shape>
          <o:OLEObject Type="Embed" ProgID="Equation.DSMT4" ShapeID="_x0000_i1038" DrawAspect="Content" ObjectID="_1468075738" r:id="rId34">
            <o:LockedField>false</o:LockedField>
          </o:OLEObject>
        </w:object>
      </w:r>
      <w:r>
        <w:rPr>
          <w:rFonts w:ascii="Cambria" w:hAnsi="Cambria" w:eastAsia="宋体" w:cs="Times New Roman"/>
          <w:kern w:val="0"/>
          <w:sz w:val="24"/>
          <w:szCs w:val="24"/>
        </w:rPr>
        <w:t xml:space="preserve"> Hz, which is half of 8 carriage case due to the longer train body. The frequency analysis of carriage passage is the basis of establishing the relationship between the vibration spectrum and health condition of HSR system. It gives a simple description of the train loading-unloading process</w:t>
      </w:r>
      <w:r>
        <w:rPr>
          <w:rFonts w:hint="eastAsia" w:ascii="Cambria" w:hAnsi="Cambria" w:eastAsia="宋体" w:cs="Times New Roman"/>
          <w:kern w:val="0"/>
          <w:sz w:val="24"/>
          <w:szCs w:val="24"/>
        </w:rPr>
        <w:t>, which is a solid demonstration of the analysis</w:t>
      </w:r>
      <w:r>
        <w:rPr>
          <w:rFonts w:hint="eastAsia" w:ascii="Cambria" w:hAnsi="Cambria" w:eastAsia="宋体" w:cs="Times New Roman"/>
          <w:kern w:val="0"/>
          <w:sz w:val="24"/>
          <w:szCs w:val="24"/>
          <w:lang w:val="en-US"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Malgun Gothic">
    <w:panose1 w:val="020B0503020000020004"/>
    <w:charset w:val="81"/>
    <w:family w:val="swiss"/>
    <w:pitch w:val="default"/>
    <w:sig w:usb0="9000002F" w:usb1="29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MzMzdkNDNkNmZiNjEzNDhjYTc1Mzk4OTg1OTczODMifQ=="/>
  </w:docVars>
  <w:rsids>
    <w:rsidRoot w:val="006E429B"/>
    <w:rsid w:val="00002AFB"/>
    <w:rsid w:val="000030D6"/>
    <w:rsid w:val="000036A3"/>
    <w:rsid w:val="00003B2A"/>
    <w:rsid w:val="00004542"/>
    <w:rsid w:val="000118F2"/>
    <w:rsid w:val="00021237"/>
    <w:rsid w:val="000241FF"/>
    <w:rsid w:val="00026449"/>
    <w:rsid w:val="00027BD7"/>
    <w:rsid w:val="00031117"/>
    <w:rsid w:val="0003218C"/>
    <w:rsid w:val="0003524C"/>
    <w:rsid w:val="00042DC2"/>
    <w:rsid w:val="00043375"/>
    <w:rsid w:val="00044ED1"/>
    <w:rsid w:val="00050CB7"/>
    <w:rsid w:val="000516D4"/>
    <w:rsid w:val="00052698"/>
    <w:rsid w:val="000542D5"/>
    <w:rsid w:val="00055242"/>
    <w:rsid w:val="0005618A"/>
    <w:rsid w:val="0005652F"/>
    <w:rsid w:val="00056CEC"/>
    <w:rsid w:val="00056EC9"/>
    <w:rsid w:val="00056F21"/>
    <w:rsid w:val="00060E62"/>
    <w:rsid w:val="00062C30"/>
    <w:rsid w:val="00063310"/>
    <w:rsid w:val="0006372E"/>
    <w:rsid w:val="00063762"/>
    <w:rsid w:val="00063D9B"/>
    <w:rsid w:val="00064022"/>
    <w:rsid w:val="00065B7F"/>
    <w:rsid w:val="00065D7C"/>
    <w:rsid w:val="00066691"/>
    <w:rsid w:val="00066EBC"/>
    <w:rsid w:val="000715A8"/>
    <w:rsid w:val="00075113"/>
    <w:rsid w:val="00077312"/>
    <w:rsid w:val="0008115F"/>
    <w:rsid w:val="000816D9"/>
    <w:rsid w:val="00082090"/>
    <w:rsid w:val="00082BEE"/>
    <w:rsid w:val="00083E31"/>
    <w:rsid w:val="00085072"/>
    <w:rsid w:val="000856C9"/>
    <w:rsid w:val="000864F5"/>
    <w:rsid w:val="00086E64"/>
    <w:rsid w:val="0009039A"/>
    <w:rsid w:val="00090646"/>
    <w:rsid w:val="0009073B"/>
    <w:rsid w:val="0009202A"/>
    <w:rsid w:val="00093F50"/>
    <w:rsid w:val="000954B5"/>
    <w:rsid w:val="00096C57"/>
    <w:rsid w:val="000A2203"/>
    <w:rsid w:val="000A484D"/>
    <w:rsid w:val="000A4E52"/>
    <w:rsid w:val="000B1344"/>
    <w:rsid w:val="000B1728"/>
    <w:rsid w:val="000B4DEF"/>
    <w:rsid w:val="000B5604"/>
    <w:rsid w:val="000B67B0"/>
    <w:rsid w:val="000B6897"/>
    <w:rsid w:val="000B7C29"/>
    <w:rsid w:val="000C0726"/>
    <w:rsid w:val="000C24D0"/>
    <w:rsid w:val="000C2592"/>
    <w:rsid w:val="000C2A38"/>
    <w:rsid w:val="000C49BA"/>
    <w:rsid w:val="000C556E"/>
    <w:rsid w:val="000C5F7A"/>
    <w:rsid w:val="000C74D6"/>
    <w:rsid w:val="000C7EA7"/>
    <w:rsid w:val="000D0FB8"/>
    <w:rsid w:val="000D1007"/>
    <w:rsid w:val="000D16E1"/>
    <w:rsid w:val="000D2F43"/>
    <w:rsid w:val="000D32DE"/>
    <w:rsid w:val="000D51DB"/>
    <w:rsid w:val="000D6CAC"/>
    <w:rsid w:val="000E29BA"/>
    <w:rsid w:val="000E3542"/>
    <w:rsid w:val="000E36D8"/>
    <w:rsid w:val="000E4887"/>
    <w:rsid w:val="000F0A69"/>
    <w:rsid w:val="000F13D3"/>
    <w:rsid w:val="000F6E6E"/>
    <w:rsid w:val="000F77E2"/>
    <w:rsid w:val="000F78E6"/>
    <w:rsid w:val="00102DDC"/>
    <w:rsid w:val="001037EE"/>
    <w:rsid w:val="0010510A"/>
    <w:rsid w:val="001068AA"/>
    <w:rsid w:val="001070B0"/>
    <w:rsid w:val="00110CE9"/>
    <w:rsid w:val="00111B8C"/>
    <w:rsid w:val="001130A7"/>
    <w:rsid w:val="001136A8"/>
    <w:rsid w:val="00114C01"/>
    <w:rsid w:val="0011514A"/>
    <w:rsid w:val="0011717E"/>
    <w:rsid w:val="001172D7"/>
    <w:rsid w:val="0011796E"/>
    <w:rsid w:val="00117EEB"/>
    <w:rsid w:val="00120946"/>
    <w:rsid w:val="00120D5A"/>
    <w:rsid w:val="00121883"/>
    <w:rsid w:val="001265FD"/>
    <w:rsid w:val="00130B09"/>
    <w:rsid w:val="0013159E"/>
    <w:rsid w:val="00135889"/>
    <w:rsid w:val="0013677C"/>
    <w:rsid w:val="00142508"/>
    <w:rsid w:val="0014267A"/>
    <w:rsid w:val="001430CC"/>
    <w:rsid w:val="001471A3"/>
    <w:rsid w:val="001529C5"/>
    <w:rsid w:val="00153659"/>
    <w:rsid w:val="001544C8"/>
    <w:rsid w:val="00154CFC"/>
    <w:rsid w:val="00155462"/>
    <w:rsid w:val="001566A3"/>
    <w:rsid w:val="00160AB8"/>
    <w:rsid w:val="00160DE2"/>
    <w:rsid w:val="001639ED"/>
    <w:rsid w:val="001662AD"/>
    <w:rsid w:val="00167739"/>
    <w:rsid w:val="00167828"/>
    <w:rsid w:val="00167E16"/>
    <w:rsid w:val="001732A3"/>
    <w:rsid w:val="00175FF1"/>
    <w:rsid w:val="0017674F"/>
    <w:rsid w:val="00181855"/>
    <w:rsid w:val="00182182"/>
    <w:rsid w:val="00182C27"/>
    <w:rsid w:val="00185AC6"/>
    <w:rsid w:val="001876B4"/>
    <w:rsid w:val="00190422"/>
    <w:rsid w:val="001908B3"/>
    <w:rsid w:val="0019566F"/>
    <w:rsid w:val="00196FBE"/>
    <w:rsid w:val="00197CC6"/>
    <w:rsid w:val="001A1633"/>
    <w:rsid w:val="001A44C2"/>
    <w:rsid w:val="001A4DB1"/>
    <w:rsid w:val="001A5573"/>
    <w:rsid w:val="001A79C5"/>
    <w:rsid w:val="001B0770"/>
    <w:rsid w:val="001B2360"/>
    <w:rsid w:val="001B608D"/>
    <w:rsid w:val="001B7F3B"/>
    <w:rsid w:val="001C186E"/>
    <w:rsid w:val="001C1C2D"/>
    <w:rsid w:val="001C1E5F"/>
    <w:rsid w:val="001C40B7"/>
    <w:rsid w:val="001C417F"/>
    <w:rsid w:val="001C4BB0"/>
    <w:rsid w:val="001D04A0"/>
    <w:rsid w:val="001D2A76"/>
    <w:rsid w:val="001D304D"/>
    <w:rsid w:val="001D34AE"/>
    <w:rsid w:val="001D664B"/>
    <w:rsid w:val="001D78F7"/>
    <w:rsid w:val="001E3BC7"/>
    <w:rsid w:val="001E4119"/>
    <w:rsid w:val="001E4CDB"/>
    <w:rsid w:val="001E5D54"/>
    <w:rsid w:val="001E6C44"/>
    <w:rsid w:val="001F23E9"/>
    <w:rsid w:val="001F2E66"/>
    <w:rsid w:val="001F3513"/>
    <w:rsid w:val="001F385D"/>
    <w:rsid w:val="001F6A20"/>
    <w:rsid w:val="00202BF3"/>
    <w:rsid w:val="00202DD1"/>
    <w:rsid w:val="0020329B"/>
    <w:rsid w:val="0020547D"/>
    <w:rsid w:val="00205E36"/>
    <w:rsid w:val="00207230"/>
    <w:rsid w:val="00207B9A"/>
    <w:rsid w:val="00211B71"/>
    <w:rsid w:val="00215DE5"/>
    <w:rsid w:val="00216BE3"/>
    <w:rsid w:val="00220EA8"/>
    <w:rsid w:val="0022233B"/>
    <w:rsid w:val="0022480A"/>
    <w:rsid w:val="002254A9"/>
    <w:rsid w:val="0022773D"/>
    <w:rsid w:val="002304D5"/>
    <w:rsid w:val="00231F3C"/>
    <w:rsid w:val="002334B5"/>
    <w:rsid w:val="00235505"/>
    <w:rsid w:val="00237005"/>
    <w:rsid w:val="00237A4D"/>
    <w:rsid w:val="00241573"/>
    <w:rsid w:val="002418CC"/>
    <w:rsid w:val="00241FD4"/>
    <w:rsid w:val="002421E8"/>
    <w:rsid w:val="00245A93"/>
    <w:rsid w:val="00246502"/>
    <w:rsid w:val="00246994"/>
    <w:rsid w:val="00252B31"/>
    <w:rsid w:val="00252C4B"/>
    <w:rsid w:val="00256CE1"/>
    <w:rsid w:val="0026176F"/>
    <w:rsid w:val="00262131"/>
    <w:rsid w:val="00265A9B"/>
    <w:rsid w:val="00272163"/>
    <w:rsid w:val="00272AB5"/>
    <w:rsid w:val="00272BE5"/>
    <w:rsid w:val="00275E73"/>
    <w:rsid w:val="0028024B"/>
    <w:rsid w:val="00281BDE"/>
    <w:rsid w:val="00281CCF"/>
    <w:rsid w:val="00285503"/>
    <w:rsid w:val="00285900"/>
    <w:rsid w:val="002913F2"/>
    <w:rsid w:val="00293041"/>
    <w:rsid w:val="002933E9"/>
    <w:rsid w:val="00294CA8"/>
    <w:rsid w:val="00297EA0"/>
    <w:rsid w:val="002A03EF"/>
    <w:rsid w:val="002A22A0"/>
    <w:rsid w:val="002A2451"/>
    <w:rsid w:val="002A36DA"/>
    <w:rsid w:val="002A5224"/>
    <w:rsid w:val="002A6105"/>
    <w:rsid w:val="002A7E9A"/>
    <w:rsid w:val="002B02B2"/>
    <w:rsid w:val="002B052D"/>
    <w:rsid w:val="002B73F5"/>
    <w:rsid w:val="002C0125"/>
    <w:rsid w:val="002C1037"/>
    <w:rsid w:val="002C23BC"/>
    <w:rsid w:val="002C2F65"/>
    <w:rsid w:val="002C732F"/>
    <w:rsid w:val="002C7A95"/>
    <w:rsid w:val="002D17CF"/>
    <w:rsid w:val="002D1C34"/>
    <w:rsid w:val="002D23CD"/>
    <w:rsid w:val="002D429F"/>
    <w:rsid w:val="002D5857"/>
    <w:rsid w:val="002E1A04"/>
    <w:rsid w:val="002E29E2"/>
    <w:rsid w:val="002E33C8"/>
    <w:rsid w:val="002E43E0"/>
    <w:rsid w:val="002E5315"/>
    <w:rsid w:val="002E5F76"/>
    <w:rsid w:val="002F339F"/>
    <w:rsid w:val="002F3740"/>
    <w:rsid w:val="002F3F26"/>
    <w:rsid w:val="002F4D11"/>
    <w:rsid w:val="002F575F"/>
    <w:rsid w:val="002F6B70"/>
    <w:rsid w:val="00300EB9"/>
    <w:rsid w:val="00302AD3"/>
    <w:rsid w:val="00303D2E"/>
    <w:rsid w:val="00305C0B"/>
    <w:rsid w:val="00307127"/>
    <w:rsid w:val="00311534"/>
    <w:rsid w:val="0031162C"/>
    <w:rsid w:val="00312722"/>
    <w:rsid w:val="00315DFE"/>
    <w:rsid w:val="003163D9"/>
    <w:rsid w:val="0031693F"/>
    <w:rsid w:val="003208EF"/>
    <w:rsid w:val="003219FE"/>
    <w:rsid w:val="00323F4F"/>
    <w:rsid w:val="00325E70"/>
    <w:rsid w:val="00326FC0"/>
    <w:rsid w:val="00327A50"/>
    <w:rsid w:val="003308C7"/>
    <w:rsid w:val="00336E01"/>
    <w:rsid w:val="00340686"/>
    <w:rsid w:val="00342412"/>
    <w:rsid w:val="003434B2"/>
    <w:rsid w:val="00345B7C"/>
    <w:rsid w:val="00346E72"/>
    <w:rsid w:val="00350DE3"/>
    <w:rsid w:val="00351D2C"/>
    <w:rsid w:val="00352DBE"/>
    <w:rsid w:val="00353431"/>
    <w:rsid w:val="00353A15"/>
    <w:rsid w:val="00356BA8"/>
    <w:rsid w:val="00356D6E"/>
    <w:rsid w:val="00357349"/>
    <w:rsid w:val="0036030F"/>
    <w:rsid w:val="00360675"/>
    <w:rsid w:val="00360D41"/>
    <w:rsid w:val="0036100C"/>
    <w:rsid w:val="0036129B"/>
    <w:rsid w:val="00361BBA"/>
    <w:rsid w:val="0036358F"/>
    <w:rsid w:val="00363D3E"/>
    <w:rsid w:val="00364F13"/>
    <w:rsid w:val="00366C5E"/>
    <w:rsid w:val="0037059E"/>
    <w:rsid w:val="00373A0B"/>
    <w:rsid w:val="00373F1F"/>
    <w:rsid w:val="00374D03"/>
    <w:rsid w:val="00375C5D"/>
    <w:rsid w:val="003764EA"/>
    <w:rsid w:val="00380DD2"/>
    <w:rsid w:val="003836D4"/>
    <w:rsid w:val="003837FC"/>
    <w:rsid w:val="00390E6E"/>
    <w:rsid w:val="003935C6"/>
    <w:rsid w:val="00396233"/>
    <w:rsid w:val="0039706C"/>
    <w:rsid w:val="003A19CA"/>
    <w:rsid w:val="003A6F21"/>
    <w:rsid w:val="003A7D41"/>
    <w:rsid w:val="003B07BC"/>
    <w:rsid w:val="003B2952"/>
    <w:rsid w:val="003B51AC"/>
    <w:rsid w:val="003B54D4"/>
    <w:rsid w:val="003B6116"/>
    <w:rsid w:val="003B683D"/>
    <w:rsid w:val="003B6C35"/>
    <w:rsid w:val="003B74E9"/>
    <w:rsid w:val="003C333E"/>
    <w:rsid w:val="003C37D0"/>
    <w:rsid w:val="003C38AE"/>
    <w:rsid w:val="003C449D"/>
    <w:rsid w:val="003C4DEC"/>
    <w:rsid w:val="003C5570"/>
    <w:rsid w:val="003C78D9"/>
    <w:rsid w:val="003D0E8E"/>
    <w:rsid w:val="003D13D8"/>
    <w:rsid w:val="003D1728"/>
    <w:rsid w:val="003D1B37"/>
    <w:rsid w:val="003D1D40"/>
    <w:rsid w:val="003D5CCC"/>
    <w:rsid w:val="003D692D"/>
    <w:rsid w:val="003E0482"/>
    <w:rsid w:val="003E055A"/>
    <w:rsid w:val="003E18D3"/>
    <w:rsid w:val="003E1D5B"/>
    <w:rsid w:val="003E1F71"/>
    <w:rsid w:val="003E305B"/>
    <w:rsid w:val="003E32AE"/>
    <w:rsid w:val="003E36F3"/>
    <w:rsid w:val="003E375D"/>
    <w:rsid w:val="003E4FCC"/>
    <w:rsid w:val="003E5409"/>
    <w:rsid w:val="003F1A4D"/>
    <w:rsid w:val="003F313D"/>
    <w:rsid w:val="003F403D"/>
    <w:rsid w:val="003F40E2"/>
    <w:rsid w:val="003F6D77"/>
    <w:rsid w:val="003F7B13"/>
    <w:rsid w:val="0040164F"/>
    <w:rsid w:val="00402DF9"/>
    <w:rsid w:val="00406047"/>
    <w:rsid w:val="0040712D"/>
    <w:rsid w:val="00411194"/>
    <w:rsid w:val="00415373"/>
    <w:rsid w:val="004163F7"/>
    <w:rsid w:val="00417861"/>
    <w:rsid w:val="00417BAF"/>
    <w:rsid w:val="00420121"/>
    <w:rsid w:val="0042061F"/>
    <w:rsid w:val="00422531"/>
    <w:rsid w:val="0042510F"/>
    <w:rsid w:val="004255C2"/>
    <w:rsid w:val="00426DC1"/>
    <w:rsid w:val="00430130"/>
    <w:rsid w:val="00430450"/>
    <w:rsid w:val="00430D41"/>
    <w:rsid w:val="00432131"/>
    <w:rsid w:val="00433FF4"/>
    <w:rsid w:val="00434176"/>
    <w:rsid w:val="00436370"/>
    <w:rsid w:val="004365A0"/>
    <w:rsid w:val="004379DF"/>
    <w:rsid w:val="00442FA1"/>
    <w:rsid w:val="00445915"/>
    <w:rsid w:val="00445C48"/>
    <w:rsid w:val="004464EC"/>
    <w:rsid w:val="004466BA"/>
    <w:rsid w:val="004507BB"/>
    <w:rsid w:val="00453425"/>
    <w:rsid w:val="00453662"/>
    <w:rsid w:val="00455FB7"/>
    <w:rsid w:val="00456B6E"/>
    <w:rsid w:val="00460F94"/>
    <w:rsid w:val="00461D13"/>
    <w:rsid w:val="00462854"/>
    <w:rsid w:val="004628D7"/>
    <w:rsid w:val="00463F92"/>
    <w:rsid w:val="004653D9"/>
    <w:rsid w:val="00470C79"/>
    <w:rsid w:val="0047184A"/>
    <w:rsid w:val="00472600"/>
    <w:rsid w:val="0047287F"/>
    <w:rsid w:val="00472F38"/>
    <w:rsid w:val="00473E05"/>
    <w:rsid w:val="00473FCC"/>
    <w:rsid w:val="00475BA7"/>
    <w:rsid w:val="004774ED"/>
    <w:rsid w:val="0047766E"/>
    <w:rsid w:val="00477FE1"/>
    <w:rsid w:val="004804AE"/>
    <w:rsid w:val="00480F18"/>
    <w:rsid w:val="00481467"/>
    <w:rsid w:val="004818FE"/>
    <w:rsid w:val="0048441E"/>
    <w:rsid w:val="00485BC8"/>
    <w:rsid w:val="00487E6F"/>
    <w:rsid w:val="00490515"/>
    <w:rsid w:val="00493F6D"/>
    <w:rsid w:val="004975C5"/>
    <w:rsid w:val="004A10D3"/>
    <w:rsid w:val="004A3D27"/>
    <w:rsid w:val="004A4925"/>
    <w:rsid w:val="004A55E4"/>
    <w:rsid w:val="004A770D"/>
    <w:rsid w:val="004B0504"/>
    <w:rsid w:val="004B1801"/>
    <w:rsid w:val="004B3209"/>
    <w:rsid w:val="004B56FE"/>
    <w:rsid w:val="004B722E"/>
    <w:rsid w:val="004B761F"/>
    <w:rsid w:val="004B7882"/>
    <w:rsid w:val="004B7C2D"/>
    <w:rsid w:val="004C02FB"/>
    <w:rsid w:val="004C09E1"/>
    <w:rsid w:val="004C175C"/>
    <w:rsid w:val="004C1944"/>
    <w:rsid w:val="004C29F7"/>
    <w:rsid w:val="004C63DA"/>
    <w:rsid w:val="004C7823"/>
    <w:rsid w:val="004D1495"/>
    <w:rsid w:val="004D31CD"/>
    <w:rsid w:val="004D39FB"/>
    <w:rsid w:val="004D50FB"/>
    <w:rsid w:val="004D728D"/>
    <w:rsid w:val="004E0331"/>
    <w:rsid w:val="004E0354"/>
    <w:rsid w:val="004E364B"/>
    <w:rsid w:val="004E5CFB"/>
    <w:rsid w:val="004E7391"/>
    <w:rsid w:val="004F3B21"/>
    <w:rsid w:val="005007CF"/>
    <w:rsid w:val="00500BB6"/>
    <w:rsid w:val="00501159"/>
    <w:rsid w:val="005029A0"/>
    <w:rsid w:val="00503C33"/>
    <w:rsid w:val="00506315"/>
    <w:rsid w:val="00506F60"/>
    <w:rsid w:val="00516043"/>
    <w:rsid w:val="00516171"/>
    <w:rsid w:val="00520313"/>
    <w:rsid w:val="005210D8"/>
    <w:rsid w:val="00521E2C"/>
    <w:rsid w:val="005222A1"/>
    <w:rsid w:val="0052588B"/>
    <w:rsid w:val="00526013"/>
    <w:rsid w:val="00531CC4"/>
    <w:rsid w:val="00533BD7"/>
    <w:rsid w:val="00533E15"/>
    <w:rsid w:val="00534058"/>
    <w:rsid w:val="00535B09"/>
    <w:rsid w:val="00535C65"/>
    <w:rsid w:val="00536325"/>
    <w:rsid w:val="0053750C"/>
    <w:rsid w:val="00541315"/>
    <w:rsid w:val="00542E95"/>
    <w:rsid w:val="00543530"/>
    <w:rsid w:val="005438C5"/>
    <w:rsid w:val="0054636E"/>
    <w:rsid w:val="00550630"/>
    <w:rsid w:val="00551797"/>
    <w:rsid w:val="00552EA3"/>
    <w:rsid w:val="0055364D"/>
    <w:rsid w:val="00553839"/>
    <w:rsid w:val="00554513"/>
    <w:rsid w:val="00556E82"/>
    <w:rsid w:val="005603C2"/>
    <w:rsid w:val="00560AE8"/>
    <w:rsid w:val="0056603A"/>
    <w:rsid w:val="00566A0D"/>
    <w:rsid w:val="005674FA"/>
    <w:rsid w:val="0057091F"/>
    <w:rsid w:val="00570985"/>
    <w:rsid w:val="00573564"/>
    <w:rsid w:val="00573CDC"/>
    <w:rsid w:val="00575FAF"/>
    <w:rsid w:val="005809C2"/>
    <w:rsid w:val="00580ECE"/>
    <w:rsid w:val="00581060"/>
    <w:rsid w:val="005831CF"/>
    <w:rsid w:val="005836C5"/>
    <w:rsid w:val="005852E2"/>
    <w:rsid w:val="0058669B"/>
    <w:rsid w:val="0058685E"/>
    <w:rsid w:val="00591559"/>
    <w:rsid w:val="005932EE"/>
    <w:rsid w:val="005944B9"/>
    <w:rsid w:val="00596B50"/>
    <w:rsid w:val="005A1ECE"/>
    <w:rsid w:val="005A27BD"/>
    <w:rsid w:val="005A3C05"/>
    <w:rsid w:val="005A3E3E"/>
    <w:rsid w:val="005A3FB6"/>
    <w:rsid w:val="005A449F"/>
    <w:rsid w:val="005A46B6"/>
    <w:rsid w:val="005A510A"/>
    <w:rsid w:val="005A7639"/>
    <w:rsid w:val="005B09E4"/>
    <w:rsid w:val="005B2660"/>
    <w:rsid w:val="005B610C"/>
    <w:rsid w:val="005B6C36"/>
    <w:rsid w:val="005C25B8"/>
    <w:rsid w:val="005C4736"/>
    <w:rsid w:val="005C5CBA"/>
    <w:rsid w:val="005C791A"/>
    <w:rsid w:val="005D0B94"/>
    <w:rsid w:val="005D0EFE"/>
    <w:rsid w:val="005D0FFF"/>
    <w:rsid w:val="005D2209"/>
    <w:rsid w:val="005D4895"/>
    <w:rsid w:val="005D5370"/>
    <w:rsid w:val="005D57D2"/>
    <w:rsid w:val="005D77A5"/>
    <w:rsid w:val="005E0DD6"/>
    <w:rsid w:val="005E1F83"/>
    <w:rsid w:val="005E205B"/>
    <w:rsid w:val="005E20E9"/>
    <w:rsid w:val="005F0D96"/>
    <w:rsid w:val="005F1EBE"/>
    <w:rsid w:val="005F2215"/>
    <w:rsid w:val="005F3F6E"/>
    <w:rsid w:val="005F4AFD"/>
    <w:rsid w:val="005F691E"/>
    <w:rsid w:val="006009C5"/>
    <w:rsid w:val="00600F18"/>
    <w:rsid w:val="0060466B"/>
    <w:rsid w:val="006052C8"/>
    <w:rsid w:val="0060765E"/>
    <w:rsid w:val="00615D6A"/>
    <w:rsid w:val="00616DC7"/>
    <w:rsid w:val="00620209"/>
    <w:rsid w:val="00621090"/>
    <w:rsid w:val="00622478"/>
    <w:rsid w:val="00622836"/>
    <w:rsid w:val="0062700A"/>
    <w:rsid w:val="006302A5"/>
    <w:rsid w:val="006302F5"/>
    <w:rsid w:val="00630A9B"/>
    <w:rsid w:val="0063196B"/>
    <w:rsid w:val="00631A39"/>
    <w:rsid w:val="006336F7"/>
    <w:rsid w:val="00633972"/>
    <w:rsid w:val="00633A71"/>
    <w:rsid w:val="00634722"/>
    <w:rsid w:val="006367FB"/>
    <w:rsid w:val="0064118B"/>
    <w:rsid w:val="00641468"/>
    <w:rsid w:val="0064311C"/>
    <w:rsid w:val="00645AAF"/>
    <w:rsid w:val="00646EE1"/>
    <w:rsid w:val="00650486"/>
    <w:rsid w:val="006517AE"/>
    <w:rsid w:val="0065554A"/>
    <w:rsid w:val="006557FD"/>
    <w:rsid w:val="0065670B"/>
    <w:rsid w:val="006568D0"/>
    <w:rsid w:val="0065718E"/>
    <w:rsid w:val="00666F50"/>
    <w:rsid w:val="00672B10"/>
    <w:rsid w:val="006735D6"/>
    <w:rsid w:val="0067427A"/>
    <w:rsid w:val="00674405"/>
    <w:rsid w:val="006761D0"/>
    <w:rsid w:val="00677226"/>
    <w:rsid w:val="0068117C"/>
    <w:rsid w:val="0068166B"/>
    <w:rsid w:val="00684A9B"/>
    <w:rsid w:val="0068613F"/>
    <w:rsid w:val="00687F38"/>
    <w:rsid w:val="0069022B"/>
    <w:rsid w:val="00690321"/>
    <w:rsid w:val="006908A7"/>
    <w:rsid w:val="006914BD"/>
    <w:rsid w:val="006952E3"/>
    <w:rsid w:val="00696285"/>
    <w:rsid w:val="006A0B9E"/>
    <w:rsid w:val="006A18C9"/>
    <w:rsid w:val="006A2AE1"/>
    <w:rsid w:val="006A3888"/>
    <w:rsid w:val="006A7B6C"/>
    <w:rsid w:val="006B09E0"/>
    <w:rsid w:val="006B12A5"/>
    <w:rsid w:val="006B1578"/>
    <w:rsid w:val="006B1B26"/>
    <w:rsid w:val="006B2377"/>
    <w:rsid w:val="006B3DD9"/>
    <w:rsid w:val="006B3FAD"/>
    <w:rsid w:val="006B4735"/>
    <w:rsid w:val="006B4874"/>
    <w:rsid w:val="006B651E"/>
    <w:rsid w:val="006B7FC7"/>
    <w:rsid w:val="006C1385"/>
    <w:rsid w:val="006C36B7"/>
    <w:rsid w:val="006C3DD6"/>
    <w:rsid w:val="006C403E"/>
    <w:rsid w:val="006C651A"/>
    <w:rsid w:val="006C6CB1"/>
    <w:rsid w:val="006D161E"/>
    <w:rsid w:val="006D3230"/>
    <w:rsid w:val="006D4012"/>
    <w:rsid w:val="006D52DA"/>
    <w:rsid w:val="006E429B"/>
    <w:rsid w:val="006F041B"/>
    <w:rsid w:val="006F09A0"/>
    <w:rsid w:val="006F11C7"/>
    <w:rsid w:val="006F3DC5"/>
    <w:rsid w:val="006F4AB0"/>
    <w:rsid w:val="006F4AC7"/>
    <w:rsid w:val="006F5AD4"/>
    <w:rsid w:val="006F6584"/>
    <w:rsid w:val="006F709E"/>
    <w:rsid w:val="006F7124"/>
    <w:rsid w:val="007017AD"/>
    <w:rsid w:val="00701B34"/>
    <w:rsid w:val="00702481"/>
    <w:rsid w:val="00702EDE"/>
    <w:rsid w:val="00706064"/>
    <w:rsid w:val="00711030"/>
    <w:rsid w:val="00712BB7"/>
    <w:rsid w:val="00713914"/>
    <w:rsid w:val="00714DE0"/>
    <w:rsid w:val="00715C5A"/>
    <w:rsid w:val="00715DCA"/>
    <w:rsid w:val="00720D7B"/>
    <w:rsid w:val="007216E9"/>
    <w:rsid w:val="00722248"/>
    <w:rsid w:val="00722E2E"/>
    <w:rsid w:val="00723823"/>
    <w:rsid w:val="007304F0"/>
    <w:rsid w:val="007314F3"/>
    <w:rsid w:val="00731884"/>
    <w:rsid w:val="0073207F"/>
    <w:rsid w:val="00733F1C"/>
    <w:rsid w:val="00734161"/>
    <w:rsid w:val="00734227"/>
    <w:rsid w:val="00735CED"/>
    <w:rsid w:val="0073623A"/>
    <w:rsid w:val="007375EA"/>
    <w:rsid w:val="007376A6"/>
    <w:rsid w:val="00740B57"/>
    <w:rsid w:val="007417FE"/>
    <w:rsid w:val="0074196B"/>
    <w:rsid w:val="00742E88"/>
    <w:rsid w:val="00744D31"/>
    <w:rsid w:val="0074671E"/>
    <w:rsid w:val="007470B8"/>
    <w:rsid w:val="00747B81"/>
    <w:rsid w:val="007512ED"/>
    <w:rsid w:val="00752B47"/>
    <w:rsid w:val="0075620F"/>
    <w:rsid w:val="007569E3"/>
    <w:rsid w:val="00756F27"/>
    <w:rsid w:val="007606D3"/>
    <w:rsid w:val="007618A0"/>
    <w:rsid w:val="007622C4"/>
    <w:rsid w:val="00763237"/>
    <w:rsid w:val="00764D59"/>
    <w:rsid w:val="00765B7F"/>
    <w:rsid w:val="00765D12"/>
    <w:rsid w:val="0076651F"/>
    <w:rsid w:val="007702F8"/>
    <w:rsid w:val="00772CA9"/>
    <w:rsid w:val="00775483"/>
    <w:rsid w:val="007844A4"/>
    <w:rsid w:val="007844E2"/>
    <w:rsid w:val="007864DF"/>
    <w:rsid w:val="00786F1C"/>
    <w:rsid w:val="0079262E"/>
    <w:rsid w:val="007928B7"/>
    <w:rsid w:val="00793CF2"/>
    <w:rsid w:val="007957A1"/>
    <w:rsid w:val="00796B33"/>
    <w:rsid w:val="0079731D"/>
    <w:rsid w:val="007A1D81"/>
    <w:rsid w:val="007A23BE"/>
    <w:rsid w:val="007A2D1E"/>
    <w:rsid w:val="007A2F6F"/>
    <w:rsid w:val="007A5124"/>
    <w:rsid w:val="007A6E81"/>
    <w:rsid w:val="007A704C"/>
    <w:rsid w:val="007B0786"/>
    <w:rsid w:val="007B1A20"/>
    <w:rsid w:val="007B25DF"/>
    <w:rsid w:val="007B379E"/>
    <w:rsid w:val="007B3BB1"/>
    <w:rsid w:val="007B6078"/>
    <w:rsid w:val="007B7C7E"/>
    <w:rsid w:val="007B7DE5"/>
    <w:rsid w:val="007C0EE4"/>
    <w:rsid w:val="007C2A02"/>
    <w:rsid w:val="007C519A"/>
    <w:rsid w:val="007C5DEB"/>
    <w:rsid w:val="007C6016"/>
    <w:rsid w:val="007C6C0C"/>
    <w:rsid w:val="007D1DB4"/>
    <w:rsid w:val="007D1FAD"/>
    <w:rsid w:val="007D2337"/>
    <w:rsid w:val="007D246E"/>
    <w:rsid w:val="007D341A"/>
    <w:rsid w:val="007D3CEA"/>
    <w:rsid w:val="007D4D45"/>
    <w:rsid w:val="007D6356"/>
    <w:rsid w:val="007D65B1"/>
    <w:rsid w:val="007D747C"/>
    <w:rsid w:val="007D7827"/>
    <w:rsid w:val="007E2D54"/>
    <w:rsid w:val="007E3D36"/>
    <w:rsid w:val="007E4058"/>
    <w:rsid w:val="007E4080"/>
    <w:rsid w:val="007E4526"/>
    <w:rsid w:val="007E671F"/>
    <w:rsid w:val="007E69E9"/>
    <w:rsid w:val="007E6A59"/>
    <w:rsid w:val="007F0CCB"/>
    <w:rsid w:val="007F1994"/>
    <w:rsid w:val="007F4195"/>
    <w:rsid w:val="007F696B"/>
    <w:rsid w:val="007F6E14"/>
    <w:rsid w:val="007F763A"/>
    <w:rsid w:val="007F79B0"/>
    <w:rsid w:val="00802119"/>
    <w:rsid w:val="00802B84"/>
    <w:rsid w:val="0080314B"/>
    <w:rsid w:val="00804A7B"/>
    <w:rsid w:val="00804F02"/>
    <w:rsid w:val="0080701F"/>
    <w:rsid w:val="0080761F"/>
    <w:rsid w:val="00807968"/>
    <w:rsid w:val="008109A1"/>
    <w:rsid w:val="00810C57"/>
    <w:rsid w:val="00811FCB"/>
    <w:rsid w:val="0081283A"/>
    <w:rsid w:val="00812FF7"/>
    <w:rsid w:val="00814C9A"/>
    <w:rsid w:val="008155B3"/>
    <w:rsid w:val="00815D80"/>
    <w:rsid w:val="008174C5"/>
    <w:rsid w:val="00822CDB"/>
    <w:rsid w:val="00824773"/>
    <w:rsid w:val="0082553A"/>
    <w:rsid w:val="008260C4"/>
    <w:rsid w:val="00827A93"/>
    <w:rsid w:val="00830707"/>
    <w:rsid w:val="00830FA8"/>
    <w:rsid w:val="008334E8"/>
    <w:rsid w:val="008343E9"/>
    <w:rsid w:val="00834860"/>
    <w:rsid w:val="0083595F"/>
    <w:rsid w:val="00836E24"/>
    <w:rsid w:val="008400D4"/>
    <w:rsid w:val="00841BEC"/>
    <w:rsid w:val="008420E9"/>
    <w:rsid w:val="00844671"/>
    <w:rsid w:val="0084470B"/>
    <w:rsid w:val="00845624"/>
    <w:rsid w:val="00847B79"/>
    <w:rsid w:val="00850861"/>
    <w:rsid w:val="00850C68"/>
    <w:rsid w:val="008524B2"/>
    <w:rsid w:val="008532BB"/>
    <w:rsid w:val="0085419E"/>
    <w:rsid w:val="008548DD"/>
    <w:rsid w:val="00854D3D"/>
    <w:rsid w:val="008551E6"/>
    <w:rsid w:val="00860295"/>
    <w:rsid w:val="0086035E"/>
    <w:rsid w:val="008626D4"/>
    <w:rsid w:val="00862FB9"/>
    <w:rsid w:val="00863489"/>
    <w:rsid w:val="00865E38"/>
    <w:rsid w:val="008677AA"/>
    <w:rsid w:val="008701FE"/>
    <w:rsid w:val="00871F7D"/>
    <w:rsid w:val="00874B2B"/>
    <w:rsid w:val="00875469"/>
    <w:rsid w:val="00875A22"/>
    <w:rsid w:val="00877166"/>
    <w:rsid w:val="00877D2D"/>
    <w:rsid w:val="008820BF"/>
    <w:rsid w:val="00883214"/>
    <w:rsid w:val="008836DA"/>
    <w:rsid w:val="008838EB"/>
    <w:rsid w:val="00884CEA"/>
    <w:rsid w:val="00887B2B"/>
    <w:rsid w:val="0089009C"/>
    <w:rsid w:val="008928B3"/>
    <w:rsid w:val="00894633"/>
    <w:rsid w:val="008B003F"/>
    <w:rsid w:val="008B0711"/>
    <w:rsid w:val="008B6D50"/>
    <w:rsid w:val="008B7835"/>
    <w:rsid w:val="008B79F6"/>
    <w:rsid w:val="008C3AC8"/>
    <w:rsid w:val="008C5F7F"/>
    <w:rsid w:val="008C7754"/>
    <w:rsid w:val="008D0358"/>
    <w:rsid w:val="008D1944"/>
    <w:rsid w:val="008D3DAC"/>
    <w:rsid w:val="008D54D7"/>
    <w:rsid w:val="008D7137"/>
    <w:rsid w:val="008D73D0"/>
    <w:rsid w:val="008E29E3"/>
    <w:rsid w:val="008E4F8F"/>
    <w:rsid w:val="008E5116"/>
    <w:rsid w:val="008F114C"/>
    <w:rsid w:val="008F1386"/>
    <w:rsid w:val="008F24C5"/>
    <w:rsid w:val="008F3F1A"/>
    <w:rsid w:val="008F5347"/>
    <w:rsid w:val="008F5D83"/>
    <w:rsid w:val="009029FC"/>
    <w:rsid w:val="00905A71"/>
    <w:rsid w:val="0090761D"/>
    <w:rsid w:val="00907EA0"/>
    <w:rsid w:val="009110F1"/>
    <w:rsid w:val="00911C00"/>
    <w:rsid w:val="00911D10"/>
    <w:rsid w:val="00912554"/>
    <w:rsid w:val="00915055"/>
    <w:rsid w:val="00915AD1"/>
    <w:rsid w:val="00915EA3"/>
    <w:rsid w:val="009176FE"/>
    <w:rsid w:val="00920695"/>
    <w:rsid w:val="009208F8"/>
    <w:rsid w:val="00920D98"/>
    <w:rsid w:val="009240FF"/>
    <w:rsid w:val="009256F3"/>
    <w:rsid w:val="00926651"/>
    <w:rsid w:val="00926B98"/>
    <w:rsid w:val="00931271"/>
    <w:rsid w:val="00932839"/>
    <w:rsid w:val="00933AE3"/>
    <w:rsid w:val="00935448"/>
    <w:rsid w:val="00940033"/>
    <w:rsid w:val="00940C3B"/>
    <w:rsid w:val="009413D5"/>
    <w:rsid w:val="00942851"/>
    <w:rsid w:val="009442DA"/>
    <w:rsid w:val="00944869"/>
    <w:rsid w:val="00946773"/>
    <w:rsid w:val="009502C5"/>
    <w:rsid w:val="00950949"/>
    <w:rsid w:val="00950D07"/>
    <w:rsid w:val="00952228"/>
    <w:rsid w:val="0095246E"/>
    <w:rsid w:val="00956386"/>
    <w:rsid w:val="0095640A"/>
    <w:rsid w:val="009575E2"/>
    <w:rsid w:val="00960B13"/>
    <w:rsid w:val="00960B6A"/>
    <w:rsid w:val="0096213D"/>
    <w:rsid w:val="00963591"/>
    <w:rsid w:val="00963B9C"/>
    <w:rsid w:val="0096472F"/>
    <w:rsid w:val="009654A6"/>
    <w:rsid w:val="00966377"/>
    <w:rsid w:val="00967F2C"/>
    <w:rsid w:val="00967F5E"/>
    <w:rsid w:val="0097267E"/>
    <w:rsid w:val="00976852"/>
    <w:rsid w:val="009819AF"/>
    <w:rsid w:val="009846EF"/>
    <w:rsid w:val="0098625F"/>
    <w:rsid w:val="00987639"/>
    <w:rsid w:val="00987712"/>
    <w:rsid w:val="00991172"/>
    <w:rsid w:val="009914AB"/>
    <w:rsid w:val="009940BF"/>
    <w:rsid w:val="009943FC"/>
    <w:rsid w:val="0099798E"/>
    <w:rsid w:val="009A12CD"/>
    <w:rsid w:val="009A2F0B"/>
    <w:rsid w:val="009A4433"/>
    <w:rsid w:val="009A4E1F"/>
    <w:rsid w:val="009A4F92"/>
    <w:rsid w:val="009A5AF7"/>
    <w:rsid w:val="009A718D"/>
    <w:rsid w:val="009B01CD"/>
    <w:rsid w:val="009B1867"/>
    <w:rsid w:val="009B31FD"/>
    <w:rsid w:val="009B4726"/>
    <w:rsid w:val="009B5086"/>
    <w:rsid w:val="009B7D36"/>
    <w:rsid w:val="009C5398"/>
    <w:rsid w:val="009C65D9"/>
    <w:rsid w:val="009C6A2D"/>
    <w:rsid w:val="009C78A3"/>
    <w:rsid w:val="009D021E"/>
    <w:rsid w:val="009D11C8"/>
    <w:rsid w:val="009D2F71"/>
    <w:rsid w:val="009D49DE"/>
    <w:rsid w:val="009D4B63"/>
    <w:rsid w:val="009D7B59"/>
    <w:rsid w:val="009E0495"/>
    <w:rsid w:val="009E0BD5"/>
    <w:rsid w:val="009E2227"/>
    <w:rsid w:val="009E26A2"/>
    <w:rsid w:val="009E5A2F"/>
    <w:rsid w:val="009E743E"/>
    <w:rsid w:val="009F344D"/>
    <w:rsid w:val="009F41AF"/>
    <w:rsid w:val="009F4807"/>
    <w:rsid w:val="009F57CC"/>
    <w:rsid w:val="009F7BA9"/>
    <w:rsid w:val="00A01B11"/>
    <w:rsid w:val="00A04B06"/>
    <w:rsid w:val="00A04E46"/>
    <w:rsid w:val="00A077F1"/>
    <w:rsid w:val="00A135EB"/>
    <w:rsid w:val="00A1405F"/>
    <w:rsid w:val="00A14930"/>
    <w:rsid w:val="00A16B30"/>
    <w:rsid w:val="00A2226F"/>
    <w:rsid w:val="00A223E5"/>
    <w:rsid w:val="00A22AD2"/>
    <w:rsid w:val="00A236FE"/>
    <w:rsid w:val="00A23A44"/>
    <w:rsid w:val="00A24A38"/>
    <w:rsid w:val="00A24A4E"/>
    <w:rsid w:val="00A27CB1"/>
    <w:rsid w:val="00A34E30"/>
    <w:rsid w:val="00A35A37"/>
    <w:rsid w:val="00A35C9E"/>
    <w:rsid w:val="00A35F4C"/>
    <w:rsid w:val="00A41D76"/>
    <w:rsid w:val="00A4349D"/>
    <w:rsid w:val="00A47AAA"/>
    <w:rsid w:val="00A50666"/>
    <w:rsid w:val="00A52B14"/>
    <w:rsid w:val="00A53951"/>
    <w:rsid w:val="00A53F01"/>
    <w:rsid w:val="00A54DEA"/>
    <w:rsid w:val="00A54EBC"/>
    <w:rsid w:val="00A55AD4"/>
    <w:rsid w:val="00A56048"/>
    <w:rsid w:val="00A56365"/>
    <w:rsid w:val="00A62C89"/>
    <w:rsid w:val="00A6329D"/>
    <w:rsid w:val="00A646E3"/>
    <w:rsid w:val="00A656D5"/>
    <w:rsid w:val="00A660D6"/>
    <w:rsid w:val="00A67395"/>
    <w:rsid w:val="00A70F59"/>
    <w:rsid w:val="00A72F78"/>
    <w:rsid w:val="00A73B97"/>
    <w:rsid w:val="00A74888"/>
    <w:rsid w:val="00A76488"/>
    <w:rsid w:val="00A767FF"/>
    <w:rsid w:val="00A773C4"/>
    <w:rsid w:val="00A775A5"/>
    <w:rsid w:val="00A83B31"/>
    <w:rsid w:val="00A83D03"/>
    <w:rsid w:val="00A8434F"/>
    <w:rsid w:val="00A905E6"/>
    <w:rsid w:val="00A938D4"/>
    <w:rsid w:val="00A94A81"/>
    <w:rsid w:val="00AA02A9"/>
    <w:rsid w:val="00AA12D8"/>
    <w:rsid w:val="00AA18D2"/>
    <w:rsid w:val="00AA2C90"/>
    <w:rsid w:val="00AA38C8"/>
    <w:rsid w:val="00AA5C7D"/>
    <w:rsid w:val="00AA6503"/>
    <w:rsid w:val="00AA6B36"/>
    <w:rsid w:val="00AA6DE2"/>
    <w:rsid w:val="00AB2895"/>
    <w:rsid w:val="00AB30C1"/>
    <w:rsid w:val="00AB7637"/>
    <w:rsid w:val="00AC02D0"/>
    <w:rsid w:val="00AC1484"/>
    <w:rsid w:val="00AC3064"/>
    <w:rsid w:val="00AC363A"/>
    <w:rsid w:val="00AC36EB"/>
    <w:rsid w:val="00AC39E4"/>
    <w:rsid w:val="00AC47FC"/>
    <w:rsid w:val="00AC6DBB"/>
    <w:rsid w:val="00AC7DE2"/>
    <w:rsid w:val="00AD0047"/>
    <w:rsid w:val="00AD09CE"/>
    <w:rsid w:val="00AD0B63"/>
    <w:rsid w:val="00AD20B8"/>
    <w:rsid w:val="00AD4061"/>
    <w:rsid w:val="00AD4CD0"/>
    <w:rsid w:val="00AD52D2"/>
    <w:rsid w:val="00AD6A12"/>
    <w:rsid w:val="00AE7740"/>
    <w:rsid w:val="00AF1BE7"/>
    <w:rsid w:val="00AF29E3"/>
    <w:rsid w:val="00AF6498"/>
    <w:rsid w:val="00AF6645"/>
    <w:rsid w:val="00AF6ABB"/>
    <w:rsid w:val="00B008F5"/>
    <w:rsid w:val="00B00C7B"/>
    <w:rsid w:val="00B00EB5"/>
    <w:rsid w:val="00B014ED"/>
    <w:rsid w:val="00B04317"/>
    <w:rsid w:val="00B04504"/>
    <w:rsid w:val="00B04ADA"/>
    <w:rsid w:val="00B11789"/>
    <w:rsid w:val="00B1231F"/>
    <w:rsid w:val="00B13801"/>
    <w:rsid w:val="00B1455B"/>
    <w:rsid w:val="00B17EC5"/>
    <w:rsid w:val="00B220CC"/>
    <w:rsid w:val="00B23C02"/>
    <w:rsid w:val="00B25138"/>
    <w:rsid w:val="00B257C7"/>
    <w:rsid w:val="00B30479"/>
    <w:rsid w:val="00B32FDD"/>
    <w:rsid w:val="00B335AC"/>
    <w:rsid w:val="00B336B9"/>
    <w:rsid w:val="00B351E1"/>
    <w:rsid w:val="00B409BB"/>
    <w:rsid w:val="00B40C2C"/>
    <w:rsid w:val="00B414A8"/>
    <w:rsid w:val="00B419A8"/>
    <w:rsid w:val="00B436B8"/>
    <w:rsid w:val="00B43D03"/>
    <w:rsid w:val="00B450EE"/>
    <w:rsid w:val="00B45BD3"/>
    <w:rsid w:val="00B4622C"/>
    <w:rsid w:val="00B47482"/>
    <w:rsid w:val="00B4777F"/>
    <w:rsid w:val="00B47C35"/>
    <w:rsid w:val="00B539F6"/>
    <w:rsid w:val="00B62CE5"/>
    <w:rsid w:val="00B62FB7"/>
    <w:rsid w:val="00B654A7"/>
    <w:rsid w:val="00B71C8A"/>
    <w:rsid w:val="00B76719"/>
    <w:rsid w:val="00B77A33"/>
    <w:rsid w:val="00B77C38"/>
    <w:rsid w:val="00B81096"/>
    <w:rsid w:val="00B82465"/>
    <w:rsid w:val="00B83DC6"/>
    <w:rsid w:val="00B84E96"/>
    <w:rsid w:val="00B86773"/>
    <w:rsid w:val="00B86B8F"/>
    <w:rsid w:val="00B9175F"/>
    <w:rsid w:val="00B93207"/>
    <w:rsid w:val="00B94A46"/>
    <w:rsid w:val="00BA343A"/>
    <w:rsid w:val="00BA5E4D"/>
    <w:rsid w:val="00BB13E9"/>
    <w:rsid w:val="00BB16E9"/>
    <w:rsid w:val="00BB25B4"/>
    <w:rsid w:val="00BB28F6"/>
    <w:rsid w:val="00BB4C99"/>
    <w:rsid w:val="00BB6AD5"/>
    <w:rsid w:val="00BB7C8A"/>
    <w:rsid w:val="00BB7D2E"/>
    <w:rsid w:val="00BC30B6"/>
    <w:rsid w:val="00BC5EA6"/>
    <w:rsid w:val="00BC6CAF"/>
    <w:rsid w:val="00BC7226"/>
    <w:rsid w:val="00BC775F"/>
    <w:rsid w:val="00BD09C6"/>
    <w:rsid w:val="00BE0CFC"/>
    <w:rsid w:val="00BF0169"/>
    <w:rsid w:val="00BF0CE6"/>
    <w:rsid w:val="00BF1713"/>
    <w:rsid w:val="00BF4894"/>
    <w:rsid w:val="00BF4F3E"/>
    <w:rsid w:val="00BF68DB"/>
    <w:rsid w:val="00BF6976"/>
    <w:rsid w:val="00BF6E82"/>
    <w:rsid w:val="00BF7077"/>
    <w:rsid w:val="00BF708E"/>
    <w:rsid w:val="00C000F8"/>
    <w:rsid w:val="00C01D50"/>
    <w:rsid w:val="00C059CB"/>
    <w:rsid w:val="00C05D2F"/>
    <w:rsid w:val="00C060F7"/>
    <w:rsid w:val="00C06C1B"/>
    <w:rsid w:val="00C115EE"/>
    <w:rsid w:val="00C12EBB"/>
    <w:rsid w:val="00C13F5E"/>
    <w:rsid w:val="00C14E6A"/>
    <w:rsid w:val="00C14ED5"/>
    <w:rsid w:val="00C15741"/>
    <w:rsid w:val="00C16710"/>
    <w:rsid w:val="00C168BA"/>
    <w:rsid w:val="00C22C53"/>
    <w:rsid w:val="00C242A7"/>
    <w:rsid w:val="00C24322"/>
    <w:rsid w:val="00C260D5"/>
    <w:rsid w:val="00C2690F"/>
    <w:rsid w:val="00C27685"/>
    <w:rsid w:val="00C30A97"/>
    <w:rsid w:val="00C31266"/>
    <w:rsid w:val="00C31E60"/>
    <w:rsid w:val="00C32DB2"/>
    <w:rsid w:val="00C330EC"/>
    <w:rsid w:val="00C347F4"/>
    <w:rsid w:val="00C352AD"/>
    <w:rsid w:val="00C40251"/>
    <w:rsid w:val="00C408DB"/>
    <w:rsid w:val="00C40C3A"/>
    <w:rsid w:val="00C41AD0"/>
    <w:rsid w:val="00C42566"/>
    <w:rsid w:val="00C42BA4"/>
    <w:rsid w:val="00C42C1A"/>
    <w:rsid w:val="00C44A77"/>
    <w:rsid w:val="00C45579"/>
    <w:rsid w:val="00C46578"/>
    <w:rsid w:val="00C46D75"/>
    <w:rsid w:val="00C4700A"/>
    <w:rsid w:val="00C471A5"/>
    <w:rsid w:val="00C47AC8"/>
    <w:rsid w:val="00C47B66"/>
    <w:rsid w:val="00C51EAA"/>
    <w:rsid w:val="00C615E4"/>
    <w:rsid w:val="00C625C8"/>
    <w:rsid w:val="00C65E28"/>
    <w:rsid w:val="00C65FA4"/>
    <w:rsid w:val="00C667F9"/>
    <w:rsid w:val="00C67D9E"/>
    <w:rsid w:val="00C716F7"/>
    <w:rsid w:val="00C73199"/>
    <w:rsid w:val="00C73E35"/>
    <w:rsid w:val="00C74599"/>
    <w:rsid w:val="00C7622B"/>
    <w:rsid w:val="00C76848"/>
    <w:rsid w:val="00C82694"/>
    <w:rsid w:val="00C830C7"/>
    <w:rsid w:val="00C8329B"/>
    <w:rsid w:val="00C834D3"/>
    <w:rsid w:val="00C8359A"/>
    <w:rsid w:val="00C843AA"/>
    <w:rsid w:val="00C8502C"/>
    <w:rsid w:val="00C85C0D"/>
    <w:rsid w:val="00C85E2F"/>
    <w:rsid w:val="00C86002"/>
    <w:rsid w:val="00C908D5"/>
    <w:rsid w:val="00C918C4"/>
    <w:rsid w:val="00C94A10"/>
    <w:rsid w:val="00C976CB"/>
    <w:rsid w:val="00CA0260"/>
    <w:rsid w:val="00CA6B7E"/>
    <w:rsid w:val="00CA737A"/>
    <w:rsid w:val="00CB1389"/>
    <w:rsid w:val="00CB195A"/>
    <w:rsid w:val="00CB24B6"/>
    <w:rsid w:val="00CB4254"/>
    <w:rsid w:val="00CB4E24"/>
    <w:rsid w:val="00CB50AD"/>
    <w:rsid w:val="00CB6886"/>
    <w:rsid w:val="00CB7FA0"/>
    <w:rsid w:val="00CC152C"/>
    <w:rsid w:val="00CC1BE7"/>
    <w:rsid w:val="00CC1D4C"/>
    <w:rsid w:val="00CC22B6"/>
    <w:rsid w:val="00CC4EE4"/>
    <w:rsid w:val="00CC5D1F"/>
    <w:rsid w:val="00CC7BA5"/>
    <w:rsid w:val="00CD122B"/>
    <w:rsid w:val="00CD1A23"/>
    <w:rsid w:val="00CD7D2A"/>
    <w:rsid w:val="00CE3C3E"/>
    <w:rsid w:val="00CE7ECD"/>
    <w:rsid w:val="00CF4335"/>
    <w:rsid w:val="00CF4338"/>
    <w:rsid w:val="00CF5791"/>
    <w:rsid w:val="00CF5D37"/>
    <w:rsid w:val="00CF70B7"/>
    <w:rsid w:val="00D0238D"/>
    <w:rsid w:val="00D02E6F"/>
    <w:rsid w:val="00D073CD"/>
    <w:rsid w:val="00D073F1"/>
    <w:rsid w:val="00D11F74"/>
    <w:rsid w:val="00D12992"/>
    <w:rsid w:val="00D12ADF"/>
    <w:rsid w:val="00D140EA"/>
    <w:rsid w:val="00D179AF"/>
    <w:rsid w:val="00D2262A"/>
    <w:rsid w:val="00D2426E"/>
    <w:rsid w:val="00D24718"/>
    <w:rsid w:val="00D24ED3"/>
    <w:rsid w:val="00D310D4"/>
    <w:rsid w:val="00D34F21"/>
    <w:rsid w:val="00D35276"/>
    <w:rsid w:val="00D40EA4"/>
    <w:rsid w:val="00D41D47"/>
    <w:rsid w:val="00D44BF0"/>
    <w:rsid w:val="00D45A1C"/>
    <w:rsid w:val="00D46E35"/>
    <w:rsid w:val="00D51AF5"/>
    <w:rsid w:val="00D53A4D"/>
    <w:rsid w:val="00D53D32"/>
    <w:rsid w:val="00D55AFB"/>
    <w:rsid w:val="00D563B3"/>
    <w:rsid w:val="00D563D0"/>
    <w:rsid w:val="00D5760D"/>
    <w:rsid w:val="00D61FCC"/>
    <w:rsid w:val="00D62E22"/>
    <w:rsid w:val="00D636F4"/>
    <w:rsid w:val="00D7055C"/>
    <w:rsid w:val="00D712E6"/>
    <w:rsid w:val="00D7150E"/>
    <w:rsid w:val="00D71F88"/>
    <w:rsid w:val="00D71FE8"/>
    <w:rsid w:val="00D810B0"/>
    <w:rsid w:val="00D828DF"/>
    <w:rsid w:val="00D844C6"/>
    <w:rsid w:val="00D84688"/>
    <w:rsid w:val="00D84CF4"/>
    <w:rsid w:val="00D84ED8"/>
    <w:rsid w:val="00D860AA"/>
    <w:rsid w:val="00D862B7"/>
    <w:rsid w:val="00D86D87"/>
    <w:rsid w:val="00D875DC"/>
    <w:rsid w:val="00D9047E"/>
    <w:rsid w:val="00D934F2"/>
    <w:rsid w:val="00D94681"/>
    <w:rsid w:val="00D955D8"/>
    <w:rsid w:val="00D97C07"/>
    <w:rsid w:val="00DA043B"/>
    <w:rsid w:val="00DA2012"/>
    <w:rsid w:val="00DA2622"/>
    <w:rsid w:val="00DA2639"/>
    <w:rsid w:val="00DA2B41"/>
    <w:rsid w:val="00DA6A0C"/>
    <w:rsid w:val="00DA71FF"/>
    <w:rsid w:val="00DB023A"/>
    <w:rsid w:val="00DB068E"/>
    <w:rsid w:val="00DB2DAA"/>
    <w:rsid w:val="00DB381D"/>
    <w:rsid w:val="00DB3CCB"/>
    <w:rsid w:val="00DB5986"/>
    <w:rsid w:val="00DB65BF"/>
    <w:rsid w:val="00DC35BB"/>
    <w:rsid w:val="00DC5F8E"/>
    <w:rsid w:val="00DC624F"/>
    <w:rsid w:val="00DC6FA2"/>
    <w:rsid w:val="00DD07D7"/>
    <w:rsid w:val="00DD0C2F"/>
    <w:rsid w:val="00DD156B"/>
    <w:rsid w:val="00DD2278"/>
    <w:rsid w:val="00DD7034"/>
    <w:rsid w:val="00DE1918"/>
    <w:rsid w:val="00DE2709"/>
    <w:rsid w:val="00DE2795"/>
    <w:rsid w:val="00DE2CCB"/>
    <w:rsid w:val="00DE2D7B"/>
    <w:rsid w:val="00DE56FF"/>
    <w:rsid w:val="00DE7DE8"/>
    <w:rsid w:val="00DE7DEB"/>
    <w:rsid w:val="00DF0381"/>
    <w:rsid w:val="00DF03C2"/>
    <w:rsid w:val="00DF0BCE"/>
    <w:rsid w:val="00DF106F"/>
    <w:rsid w:val="00DF1919"/>
    <w:rsid w:val="00DF319B"/>
    <w:rsid w:val="00DF3ACA"/>
    <w:rsid w:val="00DF4951"/>
    <w:rsid w:val="00DF4AD6"/>
    <w:rsid w:val="00DF7756"/>
    <w:rsid w:val="00DF7B0D"/>
    <w:rsid w:val="00E001A3"/>
    <w:rsid w:val="00E01ECF"/>
    <w:rsid w:val="00E0206D"/>
    <w:rsid w:val="00E05918"/>
    <w:rsid w:val="00E0740C"/>
    <w:rsid w:val="00E1140A"/>
    <w:rsid w:val="00E136B2"/>
    <w:rsid w:val="00E16014"/>
    <w:rsid w:val="00E2077C"/>
    <w:rsid w:val="00E2378D"/>
    <w:rsid w:val="00E23C66"/>
    <w:rsid w:val="00E23F2C"/>
    <w:rsid w:val="00E24BAE"/>
    <w:rsid w:val="00E263FF"/>
    <w:rsid w:val="00E26AFF"/>
    <w:rsid w:val="00E3316C"/>
    <w:rsid w:val="00E33B3E"/>
    <w:rsid w:val="00E35F5F"/>
    <w:rsid w:val="00E36299"/>
    <w:rsid w:val="00E401F1"/>
    <w:rsid w:val="00E40603"/>
    <w:rsid w:val="00E406C0"/>
    <w:rsid w:val="00E433CA"/>
    <w:rsid w:val="00E47040"/>
    <w:rsid w:val="00E500D3"/>
    <w:rsid w:val="00E50605"/>
    <w:rsid w:val="00E50845"/>
    <w:rsid w:val="00E520D1"/>
    <w:rsid w:val="00E527F3"/>
    <w:rsid w:val="00E56F03"/>
    <w:rsid w:val="00E57231"/>
    <w:rsid w:val="00E62622"/>
    <w:rsid w:val="00E62E9C"/>
    <w:rsid w:val="00E64D27"/>
    <w:rsid w:val="00E64E94"/>
    <w:rsid w:val="00E653FD"/>
    <w:rsid w:val="00E67307"/>
    <w:rsid w:val="00E70893"/>
    <w:rsid w:val="00E71FAA"/>
    <w:rsid w:val="00E74CF1"/>
    <w:rsid w:val="00E80A0B"/>
    <w:rsid w:val="00E84866"/>
    <w:rsid w:val="00E86108"/>
    <w:rsid w:val="00E8723A"/>
    <w:rsid w:val="00E87D7D"/>
    <w:rsid w:val="00E91807"/>
    <w:rsid w:val="00E91B21"/>
    <w:rsid w:val="00E91C3F"/>
    <w:rsid w:val="00E93DCF"/>
    <w:rsid w:val="00E9586C"/>
    <w:rsid w:val="00E95B3E"/>
    <w:rsid w:val="00E96076"/>
    <w:rsid w:val="00E96912"/>
    <w:rsid w:val="00E9697D"/>
    <w:rsid w:val="00EA071F"/>
    <w:rsid w:val="00EA0B94"/>
    <w:rsid w:val="00EA1B46"/>
    <w:rsid w:val="00EA2AAA"/>
    <w:rsid w:val="00EA361A"/>
    <w:rsid w:val="00EA433B"/>
    <w:rsid w:val="00EA48C4"/>
    <w:rsid w:val="00EA4910"/>
    <w:rsid w:val="00EA6904"/>
    <w:rsid w:val="00EA70B6"/>
    <w:rsid w:val="00EB210E"/>
    <w:rsid w:val="00EB293F"/>
    <w:rsid w:val="00EB33D4"/>
    <w:rsid w:val="00EB4C40"/>
    <w:rsid w:val="00EB59BF"/>
    <w:rsid w:val="00EC3034"/>
    <w:rsid w:val="00EC51CB"/>
    <w:rsid w:val="00EC6EE8"/>
    <w:rsid w:val="00ED10C9"/>
    <w:rsid w:val="00ED1844"/>
    <w:rsid w:val="00ED4FFC"/>
    <w:rsid w:val="00ED60DF"/>
    <w:rsid w:val="00EE070F"/>
    <w:rsid w:val="00EE108F"/>
    <w:rsid w:val="00EE2FDA"/>
    <w:rsid w:val="00EE3185"/>
    <w:rsid w:val="00EE3E2F"/>
    <w:rsid w:val="00EE463E"/>
    <w:rsid w:val="00EE5E76"/>
    <w:rsid w:val="00EE6DE0"/>
    <w:rsid w:val="00EF266A"/>
    <w:rsid w:val="00EF314D"/>
    <w:rsid w:val="00EF4979"/>
    <w:rsid w:val="00EF5E07"/>
    <w:rsid w:val="00F000EA"/>
    <w:rsid w:val="00F002D6"/>
    <w:rsid w:val="00F0197D"/>
    <w:rsid w:val="00F022F1"/>
    <w:rsid w:val="00F0755B"/>
    <w:rsid w:val="00F10517"/>
    <w:rsid w:val="00F10BCA"/>
    <w:rsid w:val="00F11CA9"/>
    <w:rsid w:val="00F1752C"/>
    <w:rsid w:val="00F20301"/>
    <w:rsid w:val="00F2043A"/>
    <w:rsid w:val="00F20ACD"/>
    <w:rsid w:val="00F20BAC"/>
    <w:rsid w:val="00F2461E"/>
    <w:rsid w:val="00F26AB0"/>
    <w:rsid w:val="00F31498"/>
    <w:rsid w:val="00F32634"/>
    <w:rsid w:val="00F33A28"/>
    <w:rsid w:val="00F343FF"/>
    <w:rsid w:val="00F34AFF"/>
    <w:rsid w:val="00F352BD"/>
    <w:rsid w:val="00F3556E"/>
    <w:rsid w:val="00F3622E"/>
    <w:rsid w:val="00F36A57"/>
    <w:rsid w:val="00F37E08"/>
    <w:rsid w:val="00F40F3B"/>
    <w:rsid w:val="00F430C5"/>
    <w:rsid w:val="00F46DEC"/>
    <w:rsid w:val="00F46F03"/>
    <w:rsid w:val="00F4746C"/>
    <w:rsid w:val="00F50534"/>
    <w:rsid w:val="00F51367"/>
    <w:rsid w:val="00F52B45"/>
    <w:rsid w:val="00F53032"/>
    <w:rsid w:val="00F5515E"/>
    <w:rsid w:val="00F567CC"/>
    <w:rsid w:val="00F60A6A"/>
    <w:rsid w:val="00F661AD"/>
    <w:rsid w:val="00F66E0D"/>
    <w:rsid w:val="00F6774F"/>
    <w:rsid w:val="00F70A6F"/>
    <w:rsid w:val="00F720A1"/>
    <w:rsid w:val="00F72D93"/>
    <w:rsid w:val="00F73292"/>
    <w:rsid w:val="00F73993"/>
    <w:rsid w:val="00F73D5E"/>
    <w:rsid w:val="00F74120"/>
    <w:rsid w:val="00F752F6"/>
    <w:rsid w:val="00F77639"/>
    <w:rsid w:val="00F83535"/>
    <w:rsid w:val="00F8382A"/>
    <w:rsid w:val="00F96011"/>
    <w:rsid w:val="00F96173"/>
    <w:rsid w:val="00F96FBD"/>
    <w:rsid w:val="00FA0E5B"/>
    <w:rsid w:val="00FA12FA"/>
    <w:rsid w:val="00FA1363"/>
    <w:rsid w:val="00FA16EF"/>
    <w:rsid w:val="00FA3442"/>
    <w:rsid w:val="00FA375B"/>
    <w:rsid w:val="00FA3F5C"/>
    <w:rsid w:val="00FA4161"/>
    <w:rsid w:val="00FA46DB"/>
    <w:rsid w:val="00FA5456"/>
    <w:rsid w:val="00FA572C"/>
    <w:rsid w:val="00FA77E9"/>
    <w:rsid w:val="00FB2076"/>
    <w:rsid w:val="00FB2A1D"/>
    <w:rsid w:val="00FB2A38"/>
    <w:rsid w:val="00FB425E"/>
    <w:rsid w:val="00FB6561"/>
    <w:rsid w:val="00FB7E82"/>
    <w:rsid w:val="00FC00AF"/>
    <w:rsid w:val="00FC1548"/>
    <w:rsid w:val="00FC414D"/>
    <w:rsid w:val="00FC671D"/>
    <w:rsid w:val="00FC6986"/>
    <w:rsid w:val="00FD02B9"/>
    <w:rsid w:val="00FD0AA3"/>
    <w:rsid w:val="00FD0AD5"/>
    <w:rsid w:val="00FD458E"/>
    <w:rsid w:val="00FD7752"/>
    <w:rsid w:val="00FD7854"/>
    <w:rsid w:val="00FD7E42"/>
    <w:rsid w:val="00FE047C"/>
    <w:rsid w:val="00FE0514"/>
    <w:rsid w:val="00FE121E"/>
    <w:rsid w:val="00FE1E08"/>
    <w:rsid w:val="00FE1F05"/>
    <w:rsid w:val="00FE2B54"/>
    <w:rsid w:val="00FE562E"/>
    <w:rsid w:val="00FE57AF"/>
    <w:rsid w:val="00FE77B0"/>
    <w:rsid w:val="00FE7BA8"/>
    <w:rsid w:val="00FF040F"/>
    <w:rsid w:val="00FF38A0"/>
    <w:rsid w:val="00FF3C26"/>
    <w:rsid w:val="00FF3DF6"/>
    <w:rsid w:val="00FF4DC9"/>
    <w:rsid w:val="00FF6805"/>
    <w:rsid w:val="00FF69A1"/>
    <w:rsid w:val="00FF7E43"/>
    <w:rsid w:val="01205D5C"/>
    <w:rsid w:val="01415CD2"/>
    <w:rsid w:val="01505F15"/>
    <w:rsid w:val="02EA7A66"/>
    <w:rsid w:val="037951CD"/>
    <w:rsid w:val="0389653D"/>
    <w:rsid w:val="03F2193E"/>
    <w:rsid w:val="053B64EA"/>
    <w:rsid w:val="070D5F06"/>
    <w:rsid w:val="09507B23"/>
    <w:rsid w:val="0A5756E7"/>
    <w:rsid w:val="0BD844C5"/>
    <w:rsid w:val="0CC421BA"/>
    <w:rsid w:val="0E0C261E"/>
    <w:rsid w:val="1095527C"/>
    <w:rsid w:val="12B35596"/>
    <w:rsid w:val="137361BF"/>
    <w:rsid w:val="13965DC8"/>
    <w:rsid w:val="143822EE"/>
    <w:rsid w:val="154F4A0A"/>
    <w:rsid w:val="15645E92"/>
    <w:rsid w:val="15EC0138"/>
    <w:rsid w:val="162C66EE"/>
    <w:rsid w:val="18160711"/>
    <w:rsid w:val="190F4842"/>
    <w:rsid w:val="1AC62326"/>
    <w:rsid w:val="1AC86718"/>
    <w:rsid w:val="1B4967F4"/>
    <w:rsid w:val="1BE34DD0"/>
    <w:rsid w:val="1F2A6A4F"/>
    <w:rsid w:val="1F346912"/>
    <w:rsid w:val="20621A95"/>
    <w:rsid w:val="21320F37"/>
    <w:rsid w:val="224174CD"/>
    <w:rsid w:val="2259286B"/>
    <w:rsid w:val="22850D82"/>
    <w:rsid w:val="22AA59A6"/>
    <w:rsid w:val="22EC17AD"/>
    <w:rsid w:val="236905D1"/>
    <w:rsid w:val="23F47009"/>
    <w:rsid w:val="24E31279"/>
    <w:rsid w:val="25E97098"/>
    <w:rsid w:val="279F584C"/>
    <w:rsid w:val="2AF9507D"/>
    <w:rsid w:val="2CE36EF1"/>
    <w:rsid w:val="2D265F3D"/>
    <w:rsid w:val="2D604046"/>
    <w:rsid w:val="2E0E22F1"/>
    <w:rsid w:val="2EB532C1"/>
    <w:rsid w:val="2F160640"/>
    <w:rsid w:val="31DE13BF"/>
    <w:rsid w:val="320C094E"/>
    <w:rsid w:val="321C5393"/>
    <w:rsid w:val="326D2E6A"/>
    <w:rsid w:val="33AC3906"/>
    <w:rsid w:val="34607C42"/>
    <w:rsid w:val="35416337"/>
    <w:rsid w:val="36065824"/>
    <w:rsid w:val="36382619"/>
    <w:rsid w:val="37B344BA"/>
    <w:rsid w:val="37D50490"/>
    <w:rsid w:val="3AC80191"/>
    <w:rsid w:val="3BE870CB"/>
    <w:rsid w:val="3D6A2266"/>
    <w:rsid w:val="3F922A70"/>
    <w:rsid w:val="3FD241D4"/>
    <w:rsid w:val="41621B6F"/>
    <w:rsid w:val="42B81C21"/>
    <w:rsid w:val="42EA5260"/>
    <w:rsid w:val="44755B60"/>
    <w:rsid w:val="46E31C59"/>
    <w:rsid w:val="48026DAD"/>
    <w:rsid w:val="49764214"/>
    <w:rsid w:val="4A2D4613"/>
    <w:rsid w:val="4A48203A"/>
    <w:rsid w:val="4A5D0B1D"/>
    <w:rsid w:val="4AD652B4"/>
    <w:rsid w:val="4BD31C72"/>
    <w:rsid w:val="4CEC4E99"/>
    <w:rsid w:val="4F106A46"/>
    <w:rsid w:val="4F7F35E3"/>
    <w:rsid w:val="51FB1D9D"/>
    <w:rsid w:val="53336ECF"/>
    <w:rsid w:val="558C2DF7"/>
    <w:rsid w:val="56147781"/>
    <w:rsid w:val="58613472"/>
    <w:rsid w:val="591D19ED"/>
    <w:rsid w:val="5AD22196"/>
    <w:rsid w:val="5C386859"/>
    <w:rsid w:val="5C976E5D"/>
    <w:rsid w:val="5DB97768"/>
    <w:rsid w:val="5E36363E"/>
    <w:rsid w:val="5ED13367"/>
    <w:rsid w:val="5F934C71"/>
    <w:rsid w:val="5FCF4898"/>
    <w:rsid w:val="60AA4C6F"/>
    <w:rsid w:val="60C3442A"/>
    <w:rsid w:val="60D515C9"/>
    <w:rsid w:val="60EC6DF7"/>
    <w:rsid w:val="6240065E"/>
    <w:rsid w:val="6247521F"/>
    <w:rsid w:val="643A3C0F"/>
    <w:rsid w:val="665A2FB6"/>
    <w:rsid w:val="669C5025"/>
    <w:rsid w:val="68167521"/>
    <w:rsid w:val="69801FB6"/>
    <w:rsid w:val="69A411AA"/>
    <w:rsid w:val="69F64EA2"/>
    <w:rsid w:val="6A7103B0"/>
    <w:rsid w:val="6AF01018"/>
    <w:rsid w:val="6AFC2711"/>
    <w:rsid w:val="6B1C0C02"/>
    <w:rsid w:val="6CFA3A93"/>
    <w:rsid w:val="6D1038D1"/>
    <w:rsid w:val="6E706020"/>
    <w:rsid w:val="6EF338D5"/>
    <w:rsid w:val="72102658"/>
    <w:rsid w:val="72113B6D"/>
    <w:rsid w:val="72215CE8"/>
    <w:rsid w:val="734D1E9F"/>
    <w:rsid w:val="73F04BBD"/>
    <w:rsid w:val="77B962DD"/>
    <w:rsid w:val="78566B1A"/>
    <w:rsid w:val="79CB0AE8"/>
    <w:rsid w:val="79D75686"/>
    <w:rsid w:val="7A1A064C"/>
    <w:rsid w:val="7A1C1652"/>
    <w:rsid w:val="7BF32349"/>
    <w:rsid w:val="7D8A60E2"/>
    <w:rsid w:val="7DA94A5D"/>
    <w:rsid w:val="7DC56212"/>
    <w:rsid w:val="7E2D2AC6"/>
    <w:rsid w:val="7E943CAE"/>
    <w:rsid w:val="7FE962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autoRedefine/>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27"/>
    <w:autoRedefine/>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autoRedefine/>
    <w:qFormat/>
    <w:uiPriority w:val="22"/>
    <w:rPr>
      <w:b/>
      <w:bCs/>
    </w:rPr>
  </w:style>
  <w:style w:type="character" w:styleId="10">
    <w:name w:val="Emphasis"/>
    <w:basedOn w:val="8"/>
    <w:autoRedefine/>
    <w:qFormat/>
    <w:uiPriority w:val="20"/>
    <w:rPr>
      <w:i/>
      <w:iCs/>
    </w:rPr>
  </w:style>
  <w:style w:type="character" w:styleId="11">
    <w:name w:val="Hyperlink"/>
    <w:qFormat/>
    <w:uiPriority w:val="0"/>
    <w:rPr>
      <w:color w:val="0000FF"/>
      <w:u w:val="single"/>
    </w:rPr>
  </w:style>
  <w:style w:type="character" w:styleId="12">
    <w:name w:val="annotation reference"/>
    <w:basedOn w:val="8"/>
    <w:autoRedefine/>
    <w:qFormat/>
    <w:uiPriority w:val="99"/>
    <w:rPr>
      <w:sz w:val="16"/>
      <w:szCs w:val="16"/>
      <w:lang w:val="en-US" w:eastAsia="en-US" w:bidi="ar-SA"/>
    </w:rPr>
  </w:style>
  <w:style w:type="paragraph" w:customStyle="1" w:styleId="13">
    <w:name w:val="01. Title"/>
    <w:basedOn w:val="1"/>
    <w:next w:val="1"/>
    <w:autoRedefine/>
    <w:qFormat/>
    <w:uiPriority w:val="0"/>
    <w:pPr>
      <w:widowControl/>
      <w:jc w:val="left"/>
    </w:pPr>
    <w:rPr>
      <w:rFonts w:ascii="Arial" w:hAnsi="Arial"/>
      <w:b/>
      <w:spacing w:val="10"/>
      <w:kern w:val="32"/>
      <w:sz w:val="32"/>
      <w:lang w:eastAsia="en-US"/>
    </w:rPr>
  </w:style>
  <w:style w:type="character" w:customStyle="1" w:styleId="14">
    <w:name w:val="页眉 字符"/>
    <w:basedOn w:val="8"/>
    <w:link w:val="5"/>
    <w:autoRedefine/>
    <w:qFormat/>
    <w:uiPriority w:val="99"/>
    <w:rPr>
      <w:kern w:val="2"/>
      <w:sz w:val="18"/>
      <w:szCs w:val="18"/>
    </w:rPr>
  </w:style>
  <w:style w:type="character" w:customStyle="1" w:styleId="15">
    <w:name w:val="页脚 字符"/>
    <w:basedOn w:val="8"/>
    <w:link w:val="4"/>
    <w:autoRedefine/>
    <w:qFormat/>
    <w:uiPriority w:val="99"/>
    <w:rPr>
      <w:kern w:val="2"/>
      <w:sz w:val="18"/>
      <w:szCs w:val="18"/>
    </w:rPr>
  </w:style>
  <w:style w:type="character" w:customStyle="1" w:styleId="16">
    <w:name w:val="批注框文本 字符"/>
    <w:basedOn w:val="8"/>
    <w:link w:val="3"/>
    <w:autoRedefine/>
    <w:semiHidden/>
    <w:qFormat/>
    <w:uiPriority w:val="99"/>
    <w:rPr>
      <w:kern w:val="2"/>
      <w:sz w:val="18"/>
      <w:szCs w:val="18"/>
    </w:rPr>
  </w:style>
  <w:style w:type="character" w:customStyle="1" w:styleId="17">
    <w:name w:val="MTEquationSection"/>
    <w:basedOn w:val="8"/>
    <w:autoRedefine/>
    <w:qFormat/>
    <w:uiPriority w:val="0"/>
    <w:rPr>
      <w:rFonts w:ascii="Times New Roman" w:hAnsi="Times New Roman" w:cs="Times New Roman"/>
      <w:vanish/>
      <w:color w:val="FF0000"/>
    </w:rPr>
  </w:style>
  <w:style w:type="paragraph" w:customStyle="1" w:styleId="18">
    <w:name w:val="MTDisplayEquation"/>
    <w:basedOn w:val="1"/>
    <w:next w:val="1"/>
    <w:link w:val="19"/>
    <w:autoRedefine/>
    <w:qFormat/>
    <w:uiPriority w:val="0"/>
    <w:pPr>
      <w:tabs>
        <w:tab w:val="center" w:pos="4160"/>
        <w:tab w:val="right" w:pos="8300"/>
      </w:tabs>
      <w:spacing w:line="360" w:lineRule="auto"/>
    </w:pPr>
    <w:rPr>
      <w:rFonts w:ascii="Times New Roman" w:hAnsi="Times New Roman" w:cs="Times New Roman"/>
      <w:sz w:val="20"/>
      <w:szCs w:val="20"/>
    </w:rPr>
  </w:style>
  <w:style w:type="character" w:customStyle="1" w:styleId="19">
    <w:name w:val="MTDisplayEquation 字符"/>
    <w:basedOn w:val="8"/>
    <w:link w:val="18"/>
    <w:autoRedefine/>
    <w:qFormat/>
    <w:uiPriority w:val="0"/>
    <w:rPr>
      <w:rFonts w:ascii="Times New Roman" w:hAnsi="Times New Roman" w:cs="Times New Roman"/>
      <w:kern w:val="2"/>
    </w:rPr>
  </w:style>
  <w:style w:type="paragraph" w:customStyle="1" w:styleId="20">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1">
    <w:name w:val="References and notes"/>
    <w:basedOn w:val="1"/>
    <w:autoRedefine/>
    <w:qFormat/>
    <w:uiPriority w:val="0"/>
    <w:pPr>
      <w:widowControl/>
      <w:spacing w:before="120"/>
      <w:ind w:left="720" w:hanging="720"/>
      <w:jc w:val="left"/>
    </w:pPr>
    <w:rPr>
      <w:rFonts w:ascii="Times New Roman" w:hAnsi="Times New Roman" w:eastAsia="Times New Roman" w:cs="Times New Roman"/>
      <w:kern w:val="0"/>
      <w:sz w:val="24"/>
      <w:szCs w:val="24"/>
      <w:lang w:eastAsia="en-US"/>
    </w:rPr>
  </w:style>
  <w:style w:type="paragraph" w:styleId="22">
    <w:name w:val="List Paragraph"/>
    <w:basedOn w:val="1"/>
    <w:autoRedefine/>
    <w:qFormat/>
    <w:uiPriority w:val="99"/>
    <w:pPr>
      <w:widowControl/>
      <w:ind w:firstLine="420" w:firstLineChars="200"/>
      <w:jc w:val="left"/>
    </w:pPr>
    <w:rPr>
      <w:rFonts w:ascii="Times New Roman" w:hAnsi="Times New Roman" w:cs="Times New Roman"/>
      <w:kern w:val="0"/>
      <w:sz w:val="20"/>
      <w:szCs w:val="20"/>
      <w:lang w:eastAsia="en-US"/>
    </w:rPr>
  </w:style>
  <w:style w:type="paragraph" w:customStyle="1" w:styleId="23">
    <w:name w:val="Paragraph"/>
    <w:basedOn w:val="1"/>
    <w:autoRedefine/>
    <w:qFormat/>
    <w:uiPriority w:val="0"/>
    <w:pPr>
      <w:widowControl/>
      <w:spacing w:before="120"/>
      <w:ind w:firstLine="720"/>
      <w:jc w:val="left"/>
    </w:pPr>
    <w:rPr>
      <w:rFonts w:ascii="Times New Roman" w:hAnsi="Times New Roman" w:eastAsia="Times New Roman" w:cs="Times New Roman"/>
      <w:kern w:val="0"/>
      <w:sz w:val="24"/>
      <w:szCs w:val="24"/>
      <w:lang w:eastAsia="en-US"/>
    </w:rPr>
  </w:style>
  <w:style w:type="paragraph" w:customStyle="1" w:styleId="24">
    <w:name w:val="Head"/>
    <w:basedOn w:val="1"/>
    <w:autoRedefine/>
    <w:qFormat/>
    <w:uiPriority w:val="0"/>
    <w:pPr>
      <w:keepNext/>
      <w:widowControl/>
      <w:spacing w:before="120" w:after="120"/>
      <w:jc w:val="center"/>
      <w:outlineLvl w:val="0"/>
    </w:pPr>
    <w:rPr>
      <w:rFonts w:ascii="Times New Roman" w:hAnsi="Times New Roman" w:eastAsia="Times New Roman" w:cs="Times New Roman"/>
      <w:b/>
      <w:bCs/>
      <w:kern w:val="28"/>
      <w:sz w:val="28"/>
      <w:szCs w:val="28"/>
      <w:lang w:eastAsia="en-US"/>
    </w:rPr>
  </w:style>
  <w:style w:type="paragraph" w:customStyle="1" w:styleId="25">
    <w:name w:val="Teaser"/>
    <w:basedOn w:val="1"/>
    <w:autoRedefine/>
    <w:qFormat/>
    <w:uiPriority w:val="0"/>
    <w:pPr>
      <w:widowControl/>
      <w:spacing w:before="120"/>
      <w:jc w:val="left"/>
    </w:pPr>
    <w:rPr>
      <w:rFonts w:ascii="Times New Roman" w:hAnsi="Times New Roman" w:eastAsia="Times New Roman" w:cs="Times New Roman"/>
      <w:kern w:val="0"/>
      <w:sz w:val="24"/>
      <w:szCs w:val="24"/>
      <w:lang w:eastAsia="en-US"/>
    </w:rPr>
  </w:style>
  <w:style w:type="paragraph" w:customStyle="1" w:styleId="26">
    <w:name w:val="Acknowledgement"/>
    <w:basedOn w:val="21"/>
    <w:autoRedefine/>
    <w:qFormat/>
    <w:uiPriority w:val="0"/>
  </w:style>
  <w:style w:type="character" w:customStyle="1" w:styleId="27">
    <w:name w:val="批注文字 字符"/>
    <w:basedOn w:val="8"/>
    <w:link w:val="2"/>
    <w:autoRedefine/>
    <w:semiHidden/>
    <w:qFormat/>
    <w:uiPriority w:val="99"/>
    <w:rPr>
      <w:kern w:val="2"/>
      <w:sz w:val="21"/>
      <w:szCs w:val="22"/>
      <w:lang w:eastAsia="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oleObject" Target="embeddings/oleObject3.bin"/><Relationship Id="rId7" Type="http://schemas.openxmlformats.org/officeDocument/2006/relationships/image" Target="media/image2.wmf"/><Relationship Id="rId6" Type="http://schemas.openxmlformats.org/officeDocument/2006/relationships/oleObject" Target="embeddings/oleObject2.bin"/><Relationship Id="rId5" Type="http://schemas.openxmlformats.org/officeDocument/2006/relationships/image" Target="media/image1.wmf"/><Relationship Id="rId4" Type="http://schemas.openxmlformats.org/officeDocument/2006/relationships/oleObject" Target="embeddings/oleObject1.bin"/><Relationship Id="rId37" Type="http://schemas.openxmlformats.org/officeDocument/2006/relationships/fontTable" Target="fontTable.xml"/><Relationship Id="rId36" Type="http://schemas.openxmlformats.org/officeDocument/2006/relationships/customXml" Target="../customXml/item1.xml"/><Relationship Id="rId35" Type="http://schemas.openxmlformats.org/officeDocument/2006/relationships/image" Target="media/image18.wmf"/><Relationship Id="rId34" Type="http://schemas.openxmlformats.org/officeDocument/2006/relationships/oleObject" Target="embeddings/oleObject14.bin"/><Relationship Id="rId33" Type="http://schemas.openxmlformats.org/officeDocument/2006/relationships/image" Target="media/image17.wmf"/><Relationship Id="rId32" Type="http://schemas.openxmlformats.org/officeDocument/2006/relationships/oleObject" Target="embeddings/oleObject13.bin"/><Relationship Id="rId31" Type="http://schemas.openxmlformats.org/officeDocument/2006/relationships/image" Target="media/image16.wmf"/><Relationship Id="rId30" Type="http://schemas.openxmlformats.org/officeDocument/2006/relationships/oleObject" Target="embeddings/oleObject12.bin"/><Relationship Id="rId3" Type="http://schemas.openxmlformats.org/officeDocument/2006/relationships/theme" Target="theme/theme1.xml"/><Relationship Id="rId29" Type="http://schemas.openxmlformats.org/officeDocument/2006/relationships/image" Target="media/image15.wmf"/><Relationship Id="rId28" Type="http://schemas.openxmlformats.org/officeDocument/2006/relationships/oleObject" Target="embeddings/oleObject11.bin"/><Relationship Id="rId27" Type="http://schemas.openxmlformats.org/officeDocument/2006/relationships/image" Target="media/image14.wmf"/><Relationship Id="rId26" Type="http://schemas.openxmlformats.org/officeDocument/2006/relationships/oleObject" Target="embeddings/oleObject10.bin"/><Relationship Id="rId25" Type="http://schemas.openxmlformats.org/officeDocument/2006/relationships/image" Target="media/image13.wmf"/><Relationship Id="rId24" Type="http://schemas.openxmlformats.org/officeDocument/2006/relationships/oleObject" Target="embeddings/oleObject9.bin"/><Relationship Id="rId23" Type="http://schemas.openxmlformats.org/officeDocument/2006/relationships/image" Target="media/image12.wmf"/><Relationship Id="rId22" Type="http://schemas.openxmlformats.org/officeDocument/2006/relationships/oleObject" Target="embeddings/oleObject8.bin"/><Relationship Id="rId21" Type="http://schemas.openxmlformats.org/officeDocument/2006/relationships/image" Target="media/image11.wmf"/><Relationship Id="rId20" Type="http://schemas.openxmlformats.org/officeDocument/2006/relationships/oleObject" Target="embeddings/oleObject7.bin"/><Relationship Id="rId2" Type="http://schemas.openxmlformats.org/officeDocument/2006/relationships/settings" Target="settings.xml"/><Relationship Id="rId19" Type="http://schemas.openxmlformats.org/officeDocument/2006/relationships/image" Target="media/image10.wmf"/><Relationship Id="rId18" Type="http://schemas.openxmlformats.org/officeDocument/2006/relationships/oleObject" Target="embeddings/oleObject6.bin"/><Relationship Id="rId17" Type="http://schemas.openxmlformats.org/officeDocument/2006/relationships/image" Target="media/image9.wmf"/><Relationship Id="rId16" Type="http://schemas.openxmlformats.org/officeDocument/2006/relationships/oleObject" Target="embeddings/oleObject5.bin"/><Relationship Id="rId15" Type="http://schemas.openxmlformats.org/officeDocument/2006/relationships/image" Target="media/image8.tiff"/><Relationship Id="rId14" Type="http://schemas.openxmlformats.org/officeDocument/2006/relationships/image" Target="media/image7.tiff"/><Relationship Id="rId13" Type="http://schemas.openxmlformats.org/officeDocument/2006/relationships/image" Target="media/image6.png"/><Relationship Id="rId12" Type="http://schemas.openxmlformats.org/officeDocument/2006/relationships/image" Target="media/image5.tiff"/><Relationship Id="rId11" Type="http://schemas.openxmlformats.org/officeDocument/2006/relationships/image" Target="media/image4.wmf"/><Relationship Id="rId10" Type="http://schemas.openxmlformats.org/officeDocument/2006/relationships/oleObject" Target="embeddings/oleObject4.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1B7440-D46B-43D5-A344-3221BB7B15C1}">
  <ds:schemaRefs/>
</ds:datastoreItem>
</file>

<file path=docProps/app.xml><?xml version="1.0" encoding="utf-8"?>
<Properties xmlns="http://schemas.openxmlformats.org/officeDocument/2006/extended-properties" xmlns:vt="http://schemas.openxmlformats.org/officeDocument/2006/docPropsVTypes">
  <Template>Normal.dotm</Template>
  <Pages>3</Pages>
  <Words>633</Words>
  <Characters>3381</Characters>
  <Lines>31</Lines>
  <Paragraphs>8</Paragraphs>
  <TotalTime>247</TotalTime>
  <ScaleCrop>false</ScaleCrop>
  <LinksUpToDate>false</LinksUpToDate>
  <CharactersWithSpaces>4009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2024-05-17T03:55:00Z</dcterms:created>
  <dc:creator>郭倚辰</dc:creator>
  <cp:lastModifiedBy>THU</cp:lastModifiedBy>
  <cp:lastPrinted>2022-11-21T02:34:00Z</cp:lastPrinted>
  <dcterms:modified xsi:type="dcterms:W3CDTF">2024-06-06T12:04:28Z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59FC77F79695424A8419E46DD37CC3E6_13</vt:lpwstr>
  </property>
  <property fmtid="{D5CDD505-2E9C-101B-9397-08002B2CF9AE}" pid="3" name="KSOProductBuildVer">
    <vt:lpwstr>2052-12.1.0.16929</vt:lpwstr>
  </property>
  <property fmtid="{D5CDD505-2E9C-101B-9397-08002B2CF9AE}" pid="4" name="MTEquationNumber2">
    <vt:lpwstr>(#E1)</vt:lpwstr>
  </property>
  <property fmtid="{D5CDD505-2E9C-101B-9397-08002B2CF9AE}" pid="5" name="MTEquationSection">
    <vt:lpwstr>1</vt:lpwstr>
  </property>
  <property fmtid="{D5CDD505-2E9C-101B-9397-08002B2CF9AE}" pid="6" name="MTWinEqns">
    <vt:bool>true</vt:bool>
  </property>
</Properties>
</file>