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71BCEC" w14:textId="77777777" w:rsidR="00391642" w:rsidRDefault="00391642" w:rsidP="003F2585">
      <w:pPr>
        <w:wordWrap/>
        <w:spacing w:line="384" w:lineRule="auto"/>
        <w:jc w:val="left"/>
        <w:rPr>
          <w:rFonts w:ascii="Times New Roman" w:eastAsia="HY신명조" w:hAnsi="Times New Roman" w:cs="Times New Roman"/>
          <w:b/>
          <w:sz w:val="24"/>
          <w:szCs w:val="24"/>
        </w:rPr>
      </w:pPr>
      <w:r>
        <w:rPr>
          <w:rFonts w:ascii="Times New Roman" w:eastAsia="HY신명조" w:hAnsi="Times New Roman" w:cs="Times New Roman"/>
          <w:b/>
          <w:sz w:val="24"/>
          <w:szCs w:val="24"/>
        </w:rPr>
        <w:t>Supplemental information</w:t>
      </w:r>
    </w:p>
    <w:p w14:paraId="5C16BC92" w14:textId="77777777" w:rsidR="003F2585" w:rsidRDefault="003F2585" w:rsidP="003F2585">
      <w:pPr>
        <w:wordWrap/>
        <w:spacing w:line="384" w:lineRule="auto"/>
        <w:jc w:val="left"/>
        <w:rPr>
          <w:rFonts w:ascii="Times New Roman" w:eastAsia="HY신명조" w:hAnsi="Times New Roman" w:cs="Times New Roman"/>
          <w:b/>
          <w:sz w:val="24"/>
          <w:szCs w:val="24"/>
        </w:rPr>
      </w:pPr>
      <w:r>
        <w:rPr>
          <w:rFonts w:ascii="Times New Roman" w:eastAsia="HY신명조" w:hAnsi="Times New Roman" w:cs="Times New Roman"/>
          <w:b/>
          <w:sz w:val="24"/>
          <w:szCs w:val="24"/>
        </w:rPr>
        <w:t xml:space="preserve">Brown fat-specific </w:t>
      </w:r>
      <w:proofErr w:type="spellStart"/>
      <w:r>
        <w:rPr>
          <w:rFonts w:ascii="Times New Roman" w:eastAsia="HY신명조" w:hAnsi="Times New Roman" w:cs="Times New Roman"/>
          <w:b/>
          <w:sz w:val="24"/>
          <w:szCs w:val="24"/>
        </w:rPr>
        <w:t>mitoribosomal</w:t>
      </w:r>
      <w:proofErr w:type="spellEnd"/>
      <w:r>
        <w:rPr>
          <w:rFonts w:ascii="Times New Roman" w:eastAsia="HY신명조" w:hAnsi="Times New Roman" w:cs="Times New Roman"/>
          <w:b/>
          <w:sz w:val="24"/>
          <w:szCs w:val="24"/>
        </w:rPr>
        <w:t xml:space="preserve"> function is crucial for preventing cold exposure-induced bone loss</w:t>
      </w:r>
    </w:p>
    <w:p w14:paraId="182E4177" w14:textId="77777777" w:rsidR="00391642" w:rsidRPr="003F2585" w:rsidRDefault="00391642" w:rsidP="00391642">
      <w:pPr>
        <w:wordWrap/>
        <w:spacing w:line="384" w:lineRule="auto"/>
        <w:rPr>
          <w:rFonts w:ascii="Times New Roman" w:eastAsia="HY신명조" w:hAnsi="Times New Roman" w:cs="Times New Roman"/>
          <w:b/>
          <w:sz w:val="24"/>
          <w:szCs w:val="24"/>
        </w:rPr>
      </w:pPr>
    </w:p>
    <w:p w14:paraId="41921FF0" w14:textId="77777777" w:rsidR="00391642" w:rsidRDefault="00391642" w:rsidP="00391642">
      <w:pPr>
        <w:wordWrap/>
        <w:spacing w:line="384" w:lineRule="auto"/>
        <w:rPr>
          <w:rFonts w:ascii="Times New Roman" w:hAnsi="Times New Roman"/>
          <w:kern w:val="0"/>
          <w:sz w:val="24"/>
          <w:szCs w:val="24"/>
        </w:rPr>
      </w:pPr>
      <w:proofErr w:type="spellStart"/>
      <w:r>
        <w:rPr>
          <w:rFonts w:ascii="Times New Roman" w:eastAsia="HY신명조" w:hAnsi="Times New Roman" w:cs="Times New Roman"/>
          <w:sz w:val="24"/>
          <w:szCs w:val="24"/>
        </w:rPr>
        <w:t>Jingwen</w:t>
      </w:r>
      <w:proofErr w:type="spellEnd"/>
      <w:r>
        <w:rPr>
          <w:rFonts w:ascii="Times New Roman" w:eastAsia="HY신명조" w:hAnsi="Times New Roman" w:cs="Times New Roman"/>
          <w:sz w:val="24"/>
          <w:szCs w:val="24"/>
        </w:rPr>
        <w:t xml:space="preserve"> Tian</w:t>
      </w:r>
      <w:r>
        <w:rPr>
          <w:rFonts w:ascii="Times New Roman" w:hAnsi="Times New Roman"/>
          <w:kern w:val="0"/>
          <w:sz w:val="24"/>
          <w:szCs w:val="24"/>
          <w:vertAlign w:val="superscript"/>
        </w:rPr>
        <w:t>1,2#</w:t>
      </w:r>
      <w:r>
        <w:rPr>
          <w:rFonts w:ascii="Times New Roman" w:eastAsia="HY신명조" w:hAnsi="Times New Roman" w:cs="Times New Roman"/>
          <w:sz w:val="24"/>
          <w:szCs w:val="24"/>
        </w:rPr>
        <w:t xml:space="preserve">, </w:t>
      </w:r>
      <w:r>
        <w:rPr>
          <w:rFonts w:ascii="Times New Roman" w:hAnsi="Times New Roman"/>
          <w:kern w:val="0"/>
          <w:sz w:val="24"/>
          <w:szCs w:val="24"/>
        </w:rPr>
        <w:t>Ji Sun Moon</w:t>
      </w:r>
      <w:r>
        <w:rPr>
          <w:rFonts w:ascii="Times New Roman" w:hAnsi="Times New Roman"/>
          <w:kern w:val="0"/>
          <w:sz w:val="24"/>
          <w:szCs w:val="24"/>
          <w:vertAlign w:val="superscript"/>
        </w:rPr>
        <w:t>1,2</w:t>
      </w:r>
      <w:r>
        <w:rPr>
          <w:rFonts w:ascii="Times New Roman" w:hAnsi="Times New Roman"/>
          <w:kern w:val="0"/>
          <w:sz w:val="24"/>
          <w:szCs w:val="24"/>
        </w:rPr>
        <w:t xml:space="preserve">, Ha </w:t>
      </w:r>
      <w:proofErr w:type="spellStart"/>
      <w:r>
        <w:rPr>
          <w:rFonts w:ascii="Times New Roman" w:hAnsi="Times New Roman"/>
          <w:kern w:val="0"/>
          <w:sz w:val="24"/>
          <w:szCs w:val="24"/>
        </w:rPr>
        <w:t>Thi</w:t>
      </w:r>
      <w:proofErr w:type="spellEnd"/>
      <w:r>
        <w:rPr>
          <w:rFonts w:ascii="Times New Roman" w:hAnsi="Times New Roman"/>
          <w:kern w:val="0"/>
          <w:sz w:val="24"/>
          <w:szCs w:val="24"/>
        </w:rPr>
        <w:t xml:space="preserve"> Nga</w:t>
      </w:r>
      <w:r>
        <w:rPr>
          <w:rFonts w:ascii="Times New Roman" w:hAnsi="Times New Roman"/>
          <w:kern w:val="0"/>
          <w:sz w:val="24"/>
          <w:szCs w:val="24"/>
          <w:vertAlign w:val="superscript"/>
        </w:rPr>
        <w:t>1,2</w:t>
      </w:r>
      <w:r>
        <w:rPr>
          <w:rFonts w:ascii="Times New Roman" w:hAnsi="Times New Roman"/>
          <w:kern w:val="0"/>
          <w:sz w:val="24"/>
          <w:szCs w:val="24"/>
        </w:rPr>
        <w:t xml:space="preserve">, Ho </w:t>
      </w:r>
      <w:proofErr w:type="spellStart"/>
      <w:r>
        <w:rPr>
          <w:rFonts w:ascii="Times New Roman" w:hAnsi="Times New Roman"/>
          <w:kern w:val="0"/>
          <w:sz w:val="24"/>
          <w:szCs w:val="24"/>
        </w:rPr>
        <w:t>Yeop</w:t>
      </w:r>
      <w:proofErr w:type="spellEnd"/>
      <w:r>
        <w:rPr>
          <w:rFonts w:ascii="Times New Roman" w:hAnsi="Times New Roman"/>
          <w:kern w:val="0"/>
          <w:sz w:val="24"/>
          <w:szCs w:val="24"/>
        </w:rPr>
        <w:t xml:space="preserve"> Lee</w:t>
      </w:r>
      <w:r>
        <w:rPr>
          <w:rFonts w:ascii="Times New Roman" w:hAnsi="Times New Roman"/>
          <w:kern w:val="0"/>
          <w:sz w:val="24"/>
          <w:szCs w:val="24"/>
          <w:vertAlign w:val="superscript"/>
        </w:rPr>
        <w:t>1,2</w:t>
      </w:r>
      <w:r>
        <w:rPr>
          <w:rFonts w:ascii="Times New Roman" w:hAnsi="Times New Roman"/>
          <w:kern w:val="0"/>
          <w:sz w:val="24"/>
          <w:szCs w:val="24"/>
        </w:rPr>
        <w:t xml:space="preserve">, </w:t>
      </w:r>
      <w:proofErr w:type="spellStart"/>
      <w:r>
        <w:rPr>
          <w:rFonts w:ascii="Times New Roman" w:hAnsi="Times New Roman"/>
          <w:kern w:val="0"/>
          <w:sz w:val="24"/>
          <w:szCs w:val="24"/>
        </w:rPr>
        <w:t>Thi</w:t>
      </w:r>
      <w:proofErr w:type="spellEnd"/>
      <w:r>
        <w:rPr>
          <w:rFonts w:ascii="Times New Roman" w:hAnsi="Times New Roman"/>
          <w:kern w:val="0"/>
          <w:sz w:val="24"/>
          <w:szCs w:val="24"/>
        </w:rPr>
        <w:t xml:space="preserve"> Linh Nguyen</w:t>
      </w:r>
      <w:r>
        <w:rPr>
          <w:rFonts w:ascii="Times New Roman" w:hAnsi="Times New Roman"/>
          <w:kern w:val="0"/>
          <w:sz w:val="24"/>
          <w:szCs w:val="24"/>
          <w:vertAlign w:val="superscript"/>
        </w:rPr>
        <w:t>1,2</w:t>
      </w:r>
      <w:r>
        <w:rPr>
          <w:rFonts w:ascii="Times New Roman" w:hAnsi="Times New Roman"/>
          <w:kern w:val="0"/>
          <w:sz w:val="24"/>
          <w:szCs w:val="24"/>
        </w:rPr>
        <w:t>, Hyo Ju Jang</w:t>
      </w:r>
      <w:r>
        <w:rPr>
          <w:rFonts w:ascii="Times New Roman" w:hAnsi="Times New Roman"/>
          <w:kern w:val="0"/>
          <w:sz w:val="24"/>
          <w:szCs w:val="24"/>
          <w:vertAlign w:val="superscript"/>
        </w:rPr>
        <w:t>1,2</w:t>
      </w:r>
      <w:r>
        <w:rPr>
          <w:rFonts w:ascii="Times New Roman" w:hAnsi="Times New Roman"/>
          <w:kern w:val="0"/>
          <w:sz w:val="24"/>
          <w:szCs w:val="24"/>
        </w:rPr>
        <w:t>, Daiki Setoyama</w:t>
      </w:r>
      <w:r>
        <w:rPr>
          <w:rFonts w:ascii="Times New Roman" w:hAnsi="Times New Roman"/>
          <w:kern w:val="0"/>
          <w:sz w:val="24"/>
          <w:szCs w:val="24"/>
          <w:vertAlign w:val="superscript"/>
        </w:rPr>
        <w:t>3</w:t>
      </w:r>
      <w:r>
        <w:rPr>
          <w:rFonts w:ascii="Times New Roman" w:hAnsi="Times New Roman"/>
          <w:kern w:val="0"/>
          <w:sz w:val="24"/>
          <w:szCs w:val="24"/>
        </w:rPr>
        <w:t>, Minho Shong</w:t>
      </w:r>
      <w:r>
        <w:rPr>
          <w:rFonts w:ascii="Times New Roman" w:hAnsi="Times New Roman"/>
          <w:kern w:val="0"/>
          <w:sz w:val="24"/>
          <w:szCs w:val="24"/>
          <w:vertAlign w:val="superscript"/>
        </w:rPr>
        <w:t>4</w:t>
      </w:r>
      <w:r>
        <w:rPr>
          <w:rFonts w:ascii="Times New Roman" w:hAnsi="Times New Roman"/>
          <w:kern w:val="0"/>
          <w:sz w:val="24"/>
          <w:szCs w:val="24"/>
        </w:rPr>
        <w:t xml:space="preserve">, Ju </w:t>
      </w:r>
      <w:proofErr w:type="spellStart"/>
      <w:r>
        <w:rPr>
          <w:rFonts w:ascii="Times New Roman" w:hAnsi="Times New Roman"/>
          <w:kern w:val="0"/>
          <w:sz w:val="24"/>
          <w:szCs w:val="24"/>
        </w:rPr>
        <w:t>Hee</w:t>
      </w:r>
      <w:proofErr w:type="spellEnd"/>
      <w:r>
        <w:rPr>
          <w:rFonts w:ascii="Times New Roman" w:hAnsi="Times New Roman"/>
          <w:kern w:val="0"/>
          <w:sz w:val="24"/>
          <w:szCs w:val="24"/>
        </w:rPr>
        <w:t xml:space="preserve"> Lee</w:t>
      </w:r>
      <w:r>
        <w:rPr>
          <w:rFonts w:ascii="Times New Roman" w:hAnsi="Times New Roman"/>
          <w:kern w:val="0"/>
          <w:sz w:val="24"/>
          <w:szCs w:val="24"/>
          <w:vertAlign w:val="superscript"/>
        </w:rPr>
        <w:t>2</w:t>
      </w:r>
      <w:r>
        <w:rPr>
          <w:rFonts w:ascii="Times New Roman" w:hAnsi="Times New Roman"/>
          <w:kern w:val="0"/>
          <w:sz w:val="24"/>
          <w:szCs w:val="24"/>
        </w:rPr>
        <w:t>, Hyon-Seung Yi</w:t>
      </w:r>
      <w:r>
        <w:rPr>
          <w:rFonts w:ascii="Times New Roman" w:hAnsi="Times New Roman"/>
          <w:kern w:val="0"/>
          <w:sz w:val="24"/>
          <w:szCs w:val="24"/>
          <w:vertAlign w:val="superscript"/>
        </w:rPr>
        <w:t>1,2*</w:t>
      </w:r>
    </w:p>
    <w:p w14:paraId="1DE00C63" w14:textId="77777777" w:rsidR="00391642" w:rsidRDefault="00391642" w:rsidP="00391642">
      <w:pPr>
        <w:wordWrap/>
        <w:spacing w:line="384" w:lineRule="auto"/>
        <w:rPr>
          <w:rFonts w:ascii="Times New Roman" w:eastAsia="HY신명조" w:hAnsi="Times New Roman" w:cs="Times New Roman"/>
          <w:sz w:val="24"/>
          <w:szCs w:val="24"/>
        </w:rPr>
      </w:pPr>
    </w:p>
    <w:p w14:paraId="3747EF68" w14:textId="77777777" w:rsidR="00391642" w:rsidRDefault="00391642" w:rsidP="00391642">
      <w:pPr>
        <w:wordWrap/>
        <w:spacing w:line="384" w:lineRule="auto"/>
        <w:rPr>
          <w:rFonts w:ascii="Times New Roman" w:hAnsi="Times New Roman"/>
          <w:kern w:val="0"/>
          <w:sz w:val="24"/>
          <w:szCs w:val="24"/>
        </w:rPr>
      </w:pPr>
      <w:r>
        <w:rPr>
          <w:rFonts w:ascii="Times New Roman" w:hAnsi="Times New Roman"/>
          <w:kern w:val="0"/>
          <w:sz w:val="24"/>
          <w:szCs w:val="24"/>
          <w:vertAlign w:val="superscript"/>
        </w:rPr>
        <w:t>1</w:t>
      </w:r>
      <w:r>
        <w:rPr>
          <w:rFonts w:ascii="Times New Roman" w:hAnsi="Times New Roman"/>
          <w:kern w:val="0"/>
          <w:sz w:val="24"/>
          <w:szCs w:val="24"/>
        </w:rPr>
        <w:t xml:space="preserve">Laboratory of Endocrinology and Immune System, </w:t>
      </w:r>
      <w:proofErr w:type="spellStart"/>
      <w:r>
        <w:rPr>
          <w:rFonts w:ascii="Times New Roman" w:hAnsi="Times New Roman"/>
          <w:kern w:val="0"/>
          <w:sz w:val="24"/>
          <w:szCs w:val="24"/>
        </w:rPr>
        <w:t>Chungnam</w:t>
      </w:r>
      <w:proofErr w:type="spellEnd"/>
      <w:r>
        <w:rPr>
          <w:rFonts w:ascii="Times New Roman" w:hAnsi="Times New Roman"/>
          <w:kern w:val="0"/>
          <w:sz w:val="24"/>
          <w:szCs w:val="24"/>
        </w:rPr>
        <w:t xml:space="preserve"> National University School of Medicine, Daejeon 35015, Republic of Korea. </w:t>
      </w:r>
      <w:r>
        <w:rPr>
          <w:rFonts w:ascii="Times New Roman" w:hAnsi="Times New Roman"/>
          <w:kern w:val="0"/>
          <w:sz w:val="24"/>
          <w:szCs w:val="24"/>
          <w:vertAlign w:val="superscript"/>
        </w:rPr>
        <w:t>2</w:t>
      </w:r>
      <w:r>
        <w:rPr>
          <w:rFonts w:ascii="Times New Roman" w:hAnsi="Times New Roman"/>
          <w:kern w:val="0"/>
          <w:sz w:val="24"/>
          <w:szCs w:val="24"/>
        </w:rPr>
        <w:t xml:space="preserve">Department of Internal Medicine, </w:t>
      </w:r>
      <w:proofErr w:type="spellStart"/>
      <w:r>
        <w:rPr>
          <w:rFonts w:ascii="Times New Roman" w:hAnsi="Times New Roman"/>
          <w:kern w:val="0"/>
          <w:sz w:val="24"/>
          <w:szCs w:val="24"/>
        </w:rPr>
        <w:t>Chungnam</w:t>
      </w:r>
      <w:proofErr w:type="spellEnd"/>
      <w:r>
        <w:rPr>
          <w:rFonts w:ascii="Times New Roman" w:hAnsi="Times New Roman"/>
          <w:kern w:val="0"/>
          <w:sz w:val="24"/>
          <w:szCs w:val="24"/>
        </w:rPr>
        <w:t xml:space="preserve"> National University School of Medicine, Daejeon 35015, Republic of Korea. </w:t>
      </w:r>
      <w:r>
        <w:rPr>
          <w:rFonts w:hint="eastAsia"/>
          <w:vertAlign w:val="superscript"/>
        </w:rPr>
        <w:t>3</w:t>
      </w:r>
      <w:r>
        <w:rPr>
          <w:rFonts w:ascii="Times New Roman" w:hAnsi="Times New Roman"/>
          <w:kern w:val="0"/>
          <w:sz w:val="24"/>
          <w:szCs w:val="24"/>
        </w:rPr>
        <w:t>Department of Clinical Chemistry and Laboratory Medicine, Kyushu University Hospital, Fukuoka, Japan.</w:t>
      </w:r>
      <w:r>
        <w:rPr>
          <w:rFonts w:hint="eastAsia"/>
        </w:rPr>
        <w:t xml:space="preserve"> </w:t>
      </w:r>
      <w:r>
        <w:rPr>
          <w:rFonts w:hint="eastAsia"/>
          <w:vertAlign w:val="superscript"/>
        </w:rPr>
        <w:t>4</w:t>
      </w:r>
      <w:r>
        <w:rPr>
          <w:rFonts w:ascii="Times New Roman" w:hAnsi="Times New Roman"/>
          <w:kern w:val="0"/>
          <w:sz w:val="24"/>
          <w:szCs w:val="24"/>
        </w:rPr>
        <w:t>Graduate School of Medical Science and Engineering, Korea Advanced Institute of Science and Technology, Daejeon, Republic of Korea.</w:t>
      </w:r>
    </w:p>
    <w:p w14:paraId="5DB84085" w14:textId="77777777" w:rsidR="00391642" w:rsidRDefault="00391642" w:rsidP="00391642">
      <w:pPr>
        <w:spacing w:line="360" w:lineRule="auto"/>
        <w:rPr>
          <w:rStyle w:val="a9"/>
          <w:rFonts w:asciiTheme="minorHAnsi" w:cs="Times New Roman"/>
        </w:rPr>
      </w:pPr>
      <w:r>
        <w:rPr>
          <w:rFonts w:ascii="Times New Roman" w:hAnsi="Times New Roman" w:cs="Times New Roman"/>
          <w:sz w:val="24"/>
          <w:szCs w:val="24"/>
        </w:rPr>
        <w:t xml:space="preserve">*Corresponding author. </w:t>
      </w:r>
      <w:r>
        <w:rPr>
          <w:rFonts w:ascii="Times New Roman" w:hAnsi="Times New Roman" w:cs="Times New Roman"/>
          <w:sz w:val="24"/>
          <w:szCs w:val="24"/>
        </w:rPr>
        <w:tab/>
        <w:t xml:space="preserve">Research Center for Endocrine and Metabolic Diseases, </w:t>
      </w:r>
      <w:proofErr w:type="spellStart"/>
      <w:r>
        <w:rPr>
          <w:rFonts w:ascii="Times New Roman" w:hAnsi="Times New Roman" w:cs="Times New Roman"/>
          <w:sz w:val="24"/>
          <w:szCs w:val="24"/>
        </w:rPr>
        <w:t>Chungnam</w:t>
      </w:r>
      <w:proofErr w:type="spellEnd"/>
      <w:r>
        <w:rPr>
          <w:rFonts w:ascii="Times New Roman" w:hAnsi="Times New Roman" w:cs="Times New Roman"/>
          <w:sz w:val="24"/>
          <w:szCs w:val="24"/>
        </w:rPr>
        <w:t xml:space="preserve"> National University Hospital, </w:t>
      </w:r>
      <w:proofErr w:type="spellStart"/>
      <w:r>
        <w:rPr>
          <w:rFonts w:ascii="Times New Roman" w:hAnsi="Times New Roman" w:cs="Times New Roman"/>
          <w:sz w:val="24"/>
          <w:szCs w:val="24"/>
        </w:rPr>
        <w:t>Chungnam</w:t>
      </w:r>
      <w:proofErr w:type="spellEnd"/>
      <w:r>
        <w:rPr>
          <w:rFonts w:ascii="Times New Roman" w:hAnsi="Times New Roman" w:cs="Times New Roman"/>
          <w:sz w:val="24"/>
          <w:szCs w:val="24"/>
        </w:rPr>
        <w:t xml:space="preserve"> National University School of Medicine, Daejeon 35015, Republic of Korea, </w:t>
      </w:r>
      <w:r>
        <w:rPr>
          <w:rFonts w:ascii="Times New Roman" w:hAnsi="Times New Roman" w:cs="Times New Roman"/>
          <w:b/>
          <w:sz w:val="24"/>
          <w:szCs w:val="24"/>
        </w:rPr>
        <w:t>Tel:</w:t>
      </w:r>
      <w:r>
        <w:rPr>
          <w:rFonts w:ascii="Times New Roman" w:hAnsi="Times New Roman" w:cs="Times New Roman"/>
          <w:sz w:val="24"/>
          <w:szCs w:val="24"/>
        </w:rPr>
        <w:t xml:space="preserve"> +82-42-280-6994; </w:t>
      </w:r>
      <w:r>
        <w:rPr>
          <w:rFonts w:ascii="Times New Roman" w:hAnsi="Times New Roman" w:cs="Times New Roman"/>
          <w:b/>
          <w:sz w:val="24"/>
          <w:szCs w:val="24"/>
        </w:rPr>
        <w:t>Fax:</w:t>
      </w:r>
      <w:r>
        <w:rPr>
          <w:rFonts w:ascii="Times New Roman" w:hAnsi="Times New Roman" w:cs="Times New Roman"/>
          <w:sz w:val="24"/>
          <w:szCs w:val="24"/>
        </w:rPr>
        <w:t xml:space="preserve"> +82-42-280-6880;</w:t>
      </w:r>
      <w:r>
        <w:rPr>
          <w:rFonts w:ascii="Times New Roman" w:hAnsi="Times New Roman" w:cs="Times New Roman"/>
          <w:b/>
          <w:sz w:val="24"/>
          <w:szCs w:val="24"/>
        </w:rPr>
        <w:t xml:space="preserve"> E-mail: </w:t>
      </w:r>
      <w:r>
        <w:rPr>
          <w:rFonts w:ascii="Times New Roman" w:hAnsi="Times New Roman" w:cs="Times New Roman"/>
          <w:sz w:val="24"/>
          <w:szCs w:val="24"/>
        </w:rPr>
        <w:t>jmpbooks@cnu.ac.kr</w:t>
      </w:r>
      <w:r>
        <w:rPr>
          <w:rStyle w:val="a9"/>
          <w:rFonts w:hAnsi="Times New Roman" w:cs="Times New Roman" w:hint="eastAsia"/>
          <w:sz w:val="24"/>
          <w:szCs w:val="24"/>
        </w:rPr>
        <w:t xml:space="preserve"> </w:t>
      </w:r>
    </w:p>
    <w:p w14:paraId="0090230F" w14:textId="77777777" w:rsidR="00391642" w:rsidRDefault="00391642" w:rsidP="00391642">
      <w:pPr>
        <w:wordWrap/>
        <w:spacing w:line="384" w:lineRule="auto"/>
        <w:rPr>
          <w:rFonts w:ascii="Times New Roman" w:eastAsia="HY신명조"/>
        </w:rPr>
      </w:pPr>
    </w:p>
    <w:p w14:paraId="098C6470" w14:textId="7671F018" w:rsidR="00406880" w:rsidRDefault="00406880" w:rsidP="00626E49">
      <w:pPr>
        <w:wordWrap/>
        <w:spacing w:line="384" w:lineRule="auto"/>
        <w:jc w:val="center"/>
        <w:rPr>
          <w:rFonts w:ascii="Times New Roman" w:hAnsi="Times New Roman" w:cs="Times New Roman"/>
          <w:b/>
          <w:sz w:val="24"/>
          <w:szCs w:val="24"/>
        </w:rPr>
      </w:pPr>
    </w:p>
    <w:p w14:paraId="503BEF6F" w14:textId="4D4357B8" w:rsidR="00391642" w:rsidRPr="00391642" w:rsidRDefault="00406880" w:rsidP="00406880">
      <w:pPr>
        <w:widowControl/>
        <w:wordWrap/>
        <w:autoSpaceDE/>
        <w:autoSpaceDN/>
        <w:spacing w:after="200" w:line="276" w:lineRule="auto"/>
        <w:rPr>
          <w:rFonts w:ascii="Times New Roman" w:hAnsi="Times New Roman" w:cs="Times New Roman"/>
          <w:b/>
          <w:sz w:val="24"/>
          <w:szCs w:val="24"/>
        </w:rPr>
      </w:pPr>
      <w:r>
        <w:rPr>
          <w:rFonts w:ascii="Times New Roman" w:hAnsi="Times New Roman" w:cs="Times New Roman"/>
          <w:b/>
          <w:sz w:val="24"/>
          <w:szCs w:val="24"/>
        </w:rPr>
        <w:br w:type="page"/>
      </w:r>
    </w:p>
    <w:p w14:paraId="65D9CD45" w14:textId="04BC64AA" w:rsidR="00406880" w:rsidRPr="003F2585" w:rsidRDefault="00626E49" w:rsidP="00406880">
      <w:pPr>
        <w:wordWrap/>
        <w:spacing w:line="384" w:lineRule="auto"/>
        <w:jc w:val="left"/>
        <w:rPr>
          <w:rFonts w:ascii="Times New Roman" w:hAnsi="Times New Roman" w:cs="Times New Roman"/>
          <w:b/>
          <w:szCs w:val="20"/>
        </w:rPr>
      </w:pPr>
      <w:r w:rsidRPr="003F2585">
        <w:rPr>
          <w:rFonts w:ascii="Times New Roman" w:hAnsi="Times New Roman" w:cs="Times New Roman"/>
          <w:b/>
          <w:szCs w:val="20"/>
        </w:rPr>
        <w:lastRenderedPageBreak/>
        <w:t xml:space="preserve">Supplemental </w:t>
      </w:r>
      <w:bookmarkStart w:id="0" w:name="_Hlk161158851"/>
      <w:r w:rsidR="000C05B4" w:rsidRPr="003F2585">
        <w:rPr>
          <w:rFonts w:ascii="Times New Roman" w:hAnsi="Times New Roman" w:cs="Times New Roman"/>
          <w:b/>
          <w:szCs w:val="20"/>
        </w:rPr>
        <w:t>Materials and Methods</w:t>
      </w:r>
    </w:p>
    <w:bookmarkEnd w:id="0"/>
    <w:p w14:paraId="03748F30"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OVX mice and the BAT-deficient mouse model</w:t>
      </w:r>
    </w:p>
    <w:p w14:paraId="29A5C5DB" w14:textId="77777777" w:rsidR="000C05B4" w:rsidRPr="003F2585" w:rsidRDefault="000C05B4" w:rsidP="000C05B4">
      <w:pPr>
        <w:wordWrap/>
        <w:spacing w:line="384" w:lineRule="auto"/>
        <w:rPr>
          <w:rFonts w:ascii="Times New Roman" w:hAnsi="Times New Roman" w:cs="Times New Roman"/>
          <w:szCs w:val="20"/>
          <w:shd w:val="clear" w:color="auto" w:fill="FFFFFF"/>
        </w:rPr>
      </w:pPr>
      <w:r w:rsidRPr="003F2585">
        <w:rPr>
          <w:rFonts w:ascii="Times New Roman" w:hAnsi="Times New Roman" w:cs="Times New Roman"/>
          <w:szCs w:val="20"/>
          <w:shd w:val="clear" w:color="auto" w:fill="FFFFFF"/>
        </w:rPr>
        <w:t>Female C57BL/6J mice (8 weeks old) were anesthetized and a 50 mm incision was made on their backs. Ovaries on both sides were exposed and removed after tubal ligation, and the wound was sutured. Sham group animals underwent a similar procedure but the ovaries were not removed. Male C57BL/6J mice (8 weeks old) were anesthetized, their skin incised, and the interscapular BAT was completely excised.</w:t>
      </w:r>
    </w:p>
    <w:p w14:paraId="57A43CD9"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RNA extraction and real-time PCR analysis</w:t>
      </w:r>
    </w:p>
    <w:p w14:paraId="52BF25F3"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RNA was isolated from BAT using the </w:t>
      </w:r>
      <w:proofErr w:type="spellStart"/>
      <w:r w:rsidRPr="003F2585">
        <w:rPr>
          <w:rFonts w:ascii="Times New Roman" w:hAnsi="Times New Roman" w:cs="Times New Roman"/>
          <w:szCs w:val="20"/>
        </w:rPr>
        <w:t>TRIzol</w:t>
      </w:r>
      <w:proofErr w:type="spellEnd"/>
      <w:r w:rsidRPr="003F2585">
        <w:rPr>
          <w:rFonts w:ascii="Times New Roman" w:hAnsi="Times New Roman" w:cs="Times New Roman"/>
          <w:szCs w:val="20"/>
        </w:rPr>
        <w:t xml:space="preserve"> method (Life Technologies, Eugene, OR, USA). The extracted RNA was then converted into complementary DNA (cDNA) using M-MLV reverse transcriptase and oligo-dT primers (Invitrogen, Carlsbad, CA, USA). For amplification of specific gene sequences, each cDNA sample was processed using SYBR Green PCR Master Mix (Applied Biosystems, Foster City, CA, USA) and appropriate primers in a 7500 Fast Real-Time PCR System with Software version 2.0.6 (Applied Biosystems). The relative gene expression levels were quantified using the ΔΔCT method with Applied Biosystems 7500 Software (version 2.0.6), and normalization was done against the 18S housekeeping gene. Primer sequences are shown in Table 3.</w:t>
      </w:r>
    </w:p>
    <w:p w14:paraId="0A1FC24F"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Western blot analysis</w:t>
      </w:r>
    </w:p>
    <w:p w14:paraId="7F6DFACE"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Tissue samples were homogenized by Tissue </w:t>
      </w:r>
      <w:proofErr w:type="spellStart"/>
      <w:r w:rsidRPr="003F2585">
        <w:rPr>
          <w:rFonts w:ascii="Times New Roman" w:hAnsi="Times New Roman" w:cs="Times New Roman"/>
          <w:szCs w:val="20"/>
        </w:rPr>
        <w:t>lyser</w:t>
      </w:r>
      <w:proofErr w:type="spellEnd"/>
      <w:r w:rsidRPr="003F2585">
        <w:rPr>
          <w:rFonts w:ascii="Times New Roman" w:hAnsi="Times New Roman" w:cs="Times New Roman"/>
          <w:szCs w:val="20"/>
        </w:rPr>
        <w:t xml:space="preserve"> II (Qiagen, Venlo, Netherlands) using protein lysis buffer (50 mM Tris-HCl, pH 7.4, 1 mM EDTA, 150 mM NaCl, 0.1% Triton X-100) with protease inhibitor cocktail (#11836145001, Roche, Basel, Switzerland) and phosphate inhibitor (#04906837001, Roche). After homogenization, samples were centrifuged at 13,000 rpm for 15 min, and the supernatant was collected. To obtain pure protein samples, samples were centrifuged again. Protein concentrations were measured using the BCA protein assay (#23227, Thermo Fisher Scientific). Proteins (20 µg) were loaded on a sodium dodecyl sulfate-polyacrylamide gel and separated according to standard methods. The proteins were transferred to a 0.45 µM pore nitrocellulose membrane (</w:t>
      </w:r>
      <w:proofErr w:type="spellStart"/>
      <w:r w:rsidRPr="003F2585">
        <w:rPr>
          <w:rFonts w:ascii="Times New Roman" w:hAnsi="Times New Roman" w:cs="Times New Roman"/>
          <w:szCs w:val="20"/>
        </w:rPr>
        <w:t>Amersham</w:t>
      </w:r>
      <w:proofErr w:type="spellEnd"/>
      <w:r w:rsidRPr="003F2585">
        <w:rPr>
          <w:rFonts w:ascii="Times New Roman" w:hAnsi="Times New Roman" w:cs="Times New Roman"/>
          <w:szCs w:val="20"/>
        </w:rPr>
        <w:t xml:space="preserve"> Bioscience, Germany). Blocking was performed using 5% skim milk with TBST buffer for 1 h. Membranes were incubated with primary antibody overnight. After washing, the membranes were incubated with secondary antibodies for 2–4 h. Secondary antibodies were purchased from Santa Cruz Biotechnology and Cell Signaling Technology. ECL solution (</w:t>
      </w:r>
      <w:proofErr w:type="spellStart"/>
      <w:r w:rsidRPr="003F2585">
        <w:rPr>
          <w:rFonts w:ascii="Times New Roman" w:hAnsi="Times New Roman" w:cs="Times New Roman"/>
          <w:szCs w:val="20"/>
        </w:rPr>
        <w:t>Advansta</w:t>
      </w:r>
      <w:proofErr w:type="spellEnd"/>
      <w:r w:rsidRPr="003F2585">
        <w:rPr>
          <w:rFonts w:ascii="Times New Roman" w:hAnsi="Times New Roman" w:cs="Times New Roman"/>
          <w:szCs w:val="20"/>
        </w:rPr>
        <w:t xml:space="preserve">, USA) was spread to the membranes to detect immunoreactive protein bands, and images were obtained using the ODYSSEY instrument and Image </w:t>
      </w:r>
      <w:proofErr w:type="spellStart"/>
      <w:r w:rsidRPr="003F2585">
        <w:rPr>
          <w:rFonts w:ascii="Times New Roman" w:hAnsi="Times New Roman" w:cs="Times New Roman"/>
          <w:szCs w:val="20"/>
        </w:rPr>
        <w:t>StudioTM</w:t>
      </w:r>
      <w:proofErr w:type="spellEnd"/>
      <w:r w:rsidRPr="003F2585">
        <w:rPr>
          <w:rFonts w:ascii="Times New Roman" w:hAnsi="Times New Roman" w:cs="Times New Roman"/>
          <w:szCs w:val="20"/>
        </w:rPr>
        <w:t xml:space="preserve"> software (Li-COR Biosciences, Lincoln, NE, USA). The antibodies used are listed in Table 4.</w:t>
      </w:r>
    </w:p>
    <w:p w14:paraId="393BB430"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 xml:space="preserve">Serum measurement </w:t>
      </w:r>
    </w:p>
    <w:p w14:paraId="427C58F3"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Blood samples were collected by cardiac puncture of mice under general anesthesia. Samples were centrifuged at 10,000 rpm for 5 min. Serum levels of RANKL and free fatty acid were determined using specific enzyme-linked immunosorbent assays following the manufacturer’s protocols.</w:t>
      </w:r>
    </w:p>
    <w:p w14:paraId="376D2F01"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lastRenderedPageBreak/>
        <w:t xml:space="preserve">In vitro </w:t>
      </w:r>
      <w:proofErr w:type="spellStart"/>
      <w:r w:rsidRPr="003F2585">
        <w:rPr>
          <w:rFonts w:ascii="Times New Roman" w:hAnsi="Times New Roman" w:cs="Times New Roman"/>
          <w:b/>
          <w:szCs w:val="20"/>
        </w:rPr>
        <w:t>osteoclastogenesis</w:t>
      </w:r>
      <w:proofErr w:type="spellEnd"/>
    </w:p>
    <w:p w14:paraId="72B11333" w14:textId="77777777" w:rsidR="000C05B4" w:rsidRPr="003F2585" w:rsidRDefault="000C05B4" w:rsidP="000C05B4">
      <w:pPr>
        <w:wordWrap/>
        <w:spacing w:line="384" w:lineRule="auto"/>
        <w:rPr>
          <w:rFonts w:ascii="Times New Roman" w:hAnsi="Times New Roman" w:cs="Times New Roman"/>
          <w:i/>
          <w:szCs w:val="20"/>
        </w:rPr>
      </w:pPr>
      <w:r w:rsidRPr="003F2585">
        <w:rPr>
          <w:rFonts w:ascii="Times New Roman" w:hAnsi="Times New Roman" w:cs="Times New Roman"/>
          <w:szCs w:val="20"/>
        </w:rPr>
        <w:t xml:space="preserve">Bone marrow cells were harvested from the femurs of 6–8-week-old C57BL/6J mice using a sterile 21-gauge needle for flushing. These cells were then cultured in alpha-MEM supplemented with 10% FBS and 30 ng/mL of macrophage colony-stimulating factor (M-CSF) (R&amp;D Systems, Minneapolis, MN, USA). After 2 days, the adherent cells, corresponding to differentiated bone marrow-derived monocyte/macrophages, were further incubated with 50 ng/mL of RANKL and 10 ng/mL of M-CSF, with or without the addition of palmitic acid, to facilitate osteoclast formation. Following a 3-day culture period, the cells were fixed and subjected to TRAP staining using a kit (Sigma-Aldrich, St. Louis, MO, USA) </w:t>
      </w:r>
    </w:p>
    <w:p w14:paraId="0E3A8391"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T-cell activation.</w:t>
      </w:r>
    </w:p>
    <w:p w14:paraId="75D604D9"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Bone marrow cells were isolated from femurs of 8-week-old C57BL/6J mice. The cells were seeded in 24-well plates and cultured in RPMI-1640 medium containing 10% FBS. After 24 h, floating cells were collected and stimulated with Cell Stimulation Cocktail (</w:t>
      </w:r>
      <w:proofErr w:type="spellStart"/>
      <w:r w:rsidRPr="003F2585">
        <w:rPr>
          <w:rFonts w:ascii="Times New Roman" w:hAnsi="Times New Roman" w:cs="Times New Roman"/>
          <w:szCs w:val="20"/>
        </w:rPr>
        <w:t>eBioscience</w:t>
      </w:r>
      <w:proofErr w:type="spellEnd"/>
      <w:r w:rsidRPr="003F2585">
        <w:rPr>
          <w:rFonts w:ascii="Times New Roman" w:hAnsi="Times New Roman" w:cs="Times New Roman"/>
          <w:szCs w:val="20"/>
        </w:rPr>
        <w:t>, San Diego, CA, USA) for 5 h and harvested. The cells were fixed and permeabilized using Fixation/Permeabilization Buffer kit (</w:t>
      </w:r>
      <w:proofErr w:type="spellStart"/>
      <w:r w:rsidRPr="003F2585">
        <w:rPr>
          <w:rFonts w:ascii="Times New Roman" w:hAnsi="Times New Roman" w:cs="Times New Roman"/>
          <w:szCs w:val="20"/>
        </w:rPr>
        <w:t>eBioscience</w:t>
      </w:r>
      <w:proofErr w:type="spellEnd"/>
      <w:r w:rsidRPr="003F2585">
        <w:rPr>
          <w:rFonts w:ascii="Times New Roman" w:hAnsi="Times New Roman" w:cs="Times New Roman"/>
          <w:szCs w:val="20"/>
        </w:rPr>
        <w:t>, San Diego, CA, USA), and stained for intracellular cytokines with anti-CD254 PE and anti- IFN-</w:t>
      </w:r>
      <w:r w:rsidRPr="003F2585">
        <w:rPr>
          <w:rFonts w:ascii="Times New Roman" w:hAnsi="Times New Roman" w:cs="Times New Roman"/>
          <w:color w:val="4D5156"/>
          <w:szCs w:val="20"/>
          <w:shd w:val="clear" w:color="auto" w:fill="FFFFFF"/>
        </w:rPr>
        <w:t>γ</w:t>
      </w:r>
      <w:r w:rsidRPr="003F2585">
        <w:rPr>
          <w:rFonts w:ascii="Times New Roman" w:hAnsi="Times New Roman" w:cs="Times New Roman"/>
          <w:szCs w:val="20"/>
        </w:rPr>
        <w:t xml:space="preserve"> APC antibodies. Multicolor flow cytometry analysis was conducted using the </w:t>
      </w:r>
      <w:proofErr w:type="spellStart"/>
      <w:r w:rsidRPr="003F2585">
        <w:rPr>
          <w:rFonts w:ascii="Times New Roman" w:hAnsi="Times New Roman" w:cs="Times New Roman"/>
          <w:szCs w:val="20"/>
        </w:rPr>
        <w:t>LSRFortessa</w:t>
      </w:r>
      <w:proofErr w:type="spellEnd"/>
      <w:r w:rsidRPr="003F2585">
        <w:rPr>
          <w:rFonts w:ascii="Times New Roman" w:hAnsi="Times New Roman" w:cs="Times New Roman"/>
          <w:szCs w:val="20"/>
        </w:rPr>
        <w:t xml:space="preserve"> flow cytometer (BD Biosciences, NJ, USA), and the resulting data were processed and interpreted with the aid of </w:t>
      </w:r>
      <w:proofErr w:type="spellStart"/>
      <w:r w:rsidRPr="003F2585">
        <w:rPr>
          <w:rFonts w:ascii="Times New Roman" w:hAnsi="Times New Roman" w:cs="Times New Roman"/>
          <w:szCs w:val="20"/>
        </w:rPr>
        <w:t>FlowJo</w:t>
      </w:r>
      <w:proofErr w:type="spellEnd"/>
      <w:r w:rsidRPr="003F2585">
        <w:rPr>
          <w:rFonts w:ascii="Times New Roman" w:hAnsi="Times New Roman" w:cs="Times New Roman"/>
          <w:szCs w:val="20"/>
        </w:rPr>
        <w:t xml:space="preserve"> software (Tree Star, Ashland, OR, USA). </w:t>
      </w:r>
    </w:p>
    <w:p w14:paraId="2E84FB5C"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Flow cytometry analysis.</w:t>
      </w:r>
    </w:p>
    <w:p w14:paraId="3EABBC15" w14:textId="77777777" w:rsidR="000C05B4" w:rsidRPr="003F2585" w:rsidRDefault="000C05B4" w:rsidP="000C05B4">
      <w:pPr>
        <w:wordWrap/>
        <w:spacing w:line="384" w:lineRule="auto"/>
        <w:rPr>
          <w:rFonts w:ascii="Times New Roman" w:hAnsi="Times New Roman" w:cs="Times New Roman"/>
          <w:kern w:val="0"/>
          <w:szCs w:val="20"/>
        </w:rPr>
      </w:pPr>
      <w:r w:rsidRPr="003F2585">
        <w:rPr>
          <w:rFonts w:ascii="Times New Roman" w:hAnsi="Times New Roman" w:cs="Times New Roman"/>
          <w:kern w:val="0"/>
          <w:szCs w:val="20"/>
        </w:rPr>
        <w:t xml:space="preserve">Isolated bone marrow cells were passed through a 70-μm cell strainer, rinsed with phosphate-buffered saline, and then resuspended in 40% </w:t>
      </w:r>
      <w:proofErr w:type="spellStart"/>
      <w:r w:rsidRPr="003F2585">
        <w:rPr>
          <w:rFonts w:ascii="Times New Roman" w:hAnsi="Times New Roman" w:cs="Times New Roman"/>
          <w:kern w:val="0"/>
          <w:szCs w:val="20"/>
        </w:rPr>
        <w:t>Percoll</w:t>
      </w:r>
      <w:proofErr w:type="spellEnd"/>
      <w:r w:rsidRPr="003F2585">
        <w:rPr>
          <w:rFonts w:ascii="Times New Roman" w:hAnsi="Times New Roman" w:cs="Times New Roman"/>
          <w:kern w:val="0"/>
          <w:szCs w:val="20"/>
        </w:rPr>
        <w:t xml:space="preserve"> solution (GE Healthcare, </w:t>
      </w:r>
      <w:r w:rsidRPr="003F2585">
        <w:rPr>
          <w:rFonts w:ascii="Times New Roman" w:hAnsi="Times New Roman" w:cs="Times New Roman"/>
          <w:kern w:val="0"/>
          <w:szCs w:val="20"/>
          <w:shd w:val="clear" w:color="auto" w:fill="FFFFFF"/>
        </w:rPr>
        <w:t>Chalfont St Giles,</w:t>
      </w:r>
      <w:r w:rsidRPr="003F2585">
        <w:rPr>
          <w:rFonts w:ascii="Times New Roman" w:hAnsi="Times New Roman" w:cs="Times New Roman"/>
          <w:kern w:val="0"/>
          <w:szCs w:val="20"/>
        </w:rPr>
        <w:t xml:space="preserve"> UK). The suspension was subjected to centrifugation at 2,400 rpm for 30 min at a temperature of 4°C. Subsequently, the cells were treated with fluorochrome-labeled monoclonal antibodies for a duration of 60 min at 4°C. The antibodies used in this study are listed in Table 4. To prevent non-specific antibody attachment, cells were initially treated with an anti-mouse CD16/32, which blocks mouse Fc receptors. (BD Biosciences, San Jose, CA, USA) Before applying specific antibodies for staining, bone marrow cells were pre-treated with a Cell Stimulation Cocktail (</w:t>
      </w:r>
      <w:proofErr w:type="spellStart"/>
      <w:r w:rsidRPr="003F2585">
        <w:rPr>
          <w:rFonts w:ascii="Times New Roman" w:hAnsi="Times New Roman" w:cs="Times New Roman"/>
          <w:kern w:val="0"/>
          <w:szCs w:val="20"/>
        </w:rPr>
        <w:t>eBioscience</w:t>
      </w:r>
      <w:proofErr w:type="spellEnd"/>
      <w:r w:rsidRPr="003F2585">
        <w:rPr>
          <w:rFonts w:ascii="Times New Roman" w:hAnsi="Times New Roman" w:cs="Times New Roman"/>
          <w:kern w:val="0"/>
          <w:szCs w:val="20"/>
        </w:rPr>
        <w:t>, San Diego, CA, USA) to facilitate intracellular staining for 5 h. The cells were fixed and permeabilized using a Fixation/Permeabilization Buffer kit (</w:t>
      </w:r>
      <w:proofErr w:type="spellStart"/>
      <w:r w:rsidRPr="003F2585">
        <w:rPr>
          <w:rFonts w:ascii="Times New Roman" w:hAnsi="Times New Roman" w:cs="Times New Roman"/>
          <w:kern w:val="0"/>
          <w:szCs w:val="20"/>
        </w:rPr>
        <w:t>eBioscience</w:t>
      </w:r>
      <w:proofErr w:type="spellEnd"/>
      <w:r w:rsidRPr="003F2585">
        <w:rPr>
          <w:rFonts w:ascii="Times New Roman" w:hAnsi="Times New Roman" w:cs="Times New Roman"/>
          <w:kern w:val="0"/>
          <w:szCs w:val="20"/>
        </w:rPr>
        <w:t xml:space="preserve">, San Diego, CA, USA), and then washed and resuspended in 1% formaldehyde, and further stained for intracellular cytokines with anti-IFN-γ-APC, anti-CD254-PE, or anti-IL-17A-APC antibody. Foxp3 staining was performed after fixation and permeabilization using the </w:t>
      </w:r>
      <w:proofErr w:type="spellStart"/>
      <w:r w:rsidRPr="003F2585">
        <w:rPr>
          <w:rFonts w:ascii="Times New Roman" w:hAnsi="Times New Roman" w:cs="Times New Roman"/>
          <w:kern w:val="0"/>
          <w:szCs w:val="20"/>
        </w:rPr>
        <w:t>eBioscience</w:t>
      </w:r>
      <w:proofErr w:type="spellEnd"/>
      <w:r w:rsidRPr="003F2585">
        <w:rPr>
          <w:rFonts w:ascii="Times New Roman" w:hAnsi="Times New Roman" w:cs="Times New Roman"/>
          <w:kern w:val="0"/>
          <w:szCs w:val="20"/>
        </w:rPr>
        <w:t xml:space="preserve"> Foxp3 staining kit.</w:t>
      </w:r>
    </w:p>
    <w:p w14:paraId="5D5B4C4A"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Bone histological analysis</w:t>
      </w:r>
    </w:p>
    <w:p w14:paraId="128AAAD9"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For the examination of bone histology, the femurs and tibias of the mice were collected, cleared of skin, and preserved in 4% paraformaldehyde overnight at ambient temperature. Subsequently, the samples were dehydrated using an ethanol solution and were decalcified with 10% solution of ethylenediaminetetraacetic acid (Sigma-Aldrich, Dorset, UK) for 4 weeks at room temperature. The buffer was changed every 3–4 days until </w:t>
      </w:r>
      <w:r w:rsidRPr="003F2585">
        <w:rPr>
          <w:rFonts w:ascii="Times New Roman" w:hAnsi="Times New Roman" w:cs="Times New Roman"/>
          <w:szCs w:val="20"/>
        </w:rPr>
        <w:lastRenderedPageBreak/>
        <w:t xml:space="preserve">complete decalcification. The tissues were embedded in paraffin, and 4-μm sagittal-oriented sections were prepared and stained with H&amp;E and TRAP for histological analysis using standard protocols. For von </w:t>
      </w:r>
      <w:proofErr w:type="spellStart"/>
      <w:r w:rsidRPr="003F2585">
        <w:rPr>
          <w:rFonts w:ascii="Times New Roman" w:hAnsi="Times New Roman" w:cs="Times New Roman"/>
          <w:szCs w:val="20"/>
        </w:rPr>
        <w:t>Kossa</w:t>
      </w:r>
      <w:proofErr w:type="spellEnd"/>
      <w:r w:rsidRPr="003F2585">
        <w:rPr>
          <w:rFonts w:ascii="Times New Roman" w:hAnsi="Times New Roman" w:cs="Times New Roman"/>
          <w:szCs w:val="20"/>
        </w:rPr>
        <w:t xml:space="preserve"> staining, undecalcified bones were embedded in methyl‐methacrylate (Sigma) and 6-µm-thick sections were stained with von </w:t>
      </w:r>
      <w:proofErr w:type="spellStart"/>
      <w:r w:rsidRPr="003F2585">
        <w:rPr>
          <w:rFonts w:ascii="Times New Roman" w:hAnsi="Times New Roman" w:cs="Times New Roman"/>
          <w:szCs w:val="20"/>
        </w:rPr>
        <w:t>Kossa</w:t>
      </w:r>
      <w:proofErr w:type="spellEnd"/>
      <w:r w:rsidRPr="003F2585">
        <w:rPr>
          <w:rFonts w:ascii="Times New Roman" w:hAnsi="Times New Roman" w:cs="Times New Roman"/>
          <w:szCs w:val="20"/>
        </w:rPr>
        <w:t xml:space="preserve"> reagent. </w:t>
      </w:r>
    </w:p>
    <w:p w14:paraId="6CC8F2E3"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Histological analysis</w:t>
      </w:r>
    </w:p>
    <w:p w14:paraId="741AE72C"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BAT and </w:t>
      </w:r>
      <w:proofErr w:type="spellStart"/>
      <w:r w:rsidRPr="003F2585">
        <w:rPr>
          <w:rFonts w:ascii="Times New Roman" w:hAnsi="Times New Roman" w:cs="Times New Roman"/>
          <w:szCs w:val="20"/>
        </w:rPr>
        <w:t>iWAT</w:t>
      </w:r>
      <w:proofErr w:type="spellEnd"/>
      <w:r w:rsidRPr="003F2585">
        <w:rPr>
          <w:rFonts w:ascii="Times New Roman" w:hAnsi="Times New Roman" w:cs="Times New Roman"/>
          <w:szCs w:val="20"/>
        </w:rPr>
        <w:t xml:space="preserve"> tissues were fixed in 4% paraformaldehyde (PFA) for 24 h. Following dehydration in ethanol, the samples were embedded in paraffin. For hematoxylin and eosin staining, sections with a thickness of 4 µm were deparaffinized with xylene and rehydrated through a graded series of ethanol to water. The sections were then stained with hematoxylin for 4 min followed by eosin staining for 2 min. Immunohistochemistry was performed according to standard protocols.</w:t>
      </w:r>
    </w:p>
    <w:p w14:paraId="0494726E" w14:textId="77777777" w:rsidR="000C05B4" w:rsidRPr="003F2585" w:rsidRDefault="000C05B4" w:rsidP="000C05B4">
      <w:pPr>
        <w:wordWrap/>
        <w:spacing w:line="384" w:lineRule="auto"/>
        <w:rPr>
          <w:rFonts w:ascii="Times New Roman" w:hAnsi="Times New Roman" w:cs="Times New Roman"/>
          <w:b/>
          <w:szCs w:val="20"/>
        </w:rPr>
      </w:pPr>
      <w:r w:rsidRPr="003F2585">
        <w:rPr>
          <w:rFonts w:ascii="Times New Roman" w:hAnsi="Times New Roman" w:cs="Times New Roman"/>
          <w:b/>
          <w:szCs w:val="20"/>
        </w:rPr>
        <w:t>LC-MS measurements</w:t>
      </w:r>
    </w:p>
    <w:p w14:paraId="4DF68E7F" w14:textId="77777777" w:rsidR="000C05B4" w:rsidRPr="003F2585" w:rsidRDefault="000C05B4" w:rsidP="000C05B4">
      <w:pPr>
        <w:spacing w:line="384" w:lineRule="auto"/>
        <w:rPr>
          <w:rFonts w:ascii="Times New Roman" w:hAnsi="Times New Roman" w:cs="Times New Roman"/>
          <w:szCs w:val="20"/>
        </w:rPr>
      </w:pPr>
      <w:r w:rsidRPr="003F2585">
        <w:rPr>
          <w:rFonts w:ascii="Times New Roman" w:hAnsi="Times New Roman" w:cs="Times New Roman"/>
          <w:szCs w:val="20"/>
        </w:rPr>
        <w:t>Plasma samples were analyzed using LC-MS on an LCMS-8060 instrument. To analyze a broad spectrum of water-soluble metabolites, the prepared samples underwent separation on a Discovery HS-F5-3 column with specific dimensions and particle size using two solvent phases with distinct compositions. The column was maintained at a controlled temperature. The column was eluted using a gradient elution program, with flow rates and solvent compositions varying over time. The heated electrospray ionization (ESI) source operated in both negative and positive ion modes, with multiple reaction monitoring, and parameters such as gas flow rates, temperatures, and pressures were carefully set for optimal results.</w:t>
      </w:r>
    </w:p>
    <w:p w14:paraId="06C5823F"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For the separation of </w:t>
      </w:r>
      <w:proofErr w:type="spellStart"/>
      <w:r w:rsidRPr="003F2585">
        <w:rPr>
          <w:rFonts w:ascii="Times New Roman" w:hAnsi="Times New Roman" w:cs="Times New Roman"/>
          <w:szCs w:val="20"/>
        </w:rPr>
        <w:t>acylcarnitines</w:t>
      </w:r>
      <w:proofErr w:type="spellEnd"/>
      <w:r w:rsidRPr="003F2585">
        <w:rPr>
          <w:rFonts w:ascii="Times New Roman" w:hAnsi="Times New Roman" w:cs="Times New Roman"/>
          <w:szCs w:val="20"/>
        </w:rPr>
        <w:t>, a different column was used with predefined mobile phases and temperature settings. The gradient elution program was adjusted to cater for the specific requirements of acylcarnitine separation. Detection was carried out in positive ESI mode, with the collision energy adjusted according to the lengths of the fatty acids.</w:t>
      </w:r>
    </w:p>
    <w:p w14:paraId="622251C6"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For the separation of free fatty acids, separation was achieved using an ACQUITY BEH Amide column, with a specific mobile phase composition and temperature. The gradient elution program was tailored for free fatty acids, and detection was conducted in negative ESI mode with selected ion monitoring.</w:t>
      </w:r>
    </w:p>
    <w:p w14:paraId="59A7FD2F"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Bile acids were separated using an ACQUITY BEH Amide column, but with different solvent compositions and a higher column temperature. The gradient elution program was specifically designed for bile acids, and detection was done in negative ESI mode with multiple reaction monitoring.</w:t>
      </w:r>
    </w:p>
    <w:p w14:paraId="1CA8CF44" w14:textId="77777777" w:rsidR="000C05B4" w:rsidRPr="003F2585" w:rsidRDefault="000C05B4" w:rsidP="000C05B4">
      <w:pPr>
        <w:wordWrap/>
        <w:spacing w:line="384" w:lineRule="auto"/>
        <w:rPr>
          <w:rFonts w:ascii="Times New Roman" w:hAnsi="Times New Roman" w:cs="Times New Roman"/>
          <w:szCs w:val="20"/>
        </w:rPr>
      </w:pPr>
      <w:r w:rsidRPr="003F2585">
        <w:rPr>
          <w:rFonts w:ascii="Times New Roman" w:hAnsi="Times New Roman" w:cs="Times New Roman"/>
          <w:szCs w:val="20"/>
        </w:rPr>
        <w:t xml:space="preserve">Phospholipids were separated on a </w:t>
      </w:r>
      <w:proofErr w:type="spellStart"/>
      <w:r w:rsidRPr="003F2585">
        <w:rPr>
          <w:rFonts w:ascii="Times New Roman" w:hAnsi="Times New Roman" w:cs="Times New Roman"/>
          <w:szCs w:val="20"/>
        </w:rPr>
        <w:t>Kinetex</w:t>
      </w:r>
      <w:proofErr w:type="spellEnd"/>
      <w:r w:rsidRPr="003F2585">
        <w:rPr>
          <w:rFonts w:ascii="Times New Roman" w:hAnsi="Times New Roman" w:cs="Times New Roman"/>
          <w:szCs w:val="20"/>
        </w:rPr>
        <w:t xml:space="preserve"> C8 column, with a unique combination of solvents and a specific temperature setting. The gradient elution program was carefully planned, and phospholipid profiles were detected in positive ESI mode with multiple reaction monitoring.</w:t>
      </w:r>
    </w:p>
    <w:p w14:paraId="6BD0A53B" w14:textId="61603823" w:rsidR="003A6D2F" w:rsidRPr="003F2585" w:rsidRDefault="00B7719F" w:rsidP="003A6D2F">
      <w:pPr>
        <w:spacing w:line="384" w:lineRule="auto"/>
        <w:rPr>
          <w:rFonts w:ascii="Times New Roman" w:hAnsi="Times New Roman" w:cs="Times New Roman"/>
          <w:b/>
          <w:szCs w:val="20"/>
        </w:rPr>
      </w:pPr>
      <w:r w:rsidRPr="003F2585">
        <w:rPr>
          <w:rFonts w:ascii="Times New Roman" w:hAnsi="Times New Roman" w:cs="Times New Roman"/>
          <w:b/>
          <w:noProof/>
          <w:szCs w:val="20"/>
        </w:rPr>
        <w:lastRenderedPageBreak/>
        <w:drawing>
          <wp:anchor distT="0" distB="0" distL="114300" distR="114300" simplePos="0" relativeHeight="251655168" behindDoc="0" locked="0" layoutInCell="1" allowOverlap="1" wp14:anchorId="73337FA5" wp14:editId="27F2722F">
            <wp:simplePos x="0" y="0"/>
            <wp:positionH relativeFrom="column">
              <wp:posOffset>0</wp:posOffset>
            </wp:positionH>
            <wp:positionV relativeFrom="paragraph">
              <wp:posOffset>624840</wp:posOffset>
            </wp:positionV>
            <wp:extent cx="5724525" cy="1533525"/>
            <wp:effectExtent l="0" t="0" r="9525" b="9525"/>
            <wp:wrapTopAndBottom/>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5543" b="58759"/>
                    <a:stretch/>
                  </pic:blipFill>
                  <pic:spPr bwMode="auto">
                    <a:xfrm>
                      <a:off x="0" y="0"/>
                      <a:ext cx="5724525" cy="15335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3A6D2F" w:rsidRPr="003F2585">
        <w:rPr>
          <w:rFonts w:ascii="Times New Roman" w:hAnsi="Times New Roman" w:cs="Times New Roman"/>
          <w:b/>
          <w:szCs w:val="20"/>
        </w:rPr>
        <w:t>Legends to supplementary figures</w:t>
      </w:r>
    </w:p>
    <w:p w14:paraId="333C1696" w14:textId="7BB4C7C1" w:rsidR="00B7719F" w:rsidRPr="003F2585" w:rsidRDefault="00B7719F" w:rsidP="003A6D2F">
      <w:pPr>
        <w:spacing w:line="384" w:lineRule="auto"/>
        <w:rPr>
          <w:rFonts w:ascii="Times New Roman" w:hAnsi="Times New Roman" w:cs="Times New Roman"/>
          <w:b/>
          <w:szCs w:val="20"/>
        </w:rPr>
      </w:pPr>
    </w:p>
    <w:p w14:paraId="3E5FB71A" w14:textId="7D477E78" w:rsidR="00B7719F" w:rsidRPr="003F2585" w:rsidRDefault="003A6D2F" w:rsidP="003A6D2F">
      <w:pPr>
        <w:spacing w:line="384" w:lineRule="auto"/>
        <w:rPr>
          <w:rFonts w:ascii="Times New Roman" w:hAnsi="Times New Roman" w:cs="Times New Roman"/>
          <w:kern w:val="0"/>
          <w:szCs w:val="20"/>
        </w:rPr>
      </w:pPr>
      <w:r w:rsidRPr="003F2585">
        <w:rPr>
          <w:rFonts w:ascii="Times New Roman" w:hAnsi="Times New Roman" w:cs="Times New Roman"/>
          <w:b/>
          <w:kern w:val="0"/>
          <w:szCs w:val="20"/>
        </w:rPr>
        <w:t>Supplementary Figure 1</w:t>
      </w:r>
      <w:r w:rsidRPr="003F2585">
        <w:rPr>
          <w:rFonts w:ascii="Times New Roman" w:hAnsi="Times New Roman" w:cs="Times New Roman"/>
          <w:szCs w:val="20"/>
        </w:rPr>
        <w:t xml:space="preserve"> </w:t>
      </w:r>
      <w:bookmarkStart w:id="1" w:name="_Hlk159181202"/>
      <w:proofErr w:type="gramStart"/>
      <w:r w:rsidRPr="003F2585">
        <w:rPr>
          <w:rFonts w:ascii="Times New Roman" w:hAnsi="Times New Roman" w:cs="Times New Roman"/>
          <w:b/>
          <w:szCs w:val="20"/>
        </w:rPr>
        <w:t>A</w:t>
      </w:r>
      <w:proofErr w:type="gramEnd"/>
      <w:r w:rsidRPr="003F2585">
        <w:rPr>
          <w:rFonts w:ascii="Times New Roman" w:hAnsi="Times New Roman" w:cs="Times New Roman"/>
          <w:szCs w:val="20"/>
        </w:rPr>
        <w:t xml:space="preserve"> </w:t>
      </w:r>
      <w:r w:rsidRPr="003F2585">
        <w:rPr>
          <w:rFonts w:ascii="Times New Roman" w:hAnsi="Times New Roman" w:cs="Times New Roman"/>
          <w:kern w:val="0"/>
          <w:szCs w:val="20"/>
        </w:rPr>
        <w:t>Illustrative micro-CT images showing the cortical areas in the lower section of the femur</w:t>
      </w:r>
      <w:bookmarkEnd w:id="1"/>
      <w:r w:rsidRPr="003F2585">
        <w:rPr>
          <w:rFonts w:ascii="Times New Roman" w:hAnsi="Times New Roman" w:cs="Times New Roman"/>
          <w:kern w:val="0"/>
          <w:szCs w:val="20"/>
        </w:rPr>
        <w:t xml:space="preserve">. </w:t>
      </w:r>
      <w:r w:rsidRPr="003F2585">
        <w:rPr>
          <w:rFonts w:ascii="Times New Roman" w:hAnsi="Times New Roman" w:cs="Times New Roman"/>
          <w:b/>
          <w:kern w:val="0"/>
          <w:szCs w:val="20"/>
        </w:rPr>
        <w:t>B</w:t>
      </w:r>
      <w:r w:rsidRPr="003F2585">
        <w:rPr>
          <w:rFonts w:ascii="Times New Roman" w:hAnsi="Times New Roman" w:cs="Times New Roman"/>
          <w:kern w:val="0"/>
          <w:szCs w:val="20"/>
        </w:rPr>
        <w:t xml:space="preserve"> Measurements of </w:t>
      </w:r>
      <w:proofErr w:type="spellStart"/>
      <w:r w:rsidRPr="003F2585">
        <w:rPr>
          <w:rFonts w:ascii="Times New Roman" w:hAnsi="Times New Roman" w:cs="Times New Roman"/>
          <w:kern w:val="0"/>
          <w:szCs w:val="20"/>
        </w:rPr>
        <w:t>Ct.BMD</w:t>
      </w:r>
      <w:proofErr w:type="spellEnd"/>
      <w:r w:rsidRPr="003F2585">
        <w:rPr>
          <w:rFonts w:ascii="Times New Roman" w:hAnsi="Times New Roman" w:cs="Times New Roman"/>
          <w:kern w:val="0"/>
          <w:szCs w:val="20"/>
        </w:rPr>
        <w:t xml:space="preserve">, Ct.BV, and </w:t>
      </w:r>
      <w:proofErr w:type="spellStart"/>
      <w:proofErr w:type="gramStart"/>
      <w:r w:rsidRPr="003F2585">
        <w:rPr>
          <w:rFonts w:ascii="Times New Roman" w:hAnsi="Times New Roman" w:cs="Times New Roman"/>
          <w:kern w:val="0"/>
          <w:szCs w:val="20"/>
        </w:rPr>
        <w:t>Ct.Th</w:t>
      </w:r>
      <w:proofErr w:type="spellEnd"/>
      <w:proofErr w:type="gramEnd"/>
      <w:r w:rsidRPr="003F2585">
        <w:rPr>
          <w:rFonts w:ascii="Times New Roman" w:hAnsi="Times New Roman" w:cs="Times New Roman"/>
          <w:kern w:val="0"/>
          <w:szCs w:val="20"/>
        </w:rPr>
        <w:t xml:space="preserve"> in the femur.</w:t>
      </w:r>
    </w:p>
    <w:p w14:paraId="20D6C341" w14:textId="77777777" w:rsidR="00B7719F" w:rsidRPr="003F2585" w:rsidRDefault="00B7719F">
      <w:pPr>
        <w:widowControl/>
        <w:wordWrap/>
        <w:autoSpaceDE/>
        <w:autoSpaceDN/>
        <w:spacing w:after="200" w:line="276" w:lineRule="auto"/>
        <w:rPr>
          <w:rFonts w:ascii="Times New Roman" w:hAnsi="Times New Roman" w:cs="Times New Roman"/>
          <w:kern w:val="0"/>
          <w:szCs w:val="20"/>
        </w:rPr>
      </w:pPr>
      <w:r w:rsidRPr="003F2585">
        <w:rPr>
          <w:rFonts w:ascii="Times New Roman" w:hAnsi="Times New Roman" w:cs="Times New Roman"/>
          <w:kern w:val="0"/>
          <w:szCs w:val="20"/>
        </w:rPr>
        <w:br w:type="page"/>
      </w:r>
    </w:p>
    <w:p w14:paraId="1DE645C0" w14:textId="45A2268B" w:rsidR="003A6D2F" w:rsidRPr="003F2585" w:rsidRDefault="00B7719F" w:rsidP="00B7719F">
      <w:pPr>
        <w:widowControl/>
        <w:wordWrap/>
        <w:autoSpaceDE/>
        <w:autoSpaceDN/>
        <w:spacing w:after="200" w:line="276" w:lineRule="auto"/>
        <w:rPr>
          <w:rFonts w:ascii="Times New Roman" w:hAnsi="Times New Roman" w:cs="Times New Roman"/>
          <w:kern w:val="0"/>
          <w:szCs w:val="20"/>
        </w:rPr>
      </w:pPr>
      <w:r w:rsidRPr="003F2585">
        <w:rPr>
          <w:rFonts w:ascii="Times New Roman" w:hAnsi="Times New Roman" w:cs="Times New Roman"/>
          <w:noProof/>
          <w:kern w:val="0"/>
          <w:szCs w:val="20"/>
        </w:rPr>
        <w:lastRenderedPageBreak/>
        <w:drawing>
          <wp:anchor distT="0" distB="0" distL="114300" distR="114300" simplePos="0" relativeHeight="251657216" behindDoc="0" locked="0" layoutInCell="1" allowOverlap="1" wp14:anchorId="0FE80E6F" wp14:editId="6D95A5D0">
            <wp:simplePos x="0" y="0"/>
            <wp:positionH relativeFrom="column">
              <wp:posOffset>0</wp:posOffset>
            </wp:positionH>
            <wp:positionV relativeFrom="paragraph">
              <wp:posOffset>-3810</wp:posOffset>
            </wp:positionV>
            <wp:extent cx="5724525" cy="3438525"/>
            <wp:effectExtent l="0" t="0" r="9525" b="9525"/>
            <wp:wrapTopAndBottom/>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19955"/>
                    <a:stretch/>
                  </pic:blipFill>
                  <pic:spPr bwMode="auto">
                    <a:xfrm>
                      <a:off x="0" y="0"/>
                      <a:ext cx="5724525" cy="34385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61059CF" w14:textId="3ACBC9AA" w:rsidR="00B7719F" w:rsidRPr="003F2585" w:rsidRDefault="003A6D2F" w:rsidP="003A6D2F">
      <w:pPr>
        <w:widowControl/>
        <w:wordWrap/>
        <w:autoSpaceDE/>
        <w:spacing w:line="384" w:lineRule="auto"/>
        <w:rPr>
          <w:rFonts w:ascii="Times New Roman" w:hAnsi="Times New Roman" w:cs="Times New Roman"/>
          <w:kern w:val="0"/>
          <w:szCs w:val="20"/>
        </w:rPr>
      </w:pPr>
      <w:r w:rsidRPr="003F2585">
        <w:rPr>
          <w:rFonts w:ascii="Times New Roman" w:hAnsi="Times New Roman" w:cs="Times New Roman"/>
          <w:b/>
          <w:kern w:val="0"/>
          <w:szCs w:val="20"/>
        </w:rPr>
        <w:t>Supplementary Figure 2</w:t>
      </w:r>
      <w:r w:rsidRPr="003F2585">
        <w:rPr>
          <w:rFonts w:ascii="Times New Roman" w:hAnsi="Times New Roman" w:cs="Times New Roman"/>
          <w:szCs w:val="20"/>
        </w:rPr>
        <w:t xml:space="preserve"> </w:t>
      </w:r>
      <w:r w:rsidRPr="003F2585">
        <w:rPr>
          <w:rFonts w:ascii="Times New Roman" w:hAnsi="Times New Roman" w:cs="Times New Roman"/>
          <w:b/>
          <w:szCs w:val="20"/>
        </w:rPr>
        <w:t>A</w:t>
      </w:r>
      <w:r w:rsidRPr="003F2585">
        <w:rPr>
          <w:rFonts w:ascii="Times New Roman" w:hAnsi="Times New Roman" w:cs="Times New Roman"/>
          <w:szCs w:val="20"/>
        </w:rPr>
        <w:t xml:space="preserve"> </w:t>
      </w:r>
      <w:r w:rsidRPr="003F2585">
        <w:rPr>
          <w:rFonts w:ascii="Times New Roman" w:hAnsi="Times New Roman" w:cs="Times New Roman"/>
          <w:kern w:val="0"/>
          <w:szCs w:val="20"/>
        </w:rPr>
        <w:t xml:space="preserve">Representative micro-CT images of cortical and trabecular regions in the distal femur. </w:t>
      </w:r>
      <w:r w:rsidRPr="003F2585">
        <w:rPr>
          <w:rFonts w:ascii="Times New Roman" w:hAnsi="Times New Roman" w:cs="Times New Roman"/>
          <w:b/>
          <w:kern w:val="0"/>
          <w:szCs w:val="20"/>
        </w:rPr>
        <w:t>B</w:t>
      </w:r>
      <w:r w:rsidRPr="003F2585">
        <w:rPr>
          <w:rFonts w:ascii="Times New Roman" w:hAnsi="Times New Roman" w:cs="Times New Roman"/>
          <w:kern w:val="0"/>
          <w:szCs w:val="20"/>
        </w:rPr>
        <w:t xml:space="preserve"> Measurement of bone parameters of the distal femur analyzed by micro-CT. To determine the statistical relevance of the findings, unpaired t-tests were used for analysis. *, P &lt; 0.05, **, P &lt; 0.01, and ***, P &lt; 0.001.</w:t>
      </w:r>
    </w:p>
    <w:p w14:paraId="016173D1" w14:textId="77777777" w:rsidR="00B7719F" w:rsidRPr="003F2585" w:rsidRDefault="00B7719F">
      <w:pPr>
        <w:widowControl/>
        <w:wordWrap/>
        <w:autoSpaceDE/>
        <w:autoSpaceDN/>
        <w:spacing w:after="200" w:line="276" w:lineRule="auto"/>
        <w:rPr>
          <w:rFonts w:ascii="Times New Roman" w:hAnsi="Times New Roman" w:cs="Times New Roman"/>
          <w:kern w:val="0"/>
          <w:szCs w:val="20"/>
        </w:rPr>
      </w:pPr>
      <w:r w:rsidRPr="003F2585">
        <w:rPr>
          <w:rFonts w:ascii="Times New Roman" w:hAnsi="Times New Roman" w:cs="Times New Roman"/>
          <w:kern w:val="0"/>
          <w:szCs w:val="20"/>
        </w:rPr>
        <w:br w:type="page"/>
      </w:r>
    </w:p>
    <w:p w14:paraId="585EF049" w14:textId="28AA7339" w:rsidR="00B7719F" w:rsidRPr="003F2585" w:rsidRDefault="00B7719F" w:rsidP="003A6D2F">
      <w:pPr>
        <w:widowControl/>
        <w:wordWrap/>
        <w:autoSpaceDE/>
        <w:spacing w:line="384" w:lineRule="auto"/>
        <w:rPr>
          <w:rFonts w:ascii="Times New Roman" w:hAnsi="Times New Roman" w:cs="Times New Roman"/>
          <w:kern w:val="0"/>
          <w:szCs w:val="20"/>
        </w:rPr>
      </w:pPr>
      <w:r w:rsidRPr="003F2585">
        <w:rPr>
          <w:rFonts w:ascii="Times New Roman" w:hAnsi="Times New Roman" w:cs="Times New Roman"/>
          <w:noProof/>
          <w:kern w:val="0"/>
          <w:szCs w:val="20"/>
        </w:rPr>
        <w:lastRenderedPageBreak/>
        <w:drawing>
          <wp:anchor distT="0" distB="0" distL="114300" distR="114300" simplePos="0" relativeHeight="251659264" behindDoc="0" locked="0" layoutInCell="1" allowOverlap="1" wp14:anchorId="13C4BCE8" wp14:editId="43AF31CB">
            <wp:simplePos x="0" y="0"/>
            <wp:positionH relativeFrom="column">
              <wp:posOffset>0</wp:posOffset>
            </wp:positionH>
            <wp:positionV relativeFrom="paragraph">
              <wp:posOffset>-3810</wp:posOffset>
            </wp:positionV>
            <wp:extent cx="5724525" cy="3390900"/>
            <wp:effectExtent l="0" t="0" r="9525" b="0"/>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8204" b="12860"/>
                    <a:stretch/>
                  </pic:blipFill>
                  <pic:spPr bwMode="auto">
                    <a:xfrm>
                      <a:off x="0" y="0"/>
                      <a:ext cx="5724525" cy="33909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5A1F6F62" w14:textId="37045334" w:rsidR="00B7719F" w:rsidRPr="003F2585" w:rsidRDefault="003A6D2F" w:rsidP="003A6D2F">
      <w:pPr>
        <w:widowControl/>
        <w:wordWrap/>
        <w:autoSpaceDE/>
        <w:spacing w:line="384" w:lineRule="auto"/>
        <w:rPr>
          <w:rFonts w:ascii="Times New Roman" w:hAnsi="Times New Roman" w:cs="Times New Roman"/>
          <w:kern w:val="0"/>
          <w:szCs w:val="20"/>
        </w:rPr>
      </w:pPr>
      <w:r w:rsidRPr="003F2585">
        <w:rPr>
          <w:rFonts w:ascii="Times New Roman" w:hAnsi="Times New Roman" w:cs="Times New Roman"/>
          <w:b/>
          <w:kern w:val="0"/>
          <w:szCs w:val="20"/>
        </w:rPr>
        <w:t>Supplementary Figure 3</w:t>
      </w:r>
      <w:r w:rsidRPr="003F2585">
        <w:rPr>
          <w:rFonts w:ascii="Times New Roman" w:hAnsi="Times New Roman" w:cs="Times New Roman"/>
          <w:szCs w:val="20"/>
        </w:rPr>
        <w:t xml:space="preserve"> </w:t>
      </w:r>
      <w:r w:rsidRPr="003F2585">
        <w:rPr>
          <w:rFonts w:ascii="Times New Roman" w:hAnsi="Times New Roman" w:cs="Times New Roman"/>
          <w:b/>
          <w:szCs w:val="20"/>
        </w:rPr>
        <w:t>A</w:t>
      </w:r>
      <w:r w:rsidRPr="003F2585">
        <w:rPr>
          <w:rFonts w:ascii="Times New Roman" w:hAnsi="Times New Roman" w:cs="Times New Roman"/>
          <w:szCs w:val="20"/>
        </w:rPr>
        <w:t xml:space="preserve"> </w:t>
      </w:r>
      <w:r w:rsidRPr="003F2585">
        <w:rPr>
          <w:rFonts w:ascii="Times New Roman" w:hAnsi="Times New Roman" w:cs="Times New Roman"/>
          <w:kern w:val="0"/>
          <w:szCs w:val="20"/>
        </w:rPr>
        <w:t xml:space="preserve">Representative micro-CT images of cortical and trabecular regions in the distal femur of control and BAT-specific mitochondrial dysfunction (BKO) mice at 20 weeks of age. </w:t>
      </w:r>
      <w:r w:rsidRPr="003F2585">
        <w:rPr>
          <w:rFonts w:ascii="Times New Roman" w:hAnsi="Times New Roman" w:cs="Times New Roman"/>
          <w:b/>
          <w:kern w:val="0"/>
          <w:szCs w:val="20"/>
        </w:rPr>
        <w:t>B</w:t>
      </w:r>
      <w:r w:rsidRPr="003F2585">
        <w:rPr>
          <w:rFonts w:ascii="Times New Roman" w:hAnsi="Times New Roman" w:cs="Times New Roman"/>
          <w:kern w:val="0"/>
          <w:szCs w:val="20"/>
        </w:rPr>
        <w:t xml:space="preserve"> Measurements of </w:t>
      </w:r>
      <w:proofErr w:type="spellStart"/>
      <w:r w:rsidRPr="003F2585">
        <w:rPr>
          <w:rFonts w:ascii="Times New Roman" w:hAnsi="Times New Roman" w:cs="Times New Roman"/>
          <w:kern w:val="0"/>
          <w:szCs w:val="20"/>
        </w:rPr>
        <w:t>Tb.BMD</w:t>
      </w:r>
      <w:proofErr w:type="spellEnd"/>
      <w:r w:rsidRPr="003F2585">
        <w:rPr>
          <w:rFonts w:ascii="Times New Roman" w:hAnsi="Times New Roman" w:cs="Times New Roman"/>
          <w:kern w:val="0"/>
          <w:szCs w:val="20"/>
        </w:rPr>
        <w:t xml:space="preserve">, Tb.BV, Tb.BV/TV, Tb.BS/TV, </w:t>
      </w:r>
      <w:proofErr w:type="spellStart"/>
      <w:proofErr w:type="gramStart"/>
      <w:r w:rsidRPr="003F2585">
        <w:rPr>
          <w:rFonts w:ascii="Times New Roman" w:hAnsi="Times New Roman" w:cs="Times New Roman"/>
          <w:kern w:val="0"/>
          <w:szCs w:val="20"/>
        </w:rPr>
        <w:t>Tb.Th</w:t>
      </w:r>
      <w:proofErr w:type="spellEnd"/>
      <w:proofErr w:type="gramEnd"/>
      <w:r w:rsidRPr="003F2585">
        <w:rPr>
          <w:rFonts w:ascii="Times New Roman" w:hAnsi="Times New Roman" w:cs="Times New Roman"/>
          <w:kern w:val="0"/>
          <w:szCs w:val="20"/>
        </w:rPr>
        <w:t xml:space="preserve">, </w:t>
      </w:r>
      <w:proofErr w:type="spellStart"/>
      <w:r w:rsidRPr="003F2585">
        <w:rPr>
          <w:rFonts w:ascii="Times New Roman" w:hAnsi="Times New Roman" w:cs="Times New Roman"/>
          <w:kern w:val="0"/>
          <w:szCs w:val="20"/>
        </w:rPr>
        <w:t>Tb.N</w:t>
      </w:r>
      <w:proofErr w:type="spellEnd"/>
      <w:r w:rsidRPr="003F2585">
        <w:rPr>
          <w:rFonts w:ascii="Times New Roman" w:hAnsi="Times New Roman" w:cs="Times New Roman"/>
          <w:kern w:val="0"/>
          <w:szCs w:val="20"/>
        </w:rPr>
        <w:t xml:space="preserve">, </w:t>
      </w:r>
      <w:proofErr w:type="spellStart"/>
      <w:r w:rsidRPr="003F2585">
        <w:rPr>
          <w:rFonts w:ascii="Times New Roman" w:hAnsi="Times New Roman" w:cs="Times New Roman"/>
          <w:kern w:val="0"/>
          <w:szCs w:val="20"/>
        </w:rPr>
        <w:t>Tb.Sp</w:t>
      </w:r>
      <w:proofErr w:type="spellEnd"/>
      <w:r w:rsidRPr="003F2585">
        <w:rPr>
          <w:rFonts w:ascii="Times New Roman" w:hAnsi="Times New Roman" w:cs="Times New Roman"/>
          <w:kern w:val="0"/>
          <w:szCs w:val="20"/>
        </w:rPr>
        <w:t xml:space="preserve">, and Tb/BS/BV. </w:t>
      </w:r>
      <w:r w:rsidRPr="003F2585">
        <w:rPr>
          <w:rFonts w:ascii="Times New Roman" w:hAnsi="Times New Roman" w:cs="Times New Roman"/>
          <w:b/>
          <w:kern w:val="0"/>
          <w:szCs w:val="20"/>
        </w:rPr>
        <w:t>C</w:t>
      </w:r>
      <w:r w:rsidRPr="003F2585">
        <w:rPr>
          <w:rFonts w:ascii="Times New Roman" w:hAnsi="Times New Roman" w:cs="Times New Roman"/>
          <w:kern w:val="0"/>
          <w:szCs w:val="20"/>
        </w:rPr>
        <w:t xml:space="preserve"> Von </w:t>
      </w:r>
      <w:proofErr w:type="spellStart"/>
      <w:r w:rsidRPr="003F2585">
        <w:rPr>
          <w:rFonts w:ascii="Times New Roman" w:hAnsi="Times New Roman" w:cs="Times New Roman"/>
          <w:kern w:val="0"/>
          <w:szCs w:val="20"/>
        </w:rPr>
        <w:t>Kossa</w:t>
      </w:r>
      <w:proofErr w:type="spellEnd"/>
      <w:r w:rsidRPr="003F2585">
        <w:rPr>
          <w:rFonts w:ascii="Times New Roman" w:hAnsi="Times New Roman" w:cs="Times New Roman"/>
          <w:kern w:val="0"/>
          <w:szCs w:val="20"/>
        </w:rPr>
        <w:t xml:space="preserve"> staining of undecalcified sections of the vertebrae of BKO and wild-type control mice. To determine the statistical relevance of the findings, unpaired t-tests were used for analysis. *, P &lt; 0.05 and **, P &lt; 0.01.</w:t>
      </w:r>
    </w:p>
    <w:p w14:paraId="28DE6251" w14:textId="77777777" w:rsidR="00B7719F" w:rsidRPr="003F2585" w:rsidRDefault="00B7719F">
      <w:pPr>
        <w:widowControl/>
        <w:wordWrap/>
        <w:autoSpaceDE/>
        <w:autoSpaceDN/>
        <w:spacing w:after="200" w:line="276" w:lineRule="auto"/>
        <w:rPr>
          <w:rFonts w:ascii="Times New Roman" w:hAnsi="Times New Roman" w:cs="Times New Roman"/>
          <w:kern w:val="0"/>
          <w:szCs w:val="20"/>
        </w:rPr>
      </w:pPr>
      <w:r w:rsidRPr="003F2585">
        <w:rPr>
          <w:rFonts w:ascii="Times New Roman" w:hAnsi="Times New Roman" w:cs="Times New Roman"/>
          <w:kern w:val="0"/>
          <w:szCs w:val="20"/>
        </w:rPr>
        <w:br w:type="page"/>
      </w:r>
    </w:p>
    <w:p w14:paraId="0B23E396" w14:textId="249410E4" w:rsidR="00B7719F" w:rsidRPr="003F2585" w:rsidRDefault="00B7719F" w:rsidP="003A6D2F">
      <w:pPr>
        <w:widowControl/>
        <w:wordWrap/>
        <w:autoSpaceDE/>
        <w:spacing w:line="384" w:lineRule="auto"/>
        <w:rPr>
          <w:rFonts w:ascii="Times New Roman" w:hAnsi="Times New Roman" w:cs="Times New Roman"/>
          <w:kern w:val="0"/>
          <w:szCs w:val="20"/>
        </w:rPr>
      </w:pPr>
      <w:r w:rsidRPr="003F2585">
        <w:rPr>
          <w:rFonts w:ascii="Times New Roman" w:hAnsi="Times New Roman" w:cs="Times New Roman"/>
          <w:noProof/>
          <w:kern w:val="0"/>
          <w:szCs w:val="20"/>
        </w:rPr>
        <w:lastRenderedPageBreak/>
        <w:drawing>
          <wp:anchor distT="0" distB="0" distL="114300" distR="114300" simplePos="0" relativeHeight="251661312" behindDoc="0" locked="0" layoutInCell="1" allowOverlap="1" wp14:anchorId="0BD84C9E" wp14:editId="31AD5145">
            <wp:simplePos x="0" y="0"/>
            <wp:positionH relativeFrom="column">
              <wp:posOffset>0</wp:posOffset>
            </wp:positionH>
            <wp:positionV relativeFrom="paragraph">
              <wp:posOffset>-3810</wp:posOffset>
            </wp:positionV>
            <wp:extent cx="5724525" cy="3114675"/>
            <wp:effectExtent l="0" t="0" r="9525" b="9525"/>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1308" b="16186"/>
                    <a:stretch/>
                  </pic:blipFill>
                  <pic:spPr bwMode="auto">
                    <a:xfrm>
                      <a:off x="0" y="0"/>
                      <a:ext cx="5724525" cy="31146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86824A1" w14:textId="3BF8C091" w:rsidR="003A6D2F" w:rsidRPr="003F2585" w:rsidRDefault="003A6D2F" w:rsidP="003A6D2F">
      <w:pPr>
        <w:spacing w:line="384" w:lineRule="auto"/>
        <w:rPr>
          <w:rFonts w:ascii="Times New Roman" w:hAnsi="Times New Roman" w:cs="Times New Roman"/>
          <w:kern w:val="0"/>
          <w:szCs w:val="20"/>
        </w:rPr>
      </w:pPr>
      <w:r w:rsidRPr="003F2585">
        <w:rPr>
          <w:rFonts w:ascii="Times New Roman" w:hAnsi="Times New Roman" w:cs="Times New Roman"/>
          <w:b/>
          <w:kern w:val="0"/>
          <w:szCs w:val="20"/>
        </w:rPr>
        <w:t>Supplementary Figure 4</w:t>
      </w:r>
      <w:bookmarkStart w:id="2" w:name="_GoBack"/>
      <w:bookmarkEnd w:id="2"/>
      <w:r w:rsidRPr="003F2585">
        <w:rPr>
          <w:rFonts w:ascii="Times New Roman" w:hAnsi="Times New Roman" w:cs="Times New Roman"/>
          <w:szCs w:val="20"/>
        </w:rPr>
        <w:t xml:space="preserve"> </w:t>
      </w:r>
      <w:r w:rsidRPr="003F2585">
        <w:rPr>
          <w:rFonts w:ascii="Times New Roman" w:hAnsi="Times New Roman" w:cs="Times New Roman"/>
          <w:b/>
          <w:kern w:val="0"/>
          <w:szCs w:val="20"/>
        </w:rPr>
        <w:t>A</w:t>
      </w:r>
      <w:r w:rsidRPr="003F2585">
        <w:rPr>
          <w:rFonts w:ascii="Times New Roman" w:hAnsi="Times New Roman" w:cs="Times New Roman"/>
          <w:kern w:val="0"/>
          <w:szCs w:val="20"/>
        </w:rPr>
        <w:t xml:space="preserve"> Representative H&amp;E staining images of BAT across different housing temperatures. </w:t>
      </w:r>
      <w:r w:rsidRPr="003F2585">
        <w:rPr>
          <w:rFonts w:ascii="Times New Roman" w:hAnsi="Times New Roman" w:cs="Times New Roman"/>
          <w:b/>
          <w:kern w:val="0"/>
          <w:szCs w:val="20"/>
        </w:rPr>
        <w:t>B</w:t>
      </w:r>
      <w:r w:rsidRPr="003F2585">
        <w:rPr>
          <w:rFonts w:ascii="Times New Roman" w:hAnsi="Times New Roman" w:cs="Times New Roman"/>
          <w:kern w:val="0"/>
          <w:szCs w:val="20"/>
        </w:rPr>
        <w:t xml:space="preserve"> Statistical analysis of lipid area. </w:t>
      </w:r>
      <w:r w:rsidRPr="003F2585">
        <w:rPr>
          <w:rFonts w:ascii="Times New Roman" w:hAnsi="Times New Roman" w:cs="Times New Roman"/>
          <w:b/>
          <w:kern w:val="0"/>
          <w:szCs w:val="20"/>
        </w:rPr>
        <w:t>C, D</w:t>
      </w:r>
      <w:r w:rsidRPr="003F2585">
        <w:rPr>
          <w:rFonts w:ascii="Times New Roman" w:hAnsi="Times New Roman" w:cs="Times New Roman"/>
          <w:kern w:val="0"/>
          <w:szCs w:val="20"/>
        </w:rPr>
        <w:t xml:space="preserve"> Representative western blots and band density measurements of HSL, p-HSL, and ATGL in BAT isolated from mice housed for 12 weeks at 22°C or 30°C. To determine the statistical relevance of the findings, unpaired t-tests were used for analysis. *, P &lt; 0.05 and **, P &lt; 0.01. </w:t>
      </w:r>
    </w:p>
    <w:p w14:paraId="7E4FAEEC" w14:textId="2B99355A" w:rsidR="003A6D2F" w:rsidRPr="003F2585" w:rsidRDefault="003A6D2F" w:rsidP="00406880">
      <w:pPr>
        <w:widowControl/>
        <w:wordWrap/>
        <w:autoSpaceDE/>
        <w:rPr>
          <w:rFonts w:ascii="Times New Roman" w:hAnsi="Times New Roman" w:cs="Times New Roman"/>
          <w:kern w:val="0"/>
          <w:szCs w:val="20"/>
        </w:rPr>
      </w:pPr>
      <w:r w:rsidRPr="003F2585">
        <w:rPr>
          <w:rFonts w:ascii="Times New Roman" w:hAnsi="Times New Roman" w:cs="Times New Roman"/>
          <w:kern w:val="0"/>
          <w:szCs w:val="20"/>
        </w:rPr>
        <w:br w:type="page"/>
      </w:r>
    </w:p>
    <w:p w14:paraId="51F69FED" w14:textId="77777777" w:rsidR="003A6D2F" w:rsidRPr="003F2585" w:rsidRDefault="003A6D2F" w:rsidP="003A6D2F">
      <w:pPr>
        <w:wordWrap/>
        <w:spacing w:line="384" w:lineRule="auto"/>
        <w:rPr>
          <w:rFonts w:ascii="Times New Roman" w:hAnsi="Times New Roman" w:cs="Times New Roman"/>
          <w:b/>
          <w:szCs w:val="20"/>
        </w:rPr>
      </w:pPr>
      <w:r w:rsidRPr="003F2585">
        <w:rPr>
          <w:rFonts w:ascii="Times New Roman" w:hAnsi="Times New Roman" w:cs="Times New Roman"/>
          <w:b/>
          <w:kern w:val="0"/>
          <w:szCs w:val="20"/>
        </w:rPr>
        <w:lastRenderedPageBreak/>
        <w:t xml:space="preserve">Supplementary </w:t>
      </w:r>
      <w:r w:rsidRPr="003F2585">
        <w:rPr>
          <w:rFonts w:ascii="Times New Roman" w:hAnsi="Times New Roman" w:cs="Times New Roman"/>
          <w:b/>
          <w:szCs w:val="20"/>
        </w:rPr>
        <w:t>Table 1. List of primers and their sequences</w:t>
      </w:r>
    </w:p>
    <w:tbl>
      <w:tblPr>
        <w:tblStyle w:val="a7"/>
        <w:tblW w:w="0" w:type="auto"/>
        <w:tblInd w:w="-5" w:type="dxa"/>
        <w:tblLook w:val="04A0" w:firstRow="1" w:lastRow="0" w:firstColumn="1" w:lastColumn="0" w:noHBand="0" w:noVBand="1"/>
      </w:tblPr>
      <w:tblGrid>
        <w:gridCol w:w="1843"/>
        <w:gridCol w:w="3402"/>
        <w:gridCol w:w="3776"/>
      </w:tblGrid>
      <w:tr w:rsidR="003A6D2F" w14:paraId="5E01509E"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7D621B3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Primer</w:t>
            </w:r>
          </w:p>
        </w:tc>
        <w:tc>
          <w:tcPr>
            <w:tcW w:w="3402" w:type="dxa"/>
            <w:tcBorders>
              <w:top w:val="single" w:sz="4" w:space="0" w:color="auto"/>
              <w:left w:val="single" w:sz="4" w:space="0" w:color="auto"/>
              <w:bottom w:val="single" w:sz="4" w:space="0" w:color="auto"/>
              <w:right w:val="single" w:sz="4" w:space="0" w:color="auto"/>
            </w:tcBorders>
            <w:hideMark/>
          </w:tcPr>
          <w:p w14:paraId="37BBF2B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Forward sequence</w:t>
            </w:r>
          </w:p>
        </w:tc>
        <w:tc>
          <w:tcPr>
            <w:tcW w:w="3776" w:type="dxa"/>
            <w:tcBorders>
              <w:top w:val="single" w:sz="4" w:space="0" w:color="auto"/>
              <w:left w:val="single" w:sz="4" w:space="0" w:color="auto"/>
              <w:bottom w:val="single" w:sz="4" w:space="0" w:color="auto"/>
              <w:right w:val="single" w:sz="4" w:space="0" w:color="auto"/>
            </w:tcBorders>
            <w:hideMark/>
          </w:tcPr>
          <w:p w14:paraId="405A29C5"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Reverse sequence</w:t>
            </w:r>
          </w:p>
        </w:tc>
      </w:tr>
      <w:tr w:rsidR="003A6D2F" w14:paraId="1B4C20C1"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737EA65F" w14:textId="77777777" w:rsidR="003A6D2F" w:rsidRDefault="003A6D2F">
            <w:pPr>
              <w:pStyle w:val="a6"/>
              <w:wordWrap/>
              <w:spacing w:after="0" w:line="384" w:lineRule="auto"/>
              <w:ind w:leftChars="0" w:left="0"/>
              <w:rPr>
                <w:rFonts w:ascii="Times New Roman" w:hAnsi="Times New Roman" w:cs="Times New Roman"/>
                <w:i/>
                <w:szCs w:val="20"/>
              </w:rPr>
            </w:pPr>
            <w:r>
              <w:rPr>
                <w:rFonts w:ascii="Times New Roman" w:hAnsi="Times New Roman" w:cs="Times New Roman"/>
                <w:i/>
                <w:szCs w:val="20"/>
              </w:rPr>
              <w:t>18s</w:t>
            </w:r>
          </w:p>
        </w:tc>
        <w:tc>
          <w:tcPr>
            <w:tcW w:w="3402" w:type="dxa"/>
            <w:tcBorders>
              <w:top w:val="single" w:sz="4" w:space="0" w:color="auto"/>
              <w:left w:val="single" w:sz="4" w:space="0" w:color="auto"/>
              <w:bottom w:val="single" w:sz="4" w:space="0" w:color="auto"/>
              <w:right w:val="single" w:sz="4" w:space="0" w:color="auto"/>
            </w:tcBorders>
            <w:hideMark/>
          </w:tcPr>
          <w:p w14:paraId="5CC176B5"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CTG GTT GAT CCT GCC AGT AG</w:t>
            </w:r>
          </w:p>
        </w:tc>
        <w:tc>
          <w:tcPr>
            <w:tcW w:w="3776" w:type="dxa"/>
            <w:tcBorders>
              <w:top w:val="single" w:sz="4" w:space="0" w:color="auto"/>
              <w:left w:val="single" w:sz="4" w:space="0" w:color="auto"/>
              <w:bottom w:val="single" w:sz="4" w:space="0" w:color="auto"/>
              <w:right w:val="single" w:sz="4" w:space="0" w:color="auto"/>
            </w:tcBorders>
            <w:hideMark/>
          </w:tcPr>
          <w:p w14:paraId="04F3E2B0" w14:textId="77777777" w:rsidR="003A6D2F" w:rsidRDefault="003A6D2F">
            <w:pPr>
              <w:widowControl/>
              <w:wordWrap/>
              <w:autoSpaceDE/>
              <w:spacing w:after="0" w:line="384" w:lineRule="auto"/>
              <w:jc w:val="left"/>
              <w:rPr>
                <w:rFonts w:ascii="Times New Roman" w:hAnsi="Times New Roman" w:cs="Times New Roman"/>
                <w:szCs w:val="20"/>
              </w:rPr>
            </w:pPr>
            <w:r>
              <w:rPr>
                <w:rFonts w:ascii="Times New Roman" w:hAnsi="Times New Roman" w:cs="Times New Roman"/>
                <w:szCs w:val="20"/>
              </w:rPr>
              <w:t>CGA CCA AAG GAA CCA TAA CT</w:t>
            </w:r>
          </w:p>
        </w:tc>
      </w:tr>
      <w:tr w:rsidR="003A6D2F" w14:paraId="01DCDAE1"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52914309" w14:textId="77777777" w:rsidR="003A6D2F" w:rsidRDefault="003A6D2F">
            <w:pPr>
              <w:pStyle w:val="a6"/>
              <w:wordWrap/>
              <w:spacing w:after="0" w:line="384" w:lineRule="auto"/>
              <w:ind w:leftChars="0" w:left="0"/>
              <w:rPr>
                <w:rFonts w:ascii="Times New Roman" w:hAnsi="Times New Roman" w:cs="Times New Roman"/>
                <w:i/>
                <w:szCs w:val="20"/>
              </w:rPr>
            </w:pPr>
            <w:r>
              <w:rPr>
                <w:rFonts w:ascii="Times New Roman" w:hAnsi="Times New Roman" w:cs="Times New Roman"/>
                <w:i/>
                <w:szCs w:val="20"/>
              </w:rPr>
              <w:t>Cpt1a</w:t>
            </w:r>
          </w:p>
        </w:tc>
        <w:tc>
          <w:tcPr>
            <w:tcW w:w="3402" w:type="dxa"/>
            <w:tcBorders>
              <w:top w:val="single" w:sz="4" w:space="0" w:color="auto"/>
              <w:left w:val="single" w:sz="4" w:space="0" w:color="auto"/>
              <w:bottom w:val="single" w:sz="4" w:space="0" w:color="auto"/>
              <w:right w:val="single" w:sz="4" w:space="0" w:color="auto"/>
            </w:tcBorders>
            <w:hideMark/>
          </w:tcPr>
          <w:p w14:paraId="29C58F94"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TAT AAC AGG TGG TTT GAC</w:t>
            </w:r>
          </w:p>
        </w:tc>
        <w:tc>
          <w:tcPr>
            <w:tcW w:w="3776" w:type="dxa"/>
            <w:tcBorders>
              <w:top w:val="single" w:sz="4" w:space="0" w:color="auto"/>
              <w:left w:val="single" w:sz="4" w:space="0" w:color="auto"/>
              <w:bottom w:val="single" w:sz="4" w:space="0" w:color="auto"/>
              <w:right w:val="single" w:sz="4" w:space="0" w:color="auto"/>
            </w:tcBorders>
            <w:hideMark/>
          </w:tcPr>
          <w:p w14:paraId="1B21FC68"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 xml:space="preserve">CAG AGG TGC CCA ATG </w:t>
            </w:r>
            <w:proofErr w:type="spellStart"/>
            <w:r>
              <w:rPr>
                <w:rFonts w:ascii="Times New Roman" w:hAnsi="Times New Roman" w:cs="Times New Roman"/>
                <w:szCs w:val="20"/>
              </w:rPr>
              <w:t>ATG</w:t>
            </w:r>
            <w:proofErr w:type="spellEnd"/>
          </w:p>
        </w:tc>
      </w:tr>
      <w:tr w:rsidR="003A6D2F" w14:paraId="6D3D888D"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10C5ACF4" w14:textId="77777777" w:rsidR="003A6D2F" w:rsidRDefault="003A6D2F">
            <w:pPr>
              <w:pStyle w:val="a6"/>
              <w:wordWrap/>
              <w:spacing w:after="0" w:line="384" w:lineRule="auto"/>
              <w:ind w:leftChars="0" w:left="0"/>
              <w:rPr>
                <w:rFonts w:ascii="Times New Roman" w:hAnsi="Times New Roman" w:cs="Times New Roman"/>
                <w:i/>
                <w:szCs w:val="20"/>
              </w:rPr>
            </w:pPr>
            <w:r>
              <w:rPr>
                <w:rFonts w:ascii="Times New Roman" w:hAnsi="Times New Roman" w:cs="Times New Roman"/>
                <w:i/>
                <w:szCs w:val="20"/>
              </w:rPr>
              <w:t>Cpt1b</w:t>
            </w:r>
          </w:p>
        </w:tc>
        <w:tc>
          <w:tcPr>
            <w:tcW w:w="3402" w:type="dxa"/>
            <w:tcBorders>
              <w:top w:val="single" w:sz="4" w:space="0" w:color="auto"/>
              <w:left w:val="single" w:sz="4" w:space="0" w:color="auto"/>
              <w:bottom w:val="single" w:sz="4" w:space="0" w:color="auto"/>
              <w:right w:val="single" w:sz="4" w:space="0" w:color="auto"/>
            </w:tcBorders>
            <w:hideMark/>
          </w:tcPr>
          <w:p w14:paraId="0A88BD80"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TCG CAG GAG AAA ACA CCA TGT</w:t>
            </w:r>
          </w:p>
        </w:tc>
        <w:tc>
          <w:tcPr>
            <w:tcW w:w="3776" w:type="dxa"/>
            <w:tcBorders>
              <w:top w:val="single" w:sz="4" w:space="0" w:color="auto"/>
              <w:left w:val="single" w:sz="4" w:space="0" w:color="auto"/>
              <w:bottom w:val="single" w:sz="4" w:space="0" w:color="auto"/>
              <w:right w:val="single" w:sz="4" w:space="0" w:color="auto"/>
            </w:tcBorders>
            <w:hideMark/>
          </w:tcPr>
          <w:p w14:paraId="3ADA8C1A"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AAC AGT GCT TGG CGG ATG TG</w:t>
            </w:r>
          </w:p>
        </w:tc>
      </w:tr>
      <w:tr w:rsidR="003A6D2F" w14:paraId="05AB01EC"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6CAC7185" w14:textId="77777777" w:rsidR="003A6D2F" w:rsidRDefault="003A6D2F">
            <w:pPr>
              <w:pStyle w:val="a6"/>
              <w:wordWrap/>
              <w:spacing w:after="0" w:line="384" w:lineRule="auto"/>
              <w:ind w:leftChars="0" w:left="0"/>
              <w:rPr>
                <w:rFonts w:ascii="Times New Roman" w:hAnsi="Times New Roman" w:cs="Times New Roman"/>
                <w:i/>
                <w:szCs w:val="20"/>
              </w:rPr>
            </w:pPr>
            <w:proofErr w:type="spellStart"/>
            <w:r>
              <w:rPr>
                <w:rFonts w:ascii="Times New Roman" w:hAnsi="Times New Roman" w:cs="Times New Roman"/>
                <w:i/>
                <w:szCs w:val="20"/>
              </w:rPr>
              <w:t>Acadm</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2E8BF587"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 xml:space="preserve">TGA CGG AGC </w:t>
            </w:r>
            <w:proofErr w:type="spellStart"/>
            <w:r>
              <w:rPr>
                <w:rFonts w:ascii="Times New Roman" w:hAnsi="Times New Roman" w:cs="Times New Roman"/>
                <w:szCs w:val="20"/>
              </w:rPr>
              <w:t>AGC</w:t>
            </w:r>
            <w:proofErr w:type="spellEnd"/>
            <w:r>
              <w:rPr>
                <w:rFonts w:ascii="Times New Roman" w:hAnsi="Times New Roman" w:cs="Times New Roman"/>
                <w:szCs w:val="20"/>
              </w:rPr>
              <w:t xml:space="preserve"> CAA TGA</w:t>
            </w:r>
          </w:p>
        </w:tc>
        <w:tc>
          <w:tcPr>
            <w:tcW w:w="3776" w:type="dxa"/>
            <w:tcBorders>
              <w:top w:val="single" w:sz="4" w:space="0" w:color="auto"/>
              <w:left w:val="single" w:sz="4" w:space="0" w:color="auto"/>
              <w:bottom w:val="single" w:sz="4" w:space="0" w:color="auto"/>
              <w:right w:val="single" w:sz="4" w:space="0" w:color="auto"/>
            </w:tcBorders>
            <w:hideMark/>
          </w:tcPr>
          <w:p w14:paraId="4A56F969"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 xml:space="preserve">TCG TCA CCC TTC </w:t>
            </w:r>
            <w:proofErr w:type="spellStart"/>
            <w:r>
              <w:rPr>
                <w:rFonts w:ascii="Times New Roman" w:hAnsi="Times New Roman" w:cs="Times New Roman"/>
                <w:szCs w:val="20"/>
              </w:rPr>
              <w:t>TTC</w:t>
            </w:r>
            <w:proofErr w:type="spellEnd"/>
            <w:r>
              <w:rPr>
                <w:rFonts w:ascii="Times New Roman" w:hAnsi="Times New Roman" w:cs="Times New Roman"/>
                <w:szCs w:val="20"/>
              </w:rPr>
              <w:t xml:space="preserve"> TCT GCT T</w:t>
            </w:r>
          </w:p>
        </w:tc>
      </w:tr>
      <w:tr w:rsidR="003A6D2F" w14:paraId="6DDDDEC8" w14:textId="77777777" w:rsidTr="003A6D2F">
        <w:tc>
          <w:tcPr>
            <w:tcW w:w="1843" w:type="dxa"/>
            <w:tcBorders>
              <w:top w:val="single" w:sz="4" w:space="0" w:color="auto"/>
              <w:left w:val="single" w:sz="4" w:space="0" w:color="auto"/>
              <w:bottom w:val="single" w:sz="4" w:space="0" w:color="auto"/>
              <w:right w:val="single" w:sz="4" w:space="0" w:color="auto"/>
            </w:tcBorders>
            <w:hideMark/>
          </w:tcPr>
          <w:p w14:paraId="0C7566DF" w14:textId="77777777" w:rsidR="003A6D2F" w:rsidRDefault="003A6D2F">
            <w:pPr>
              <w:pStyle w:val="a6"/>
              <w:wordWrap/>
              <w:spacing w:after="0" w:line="384" w:lineRule="auto"/>
              <w:ind w:leftChars="0" w:left="0"/>
              <w:rPr>
                <w:rFonts w:ascii="Times New Roman" w:hAnsi="Times New Roman" w:cs="Times New Roman"/>
                <w:i/>
                <w:szCs w:val="20"/>
              </w:rPr>
            </w:pPr>
            <w:proofErr w:type="spellStart"/>
            <w:r>
              <w:rPr>
                <w:rFonts w:ascii="Times New Roman" w:hAnsi="Times New Roman" w:cs="Times New Roman"/>
                <w:i/>
                <w:szCs w:val="20"/>
              </w:rPr>
              <w:t>Ppara</w:t>
            </w:r>
            <w:proofErr w:type="spellEnd"/>
          </w:p>
        </w:tc>
        <w:tc>
          <w:tcPr>
            <w:tcW w:w="3402" w:type="dxa"/>
            <w:tcBorders>
              <w:top w:val="single" w:sz="4" w:space="0" w:color="auto"/>
              <w:left w:val="single" w:sz="4" w:space="0" w:color="auto"/>
              <w:bottom w:val="single" w:sz="4" w:space="0" w:color="auto"/>
              <w:right w:val="single" w:sz="4" w:space="0" w:color="auto"/>
            </w:tcBorders>
            <w:hideMark/>
          </w:tcPr>
          <w:p w14:paraId="0EF82BF7" w14:textId="77777777" w:rsidR="003A6D2F" w:rsidRDefault="003A6D2F">
            <w:pPr>
              <w:widowControl/>
              <w:wordWrap/>
              <w:autoSpaceDE/>
              <w:spacing w:after="0" w:line="384" w:lineRule="auto"/>
              <w:jc w:val="left"/>
              <w:rPr>
                <w:rFonts w:ascii="Times New Roman" w:hAnsi="Times New Roman" w:cs="Times New Roman"/>
                <w:szCs w:val="20"/>
              </w:rPr>
            </w:pPr>
            <w:r>
              <w:rPr>
                <w:rFonts w:ascii="Times New Roman" w:hAnsi="Times New Roman" w:cs="Times New Roman"/>
                <w:szCs w:val="20"/>
              </w:rPr>
              <w:t xml:space="preserve">AGA AGT TGC AGG </w:t>
            </w:r>
            <w:proofErr w:type="spellStart"/>
            <w:r>
              <w:rPr>
                <w:rFonts w:ascii="Times New Roman" w:hAnsi="Times New Roman" w:cs="Times New Roman"/>
                <w:szCs w:val="20"/>
              </w:rPr>
              <w:t>AGG</w:t>
            </w:r>
            <w:proofErr w:type="spellEnd"/>
            <w:r>
              <w:rPr>
                <w:rFonts w:ascii="Times New Roman" w:hAnsi="Times New Roman" w:cs="Times New Roman"/>
                <w:szCs w:val="20"/>
              </w:rPr>
              <w:t xml:space="preserve"> GGA TT</w:t>
            </w:r>
          </w:p>
        </w:tc>
        <w:tc>
          <w:tcPr>
            <w:tcW w:w="3776" w:type="dxa"/>
            <w:tcBorders>
              <w:top w:val="single" w:sz="4" w:space="0" w:color="auto"/>
              <w:left w:val="single" w:sz="4" w:space="0" w:color="auto"/>
              <w:bottom w:val="single" w:sz="4" w:space="0" w:color="auto"/>
              <w:right w:val="single" w:sz="4" w:space="0" w:color="auto"/>
            </w:tcBorders>
            <w:hideMark/>
          </w:tcPr>
          <w:p w14:paraId="61BB69FC"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TTG AAG GAG CTT TGG GAA GA</w:t>
            </w:r>
          </w:p>
        </w:tc>
      </w:tr>
      <w:tr w:rsidR="003A6D2F" w14:paraId="0FDDF923" w14:textId="77777777" w:rsidTr="003A6D2F">
        <w:trPr>
          <w:trHeight w:val="70"/>
        </w:trPr>
        <w:tc>
          <w:tcPr>
            <w:tcW w:w="1843" w:type="dxa"/>
            <w:tcBorders>
              <w:top w:val="single" w:sz="4" w:space="0" w:color="auto"/>
              <w:left w:val="single" w:sz="4" w:space="0" w:color="auto"/>
              <w:bottom w:val="single" w:sz="4" w:space="0" w:color="auto"/>
              <w:right w:val="single" w:sz="4" w:space="0" w:color="auto"/>
            </w:tcBorders>
            <w:hideMark/>
          </w:tcPr>
          <w:p w14:paraId="73B8909F" w14:textId="77777777" w:rsidR="003A6D2F" w:rsidRDefault="003A6D2F">
            <w:pPr>
              <w:pStyle w:val="a6"/>
              <w:wordWrap/>
              <w:spacing w:after="0" w:line="384" w:lineRule="auto"/>
              <w:ind w:leftChars="0" w:left="0"/>
              <w:rPr>
                <w:rFonts w:ascii="Times New Roman" w:hAnsi="Times New Roman" w:cs="Times New Roman"/>
                <w:i/>
                <w:szCs w:val="20"/>
              </w:rPr>
            </w:pPr>
            <w:r>
              <w:rPr>
                <w:rFonts w:ascii="Times New Roman" w:hAnsi="Times New Roman" w:cs="Times New Roman"/>
                <w:i/>
                <w:szCs w:val="20"/>
              </w:rPr>
              <w:t>Pgc1a</w:t>
            </w:r>
          </w:p>
        </w:tc>
        <w:tc>
          <w:tcPr>
            <w:tcW w:w="3402" w:type="dxa"/>
            <w:tcBorders>
              <w:top w:val="single" w:sz="4" w:space="0" w:color="auto"/>
              <w:left w:val="single" w:sz="4" w:space="0" w:color="auto"/>
              <w:bottom w:val="single" w:sz="4" w:space="0" w:color="auto"/>
              <w:right w:val="single" w:sz="4" w:space="0" w:color="auto"/>
            </w:tcBorders>
            <w:hideMark/>
          </w:tcPr>
          <w:p w14:paraId="0A91083F"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TCT CAG TAA GGG GCT GGT TG</w:t>
            </w:r>
          </w:p>
        </w:tc>
        <w:tc>
          <w:tcPr>
            <w:tcW w:w="3776" w:type="dxa"/>
            <w:tcBorders>
              <w:top w:val="single" w:sz="4" w:space="0" w:color="auto"/>
              <w:left w:val="single" w:sz="4" w:space="0" w:color="auto"/>
              <w:bottom w:val="single" w:sz="4" w:space="0" w:color="auto"/>
              <w:right w:val="single" w:sz="4" w:space="0" w:color="auto"/>
            </w:tcBorders>
            <w:hideMark/>
          </w:tcPr>
          <w:p w14:paraId="78F5FC53" w14:textId="77777777" w:rsidR="003A6D2F" w:rsidRDefault="003A6D2F">
            <w:pPr>
              <w:pStyle w:val="a6"/>
              <w:wordWrap/>
              <w:spacing w:after="0" w:line="384" w:lineRule="auto"/>
              <w:ind w:leftChars="0" w:left="0"/>
              <w:jc w:val="left"/>
              <w:rPr>
                <w:rFonts w:ascii="Times New Roman" w:hAnsi="Times New Roman" w:cs="Times New Roman"/>
                <w:szCs w:val="20"/>
              </w:rPr>
            </w:pPr>
            <w:r>
              <w:rPr>
                <w:rFonts w:ascii="Times New Roman" w:hAnsi="Times New Roman" w:cs="Times New Roman"/>
                <w:szCs w:val="20"/>
              </w:rPr>
              <w:t xml:space="preserve">AGC </w:t>
            </w:r>
            <w:proofErr w:type="spellStart"/>
            <w:r>
              <w:rPr>
                <w:rFonts w:ascii="Times New Roman" w:hAnsi="Times New Roman" w:cs="Times New Roman"/>
                <w:szCs w:val="20"/>
              </w:rPr>
              <w:t>AGC</w:t>
            </w:r>
            <w:proofErr w:type="spellEnd"/>
            <w:r>
              <w:rPr>
                <w:rFonts w:ascii="Times New Roman" w:hAnsi="Times New Roman" w:cs="Times New Roman"/>
                <w:szCs w:val="20"/>
              </w:rPr>
              <w:t xml:space="preserve"> ACA CTC TAT GTC ACT C</w:t>
            </w:r>
          </w:p>
        </w:tc>
      </w:tr>
    </w:tbl>
    <w:p w14:paraId="51AB664A" w14:textId="77777777" w:rsidR="003A6D2F" w:rsidRDefault="003A6D2F" w:rsidP="003A6D2F">
      <w:pPr>
        <w:wordWrap/>
        <w:spacing w:line="384" w:lineRule="auto"/>
        <w:rPr>
          <w:rFonts w:ascii="Times New Roman" w:hAnsi="Times New Roman" w:cs="Times New Roman"/>
          <w:sz w:val="24"/>
          <w:szCs w:val="24"/>
        </w:rPr>
      </w:pPr>
    </w:p>
    <w:p w14:paraId="37801606" w14:textId="77777777" w:rsidR="003A6D2F" w:rsidRDefault="003A6D2F" w:rsidP="003A6D2F">
      <w:pPr>
        <w:wordWrap/>
        <w:spacing w:line="384" w:lineRule="auto"/>
        <w:rPr>
          <w:rFonts w:ascii="Times New Roman" w:hAnsi="Times New Roman" w:cs="Times New Roman"/>
          <w:b/>
          <w:sz w:val="24"/>
          <w:szCs w:val="24"/>
        </w:rPr>
      </w:pPr>
      <w:r>
        <w:rPr>
          <w:rFonts w:ascii="Times New Roman" w:hAnsi="Times New Roman"/>
          <w:b/>
          <w:kern w:val="0"/>
          <w:sz w:val="24"/>
          <w:szCs w:val="24"/>
        </w:rPr>
        <w:t xml:space="preserve">Supplementary </w:t>
      </w:r>
      <w:r>
        <w:rPr>
          <w:rFonts w:ascii="Times New Roman" w:hAnsi="Times New Roman" w:cs="Times New Roman"/>
          <w:b/>
          <w:sz w:val="24"/>
          <w:szCs w:val="24"/>
        </w:rPr>
        <w:t>Table 2. Antibody list (Western blot, immunohistochemistry, and FACS)</w:t>
      </w:r>
    </w:p>
    <w:tbl>
      <w:tblPr>
        <w:tblStyle w:val="a7"/>
        <w:tblW w:w="0" w:type="auto"/>
        <w:tblInd w:w="-5" w:type="dxa"/>
        <w:tblLook w:val="04A0" w:firstRow="1" w:lastRow="0" w:firstColumn="1" w:lastColumn="0" w:noHBand="0" w:noVBand="1"/>
      </w:tblPr>
      <w:tblGrid>
        <w:gridCol w:w="2977"/>
        <w:gridCol w:w="3119"/>
        <w:gridCol w:w="2925"/>
      </w:tblGrid>
      <w:tr w:rsidR="003A6D2F" w14:paraId="0855567F"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47D9C8A9"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Name</w:t>
            </w:r>
          </w:p>
        </w:tc>
        <w:tc>
          <w:tcPr>
            <w:tcW w:w="3119" w:type="dxa"/>
            <w:tcBorders>
              <w:top w:val="single" w:sz="4" w:space="0" w:color="auto"/>
              <w:left w:val="single" w:sz="4" w:space="0" w:color="auto"/>
              <w:bottom w:val="single" w:sz="4" w:space="0" w:color="auto"/>
              <w:right w:val="single" w:sz="4" w:space="0" w:color="auto"/>
            </w:tcBorders>
            <w:hideMark/>
          </w:tcPr>
          <w:p w14:paraId="08F3C521"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Company</w:t>
            </w:r>
          </w:p>
        </w:tc>
        <w:tc>
          <w:tcPr>
            <w:tcW w:w="2925" w:type="dxa"/>
            <w:tcBorders>
              <w:top w:val="single" w:sz="4" w:space="0" w:color="auto"/>
              <w:left w:val="single" w:sz="4" w:space="0" w:color="auto"/>
              <w:bottom w:val="single" w:sz="4" w:space="0" w:color="auto"/>
              <w:right w:val="single" w:sz="4" w:space="0" w:color="auto"/>
            </w:tcBorders>
            <w:hideMark/>
          </w:tcPr>
          <w:p w14:paraId="0ADE2C47"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Cat. No</w:t>
            </w:r>
          </w:p>
        </w:tc>
      </w:tr>
      <w:tr w:rsidR="003A6D2F" w14:paraId="62A239E5"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4CE3EA2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UCP-1</w:t>
            </w:r>
          </w:p>
        </w:tc>
        <w:tc>
          <w:tcPr>
            <w:tcW w:w="3119" w:type="dxa"/>
            <w:tcBorders>
              <w:top w:val="single" w:sz="4" w:space="0" w:color="auto"/>
              <w:left w:val="single" w:sz="4" w:space="0" w:color="auto"/>
              <w:bottom w:val="single" w:sz="4" w:space="0" w:color="auto"/>
              <w:right w:val="single" w:sz="4" w:space="0" w:color="auto"/>
            </w:tcBorders>
            <w:hideMark/>
          </w:tcPr>
          <w:p w14:paraId="5E9BA859"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Abcam</w:t>
            </w:r>
          </w:p>
        </w:tc>
        <w:tc>
          <w:tcPr>
            <w:tcW w:w="2925" w:type="dxa"/>
            <w:tcBorders>
              <w:top w:val="single" w:sz="4" w:space="0" w:color="auto"/>
              <w:left w:val="single" w:sz="4" w:space="0" w:color="auto"/>
              <w:bottom w:val="single" w:sz="4" w:space="0" w:color="auto"/>
              <w:right w:val="single" w:sz="4" w:space="0" w:color="auto"/>
            </w:tcBorders>
            <w:hideMark/>
          </w:tcPr>
          <w:p w14:paraId="14963CA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Ab10983</w:t>
            </w:r>
          </w:p>
        </w:tc>
      </w:tr>
      <w:tr w:rsidR="003A6D2F" w14:paraId="0F8DF421"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0493F4D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Total OXPHOS cocktail</w:t>
            </w:r>
          </w:p>
        </w:tc>
        <w:tc>
          <w:tcPr>
            <w:tcW w:w="3119" w:type="dxa"/>
            <w:tcBorders>
              <w:top w:val="single" w:sz="4" w:space="0" w:color="auto"/>
              <w:left w:val="single" w:sz="4" w:space="0" w:color="auto"/>
              <w:bottom w:val="single" w:sz="4" w:space="0" w:color="auto"/>
              <w:right w:val="single" w:sz="4" w:space="0" w:color="auto"/>
            </w:tcBorders>
            <w:hideMark/>
          </w:tcPr>
          <w:p w14:paraId="3B2580A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Abcam</w:t>
            </w:r>
          </w:p>
        </w:tc>
        <w:tc>
          <w:tcPr>
            <w:tcW w:w="2925" w:type="dxa"/>
            <w:tcBorders>
              <w:top w:val="single" w:sz="4" w:space="0" w:color="auto"/>
              <w:left w:val="single" w:sz="4" w:space="0" w:color="auto"/>
              <w:bottom w:val="single" w:sz="4" w:space="0" w:color="auto"/>
              <w:right w:val="single" w:sz="4" w:space="0" w:color="auto"/>
            </w:tcBorders>
            <w:hideMark/>
          </w:tcPr>
          <w:p w14:paraId="28C458C3"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Ab110412</w:t>
            </w:r>
          </w:p>
        </w:tc>
      </w:tr>
      <w:tr w:rsidR="003A6D2F" w14:paraId="2B39CEB0"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53DB4DCF"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CRIF1</w:t>
            </w:r>
          </w:p>
        </w:tc>
        <w:tc>
          <w:tcPr>
            <w:tcW w:w="3119" w:type="dxa"/>
            <w:tcBorders>
              <w:top w:val="single" w:sz="4" w:space="0" w:color="auto"/>
              <w:left w:val="single" w:sz="4" w:space="0" w:color="auto"/>
              <w:bottom w:val="single" w:sz="4" w:space="0" w:color="auto"/>
              <w:right w:val="single" w:sz="4" w:space="0" w:color="auto"/>
            </w:tcBorders>
            <w:hideMark/>
          </w:tcPr>
          <w:p w14:paraId="1F44E467"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Santa Cruz</w:t>
            </w:r>
          </w:p>
        </w:tc>
        <w:tc>
          <w:tcPr>
            <w:tcW w:w="2925" w:type="dxa"/>
            <w:tcBorders>
              <w:top w:val="single" w:sz="4" w:space="0" w:color="auto"/>
              <w:left w:val="single" w:sz="4" w:space="0" w:color="auto"/>
              <w:bottom w:val="single" w:sz="4" w:space="0" w:color="auto"/>
              <w:right w:val="single" w:sz="4" w:space="0" w:color="auto"/>
            </w:tcBorders>
            <w:hideMark/>
          </w:tcPr>
          <w:p w14:paraId="30FB13F8"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Sc-374122</w:t>
            </w:r>
          </w:p>
        </w:tc>
      </w:tr>
      <w:tr w:rsidR="003A6D2F" w14:paraId="32A61AB5"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63BAF54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HSL</w:t>
            </w:r>
          </w:p>
        </w:tc>
        <w:tc>
          <w:tcPr>
            <w:tcW w:w="3119" w:type="dxa"/>
            <w:tcBorders>
              <w:top w:val="single" w:sz="4" w:space="0" w:color="auto"/>
              <w:left w:val="single" w:sz="4" w:space="0" w:color="auto"/>
              <w:bottom w:val="single" w:sz="4" w:space="0" w:color="auto"/>
              <w:right w:val="single" w:sz="4" w:space="0" w:color="auto"/>
            </w:tcBorders>
            <w:hideMark/>
          </w:tcPr>
          <w:p w14:paraId="165F84C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69746DD3"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4107S</w:t>
            </w:r>
          </w:p>
        </w:tc>
      </w:tr>
      <w:tr w:rsidR="003A6D2F" w14:paraId="38F9C2F4"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295B708A"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p-HSL</w:t>
            </w:r>
          </w:p>
        </w:tc>
        <w:tc>
          <w:tcPr>
            <w:tcW w:w="3119" w:type="dxa"/>
            <w:tcBorders>
              <w:top w:val="single" w:sz="4" w:space="0" w:color="auto"/>
              <w:left w:val="single" w:sz="4" w:space="0" w:color="auto"/>
              <w:bottom w:val="single" w:sz="4" w:space="0" w:color="auto"/>
              <w:right w:val="single" w:sz="4" w:space="0" w:color="auto"/>
            </w:tcBorders>
            <w:hideMark/>
          </w:tcPr>
          <w:p w14:paraId="33F92F5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799A8C0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45804</w:t>
            </w:r>
          </w:p>
        </w:tc>
      </w:tr>
      <w:tr w:rsidR="003A6D2F" w14:paraId="79471E34"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60B8D44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ATGL</w:t>
            </w:r>
          </w:p>
        </w:tc>
        <w:tc>
          <w:tcPr>
            <w:tcW w:w="3119" w:type="dxa"/>
            <w:tcBorders>
              <w:top w:val="single" w:sz="4" w:space="0" w:color="auto"/>
              <w:left w:val="single" w:sz="4" w:space="0" w:color="auto"/>
              <w:bottom w:val="single" w:sz="4" w:space="0" w:color="auto"/>
              <w:right w:val="single" w:sz="4" w:space="0" w:color="auto"/>
            </w:tcBorders>
            <w:hideMark/>
          </w:tcPr>
          <w:p w14:paraId="2DB5304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1B0A6811"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2138S</w:t>
            </w:r>
          </w:p>
        </w:tc>
      </w:tr>
      <w:tr w:rsidR="003A6D2F" w14:paraId="612962FF"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385E9C6A"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GAPDH</w:t>
            </w:r>
          </w:p>
        </w:tc>
        <w:tc>
          <w:tcPr>
            <w:tcW w:w="3119" w:type="dxa"/>
            <w:tcBorders>
              <w:top w:val="single" w:sz="4" w:space="0" w:color="auto"/>
              <w:left w:val="single" w:sz="4" w:space="0" w:color="auto"/>
              <w:bottom w:val="single" w:sz="4" w:space="0" w:color="auto"/>
              <w:right w:val="single" w:sz="4" w:space="0" w:color="auto"/>
            </w:tcBorders>
            <w:hideMark/>
          </w:tcPr>
          <w:p w14:paraId="20A35B29"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35ED06C4"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2118S</w:t>
            </w:r>
          </w:p>
        </w:tc>
      </w:tr>
      <w:tr w:rsidR="003A6D2F" w14:paraId="24896DC1"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0BC7A9A8"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bCs/>
                <w:szCs w:val="20"/>
              </w:rPr>
              <w:t>β</w:t>
            </w:r>
            <w:r>
              <w:rPr>
                <w:rFonts w:ascii="Times New Roman" w:hAnsi="Times New Roman" w:cs="Times New Roman"/>
                <w:szCs w:val="20"/>
              </w:rPr>
              <w:t>-ACTIN</w:t>
            </w:r>
          </w:p>
        </w:tc>
        <w:tc>
          <w:tcPr>
            <w:tcW w:w="3119" w:type="dxa"/>
            <w:tcBorders>
              <w:top w:val="single" w:sz="4" w:space="0" w:color="auto"/>
              <w:left w:val="single" w:sz="4" w:space="0" w:color="auto"/>
              <w:bottom w:val="single" w:sz="4" w:space="0" w:color="auto"/>
              <w:right w:val="single" w:sz="4" w:space="0" w:color="auto"/>
            </w:tcBorders>
            <w:hideMark/>
          </w:tcPr>
          <w:p w14:paraId="05C43D6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5474EBD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4967S</w:t>
            </w:r>
          </w:p>
        </w:tc>
      </w:tr>
      <w:tr w:rsidR="003A6D2F" w14:paraId="7C406142"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4744513E"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SDHB</w:t>
            </w:r>
          </w:p>
        </w:tc>
        <w:tc>
          <w:tcPr>
            <w:tcW w:w="3119" w:type="dxa"/>
            <w:tcBorders>
              <w:top w:val="single" w:sz="4" w:space="0" w:color="auto"/>
              <w:left w:val="single" w:sz="4" w:space="0" w:color="auto"/>
              <w:bottom w:val="single" w:sz="4" w:space="0" w:color="auto"/>
              <w:right w:val="single" w:sz="4" w:space="0" w:color="auto"/>
            </w:tcBorders>
            <w:hideMark/>
          </w:tcPr>
          <w:p w14:paraId="22ED7FF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Cell Signaling</w:t>
            </w:r>
          </w:p>
        </w:tc>
        <w:tc>
          <w:tcPr>
            <w:tcW w:w="2925" w:type="dxa"/>
            <w:tcBorders>
              <w:top w:val="single" w:sz="4" w:space="0" w:color="auto"/>
              <w:left w:val="single" w:sz="4" w:space="0" w:color="auto"/>
              <w:bottom w:val="single" w:sz="4" w:space="0" w:color="auto"/>
              <w:right w:val="single" w:sz="4" w:space="0" w:color="auto"/>
            </w:tcBorders>
            <w:hideMark/>
          </w:tcPr>
          <w:p w14:paraId="0C538C77"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92649S</w:t>
            </w:r>
          </w:p>
        </w:tc>
      </w:tr>
      <w:tr w:rsidR="003A6D2F" w14:paraId="31A4A67F"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4CE00B6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PE-eFl610 anti-CD3</w:t>
            </w:r>
          </w:p>
        </w:tc>
        <w:tc>
          <w:tcPr>
            <w:tcW w:w="3119" w:type="dxa"/>
            <w:tcBorders>
              <w:top w:val="single" w:sz="4" w:space="0" w:color="auto"/>
              <w:left w:val="single" w:sz="4" w:space="0" w:color="auto"/>
              <w:bottom w:val="single" w:sz="4" w:space="0" w:color="auto"/>
              <w:right w:val="single" w:sz="4" w:space="0" w:color="auto"/>
            </w:tcBorders>
            <w:hideMark/>
          </w:tcPr>
          <w:p w14:paraId="4A213904"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779531CE"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61-0031-82</w:t>
            </w:r>
          </w:p>
        </w:tc>
      </w:tr>
      <w:tr w:rsidR="003A6D2F" w14:paraId="780AD7C2"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149416F4"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PE anti-NK1.1</w:t>
            </w:r>
          </w:p>
        </w:tc>
        <w:tc>
          <w:tcPr>
            <w:tcW w:w="3119" w:type="dxa"/>
            <w:tcBorders>
              <w:top w:val="single" w:sz="4" w:space="0" w:color="auto"/>
              <w:left w:val="single" w:sz="4" w:space="0" w:color="auto"/>
              <w:bottom w:val="single" w:sz="4" w:space="0" w:color="auto"/>
              <w:right w:val="single" w:sz="4" w:space="0" w:color="auto"/>
            </w:tcBorders>
            <w:hideMark/>
          </w:tcPr>
          <w:p w14:paraId="104146B1"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BD Biosciences</w:t>
            </w:r>
          </w:p>
        </w:tc>
        <w:tc>
          <w:tcPr>
            <w:tcW w:w="2925" w:type="dxa"/>
            <w:tcBorders>
              <w:top w:val="single" w:sz="4" w:space="0" w:color="auto"/>
              <w:left w:val="single" w:sz="4" w:space="0" w:color="auto"/>
              <w:bottom w:val="single" w:sz="4" w:space="0" w:color="auto"/>
              <w:right w:val="single" w:sz="4" w:space="0" w:color="auto"/>
            </w:tcBorders>
            <w:hideMark/>
          </w:tcPr>
          <w:p w14:paraId="3341A2AF"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557391</w:t>
            </w:r>
          </w:p>
        </w:tc>
      </w:tr>
      <w:tr w:rsidR="003A6D2F" w14:paraId="4BB9107D"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5304128E"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PerCP-eF710 anti-CD4</w:t>
            </w:r>
          </w:p>
        </w:tc>
        <w:tc>
          <w:tcPr>
            <w:tcW w:w="3119" w:type="dxa"/>
            <w:tcBorders>
              <w:top w:val="single" w:sz="4" w:space="0" w:color="auto"/>
              <w:left w:val="single" w:sz="4" w:space="0" w:color="auto"/>
              <w:bottom w:val="single" w:sz="4" w:space="0" w:color="auto"/>
              <w:right w:val="single" w:sz="4" w:space="0" w:color="auto"/>
            </w:tcBorders>
            <w:hideMark/>
          </w:tcPr>
          <w:p w14:paraId="5E48ACC6"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251903F2"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46-0041-82</w:t>
            </w:r>
          </w:p>
        </w:tc>
      </w:tr>
      <w:tr w:rsidR="003A6D2F" w14:paraId="7F4AD8AB"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15BA6062"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AlexaFlour700 anti-CD8a</w:t>
            </w:r>
          </w:p>
        </w:tc>
        <w:tc>
          <w:tcPr>
            <w:tcW w:w="3119" w:type="dxa"/>
            <w:tcBorders>
              <w:top w:val="single" w:sz="4" w:space="0" w:color="auto"/>
              <w:left w:val="single" w:sz="4" w:space="0" w:color="auto"/>
              <w:bottom w:val="single" w:sz="4" w:space="0" w:color="auto"/>
              <w:right w:val="single" w:sz="4" w:space="0" w:color="auto"/>
            </w:tcBorders>
            <w:hideMark/>
          </w:tcPr>
          <w:p w14:paraId="2A104254" w14:textId="77777777" w:rsidR="003A6D2F" w:rsidRDefault="003A6D2F">
            <w:pPr>
              <w:pStyle w:val="a6"/>
              <w:wordWrap/>
              <w:spacing w:after="0" w:line="384" w:lineRule="auto"/>
              <w:ind w:leftChars="0" w:left="0"/>
              <w:rPr>
                <w:rFonts w:ascii="Times New Roman" w:hAnsi="Times New Roman" w:cs="Times New Roman"/>
                <w:szCs w:val="20"/>
              </w:rPr>
            </w:pPr>
            <w:proofErr w:type="spellStart"/>
            <w:r>
              <w:rPr>
                <w:rFonts w:ascii="Times New Roman" w:hAnsi="Times New Roman" w:cs="Times New Roman"/>
                <w:szCs w:val="20"/>
              </w:rPr>
              <w:t>BioLegend</w:t>
            </w:r>
            <w:proofErr w:type="spellEnd"/>
          </w:p>
        </w:tc>
        <w:tc>
          <w:tcPr>
            <w:tcW w:w="2925" w:type="dxa"/>
            <w:tcBorders>
              <w:top w:val="single" w:sz="4" w:space="0" w:color="auto"/>
              <w:left w:val="single" w:sz="4" w:space="0" w:color="auto"/>
              <w:bottom w:val="single" w:sz="4" w:space="0" w:color="auto"/>
              <w:right w:val="single" w:sz="4" w:space="0" w:color="auto"/>
            </w:tcBorders>
            <w:hideMark/>
          </w:tcPr>
          <w:p w14:paraId="4CCD693B"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100730</w:t>
            </w:r>
          </w:p>
        </w:tc>
      </w:tr>
      <w:tr w:rsidR="003A6D2F" w14:paraId="550E074E"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756708F6"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SB436 anti-CD25</w:t>
            </w:r>
          </w:p>
        </w:tc>
        <w:tc>
          <w:tcPr>
            <w:tcW w:w="3119" w:type="dxa"/>
            <w:tcBorders>
              <w:top w:val="single" w:sz="4" w:space="0" w:color="auto"/>
              <w:left w:val="single" w:sz="4" w:space="0" w:color="auto"/>
              <w:bottom w:val="single" w:sz="4" w:space="0" w:color="auto"/>
              <w:right w:val="single" w:sz="4" w:space="0" w:color="auto"/>
            </w:tcBorders>
            <w:hideMark/>
          </w:tcPr>
          <w:p w14:paraId="0CCFB47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174BE146"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62-0251-82</w:t>
            </w:r>
          </w:p>
        </w:tc>
      </w:tr>
      <w:tr w:rsidR="003A6D2F" w14:paraId="63691344"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163B231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APC anti-FOXP3</w:t>
            </w:r>
          </w:p>
        </w:tc>
        <w:tc>
          <w:tcPr>
            <w:tcW w:w="3119" w:type="dxa"/>
            <w:tcBorders>
              <w:top w:val="single" w:sz="4" w:space="0" w:color="auto"/>
              <w:left w:val="single" w:sz="4" w:space="0" w:color="auto"/>
              <w:bottom w:val="single" w:sz="4" w:space="0" w:color="auto"/>
              <w:right w:val="single" w:sz="4" w:space="0" w:color="auto"/>
            </w:tcBorders>
            <w:hideMark/>
          </w:tcPr>
          <w:p w14:paraId="75BED8F6"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359655DF"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17-5773-82</w:t>
            </w:r>
          </w:p>
        </w:tc>
      </w:tr>
      <w:tr w:rsidR="003A6D2F" w14:paraId="43D6482A"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51150DF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PE anti-CD254</w:t>
            </w:r>
          </w:p>
        </w:tc>
        <w:tc>
          <w:tcPr>
            <w:tcW w:w="3119" w:type="dxa"/>
            <w:tcBorders>
              <w:top w:val="single" w:sz="4" w:space="0" w:color="auto"/>
              <w:left w:val="single" w:sz="4" w:space="0" w:color="auto"/>
              <w:bottom w:val="single" w:sz="4" w:space="0" w:color="auto"/>
              <w:right w:val="single" w:sz="4" w:space="0" w:color="auto"/>
            </w:tcBorders>
            <w:hideMark/>
          </w:tcPr>
          <w:p w14:paraId="2FC4A228" w14:textId="77777777" w:rsidR="003A6D2F" w:rsidRDefault="003A6D2F">
            <w:pPr>
              <w:pStyle w:val="a6"/>
              <w:wordWrap/>
              <w:spacing w:after="0" w:line="384" w:lineRule="auto"/>
              <w:ind w:leftChars="0" w:left="0"/>
              <w:rPr>
                <w:rFonts w:ascii="Times New Roman" w:hAnsi="Times New Roman" w:cs="Times New Roman"/>
                <w:szCs w:val="20"/>
              </w:rPr>
            </w:pPr>
            <w:proofErr w:type="spellStart"/>
            <w:r>
              <w:rPr>
                <w:rFonts w:ascii="Times New Roman" w:hAnsi="Times New Roman" w:cs="Times New Roman"/>
                <w:szCs w:val="20"/>
              </w:rPr>
              <w:t>BioLegend</w:t>
            </w:r>
            <w:proofErr w:type="spellEnd"/>
          </w:p>
        </w:tc>
        <w:tc>
          <w:tcPr>
            <w:tcW w:w="2925" w:type="dxa"/>
            <w:tcBorders>
              <w:top w:val="single" w:sz="4" w:space="0" w:color="auto"/>
              <w:left w:val="single" w:sz="4" w:space="0" w:color="auto"/>
              <w:bottom w:val="single" w:sz="4" w:space="0" w:color="auto"/>
              <w:right w:val="single" w:sz="4" w:space="0" w:color="auto"/>
            </w:tcBorders>
            <w:hideMark/>
          </w:tcPr>
          <w:p w14:paraId="258D9693"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510006</w:t>
            </w:r>
          </w:p>
        </w:tc>
      </w:tr>
      <w:tr w:rsidR="003A6D2F" w14:paraId="1FE6E4AB"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0E9B4708"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APC anti-IFN gamma</w:t>
            </w:r>
          </w:p>
        </w:tc>
        <w:tc>
          <w:tcPr>
            <w:tcW w:w="3119" w:type="dxa"/>
            <w:tcBorders>
              <w:top w:val="single" w:sz="4" w:space="0" w:color="auto"/>
              <w:left w:val="single" w:sz="4" w:space="0" w:color="auto"/>
              <w:bottom w:val="single" w:sz="4" w:space="0" w:color="auto"/>
              <w:right w:val="single" w:sz="4" w:space="0" w:color="auto"/>
            </w:tcBorders>
            <w:hideMark/>
          </w:tcPr>
          <w:p w14:paraId="7600B43A"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140F095D"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17-7311-82</w:t>
            </w:r>
          </w:p>
        </w:tc>
      </w:tr>
      <w:tr w:rsidR="003A6D2F" w14:paraId="4705608E" w14:textId="77777777" w:rsidTr="003A6D2F">
        <w:tc>
          <w:tcPr>
            <w:tcW w:w="2977" w:type="dxa"/>
            <w:tcBorders>
              <w:top w:val="single" w:sz="4" w:space="0" w:color="auto"/>
              <w:left w:val="single" w:sz="4" w:space="0" w:color="auto"/>
              <w:bottom w:val="single" w:sz="4" w:space="0" w:color="auto"/>
              <w:right w:val="single" w:sz="4" w:space="0" w:color="auto"/>
            </w:tcBorders>
            <w:hideMark/>
          </w:tcPr>
          <w:p w14:paraId="77DF2A37"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PE anti-IL-17A</w:t>
            </w:r>
          </w:p>
        </w:tc>
        <w:tc>
          <w:tcPr>
            <w:tcW w:w="3119" w:type="dxa"/>
            <w:tcBorders>
              <w:top w:val="single" w:sz="4" w:space="0" w:color="auto"/>
              <w:left w:val="single" w:sz="4" w:space="0" w:color="auto"/>
              <w:bottom w:val="single" w:sz="4" w:space="0" w:color="auto"/>
              <w:right w:val="single" w:sz="4" w:space="0" w:color="auto"/>
            </w:tcBorders>
            <w:hideMark/>
          </w:tcPr>
          <w:p w14:paraId="476385BA"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Invitrogen</w:t>
            </w:r>
          </w:p>
        </w:tc>
        <w:tc>
          <w:tcPr>
            <w:tcW w:w="2925" w:type="dxa"/>
            <w:tcBorders>
              <w:top w:val="single" w:sz="4" w:space="0" w:color="auto"/>
              <w:left w:val="single" w:sz="4" w:space="0" w:color="auto"/>
              <w:bottom w:val="single" w:sz="4" w:space="0" w:color="auto"/>
              <w:right w:val="single" w:sz="4" w:space="0" w:color="auto"/>
            </w:tcBorders>
            <w:hideMark/>
          </w:tcPr>
          <w:p w14:paraId="500E1340" w14:textId="77777777" w:rsidR="003A6D2F" w:rsidRDefault="003A6D2F">
            <w:pPr>
              <w:pStyle w:val="a6"/>
              <w:wordWrap/>
              <w:spacing w:after="0" w:line="384" w:lineRule="auto"/>
              <w:ind w:leftChars="0" w:left="0"/>
              <w:rPr>
                <w:rFonts w:ascii="Times New Roman" w:hAnsi="Times New Roman" w:cs="Times New Roman"/>
                <w:szCs w:val="20"/>
              </w:rPr>
            </w:pPr>
            <w:r>
              <w:rPr>
                <w:rFonts w:ascii="Times New Roman" w:hAnsi="Times New Roman" w:cs="Times New Roman"/>
                <w:szCs w:val="20"/>
              </w:rPr>
              <w:t>12-7177-81</w:t>
            </w:r>
          </w:p>
        </w:tc>
      </w:tr>
    </w:tbl>
    <w:p w14:paraId="34560D6A" w14:textId="77777777" w:rsidR="003A6D2F" w:rsidRDefault="003A6D2F" w:rsidP="003A6D2F">
      <w:pPr>
        <w:spacing w:line="384" w:lineRule="auto"/>
        <w:rPr>
          <w:rFonts w:ascii="Times New Roman" w:hAnsi="Times New Roman" w:cs="Times New Roman"/>
          <w:sz w:val="24"/>
          <w:szCs w:val="24"/>
        </w:rPr>
      </w:pPr>
    </w:p>
    <w:p w14:paraId="03CD193A" w14:textId="77777777" w:rsidR="00E31128" w:rsidRPr="00D65497" w:rsidRDefault="00E31128" w:rsidP="000C05B4">
      <w:pPr>
        <w:wordWrap/>
        <w:spacing w:line="384" w:lineRule="auto"/>
        <w:rPr>
          <w:rFonts w:ascii="Times New Roman" w:hAnsi="Times New Roman"/>
          <w:b/>
          <w:kern w:val="0"/>
          <w:sz w:val="24"/>
          <w:szCs w:val="24"/>
        </w:rPr>
      </w:pPr>
    </w:p>
    <w:sectPr w:rsidR="00E31128" w:rsidRPr="00D65497" w:rsidSect="003F2585">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AFF" w:usb1="C0007843" w:usb2="00000009" w:usb3="00000000" w:csb0="000001FF" w:csb1="00000000"/>
  </w:font>
  <w:font w:name="HY신명조">
    <w:panose1 w:val="02030600000101010101"/>
    <w:charset w:val="81"/>
    <w:family w:val="roman"/>
    <w:pitch w:val="variable"/>
    <w:sig w:usb0="900002A7" w:usb1="29D77CF9"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9FA"/>
    <w:rsid w:val="000C05B4"/>
    <w:rsid w:val="001549FA"/>
    <w:rsid w:val="00391642"/>
    <w:rsid w:val="003A6D2F"/>
    <w:rsid w:val="003F2585"/>
    <w:rsid w:val="00406880"/>
    <w:rsid w:val="00626E49"/>
    <w:rsid w:val="00B7719F"/>
    <w:rsid w:val="00D65497"/>
    <w:rsid w:val="00DB3BBD"/>
    <w:rsid w:val="00E31128"/>
    <w:rsid w:val="00EA3F8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1CE2B2"/>
  <w15:chartTrackingRefBased/>
  <w15:docId w15:val="{99F96D7A-E538-4A87-9470-A811A631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C05B4"/>
    <w:pPr>
      <w:widowControl w:val="0"/>
      <w:wordWrap w:val="0"/>
      <w:autoSpaceDE w:val="0"/>
      <w:autoSpaceDN w:val="0"/>
      <w:spacing w:after="160" w:line="254" w:lineRule="auto"/>
    </w:pPr>
    <w:rPr>
      <w:rFonts w:ascii="HY신명조"/>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sid w:val="000C05B4"/>
    <w:pPr>
      <w:spacing w:line="240" w:lineRule="auto"/>
    </w:pPr>
    <w:rPr>
      <w:szCs w:val="20"/>
    </w:rPr>
  </w:style>
  <w:style w:type="character" w:customStyle="1" w:styleId="Char">
    <w:name w:val="메모 텍스트 Char"/>
    <w:basedOn w:val="a0"/>
    <w:link w:val="a3"/>
    <w:uiPriority w:val="99"/>
    <w:semiHidden/>
    <w:rsid w:val="000C05B4"/>
    <w:rPr>
      <w:rFonts w:ascii="HY신명조"/>
      <w:szCs w:val="20"/>
    </w:rPr>
  </w:style>
  <w:style w:type="character" w:styleId="a4">
    <w:name w:val="annotation reference"/>
    <w:basedOn w:val="a0"/>
    <w:uiPriority w:val="99"/>
    <w:semiHidden/>
    <w:unhideWhenUsed/>
    <w:rsid w:val="000C05B4"/>
    <w:rPr>
      <w:sz w:val="16"/>
      <w:szCs w:val="16"/>
    </w:rPr>
  </w:style>
  <w:style w:type="paragraph" w:styleId="a5">
    <w:name w:val="Balloon Text"/>
    <w:basedOn w:val="a"/>
    <w:link w:val="Char0"/>
    <w:uiPriority w:val="99"/>
    <w:semiHidden/>
    <w:unhideWhenUsed/>
    <w:rsid w:val="000C05B4"/>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5"/>
    <w:uiPriority w:val="99"/>
    <w:semiHidden/>
    <w:rsid w:val="000C05B4"/>
    <w:rPr>
      <w:rFonts w:asciiTheme="majorHAnsi" w:eastAsiaTheme="majorEastAsia" w:hAnsiTheme="majorHAnsi" w:cstheme="majorBidi"/>
      <w:sz w:val="18"/>
      <w:szCs w:val="18"/>
    </w:rPr>
  </w:style>
  <w:style w:type="paragraph" w:styleId="a6">
    <w:name w:val="List Paragraph"/>
    <w:basedOn w:val="a"/>
    <w:uiPriority w:val="34"/>
    <w:qFormat/>
    <w:rsid w:val="000C05B4"/>
    <w:pPr>
      <w:ind w:leftChars="400" w:left="800"/>
    </w:pPr>
  </w:style>
  <w:style w:type="table" w:styleId="a7">
    <w:name w:val="Table Grid"/>
    <w:basedOn w:val="a1"/>
    <w:uiPriority w:val="39"/>
    <w:rsid w:val="000C05B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line number"/>
    <w:basedOn w:val="a0"/>
    <w:uiPriority w:val="99"/>
    <w:semiHidden/>
    <w:unhideWhenUsed/>
    <w:rsid w:val="00DB3BBD"/>
  </w:style>
  <w:style w:type="character" w:styleId="a9">
    <w:name w:val="Hyperlink"/>
    <w:basedOn w:val="a0"/>
    <w:uiPriority w:val="99"/>
    <w:semiHidden/>
    <w:unhideWhenUsed/>
    <w:rsid w:val="0039164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948844">
      <w:bodyDiv w:val="1"/>
      <w:marLeft w:val="0"/>
      <w:marRight w:val="0"/>
      <w:marTop w:val="0"/>
      <w:marBottom w:val="0"/>
      <w:divBdr>
        <w:top w:val="none" w:sz="0" w:space="0" w:color="auto"/>
        <w:left w:val="none" w:sz="0" w:space="0" w:color="auto"/>
        <w:bottom w:val="none" w:sz="0" w:space="0" w:color="auto"/>
        <w:right w:val="none" w:sz="0" w:space="0" w:color="auto"/>
      </w:divBdr>
    </w:div>
    <w:div w:id="1296644833">
      <w:bodyDiv w:val="1"/>
      <w:marLeft w:val="0"/>
      <w:marRight w:val="0"/>
      <w:marTop w:val="0"/>
      <w:marBottom w:val="0"/>
      <w:divBdr>
        <w:top w:val="none" w:sz="0" w:space="0" w:color="auto"/>
        <w:left w:val="none" w:sz="0" w:space="0" w:color="auto"/>
        <w:bottom w:val="none" w:sz="0" w:space="0" w:color="auto"/>
        <w:right w:val="none" w:sz="0" w:space="0" w:color="auto"/>
      </w:divBdr>
    </w:div>
    <w:div w:id="1611233464">
      <w:bodyDiv w:val="1"/>
      <w:marLeft w:val="0"/>
      <w:marRight w:val="0"/>
      <w:marTop w:val="0"/>
      <w:marBottom w:val="0"/>
      <w:divBdr>
        <w:top w:val="none" w:sz="0" w:space="0" w:color="auto"/>
        <w:left w:val="none" w:sz="0" w:space="0" w:color="auto"/>
        <w:bottom w:val="none" w:sz="0" w:space="0" w:color="auto"/>
        <w:right w:val="none" w:sz="0" w:space="0" w:color="auto"/>
      </w:divBdr>
    </w:div>
    <w:div w:id="1660112277">
      <w:bodyDiv w:val="1"/>
      <w:marLeft w:val="0"/>
      <w:marRight w:val="0"/>
      <w:marTop w:val="0"/>
      <w:marBottom w:val="0"/>
      <w:divBdr>
        <w:top w:val="none" w:sz="0" w:space="0" w:color="auto"/>
        <w:left w:val="none" w:sz="0" w:space="0" w:color="auto"/>
        <w:bottom w:val="none" w:sz="0" w:space="0" w:color="auto"/>
        <w:right w:val="none" w:sz="0" w:space="0" w:color="auto"/>
      </w:divBdr>
    </w:div>
    <w:div w:id="20338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1884</Words>
  <Characters>10739</Characters>
  <Application>Microsoft Office Word</Application>
  <DocSecurity>0</DocSecurity>
  <Lines>89</Lines>
  <Paragraphs>25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 JINGWEN</dc:creator>
  <cp:keywords/>
  <dc:description/>
  <cp:lastModifiedBy>TIAN JINGWEN</cp:lastModifiedBy>
  <cp:revision>18</cp:revision>
  <dcterms:created xsi:type="dcterms:W3CDTF">2024-03-12T04:50:00Z</dcterms:created>
  <dcterms:modified xsi:type="dcterms:W3CDTF">2024-04-13T07:57:00Z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6a46468fad361f6a83d56e8bd46963c8f9516f40e41e293aaa6d242947117324</vt:lpwstr>
  </property>
</Properties>
</file>