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11.</w:t>
      </w:r>
      <w:r w:rsidDel="00000000" w:rsidR="00000000" w:rsidRPr="00000000">
        <w:rPr>
          <w:i w:val="1"/>
          <w:sz w:val="20"/>
          <w:szCs w:val="20"/>
          <w:rtl w:val="0"/>
        </w:rPr>
        <w:t xml:space="preserve"> Adjusted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 a</w:t>
      </w:r>
      <w:r w:rsidDel="00000000" w:rsidR="00000000" w:rsidRPr="00000000">
        <w:rPr>
          <w:i w:val="1"/>
          <w:sz w:val="20"/>
          <w:szCs w:val="20"/>
          <w:rtl w:val="0"/>
        </w:rPr>
        <w:t xml:space="preserve"> Odds Ratio [( 95%CI), p-value] between H. pylori antigen-specific antibody levels and presence of multiple pregnancy-related outcomes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86.0" w:type="dxa"/>
        <w:jc w:val="left"/>
        <w:tblInd w:w="-87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46"/>
        <w:gridCol w:w="480"/>
        <w:gridCol w:w="480"/>
        <w:gridCol w:w="1455"/>
        <w:gridCol w:w="1455"/>
        <w:gridCol w:w="480"/>
        <w:gridCol w:w="1470"/>
        <w:gridCol w:w="1500"/>
        <w:gridCol w:w="450"/>
        <w:gridCol w:w="1470"/>
        <w:gridCol w:w="1455"/>
        <w:gridCol w:w="405"/>
        <w:gridCol w:w="1455"/>
        <w:gridCol w:w="1485"/>
        <w:tblGridChange w:id="0">
          <w:tblGrid>
            <w:gridCol w:w="1646"/>
            <w:gridCol w:w="480"/>
            <w:gridCol w:w="480"/>
            <w:gridCol w:w="1455"/>
            <w:gridCol w:w="1455"/>
            <w:gridCol w:w="480"/>
            <w:gridCol w:w="1470"/>
            <w:gridCol w:w="1500"/>
            <w:gridCol w:w="450"/>
            <w:gridCol w:w="1470"/>
            <w:gridCol w:w="1455"/>
            <w:gridCol w:w="405"/>
            <w:gridCol w:w="1455"/>
            <w:gridCol w:w="1485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CagA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GroEL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HpaA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NapA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Antibody level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 </w:t>
            </w:r>
            <w:r w:rsidDel="00000000" w:rsidR="00000000" w:rsidRPr="00000000">
              <w:rPr>
                <w:color w:val="1c1d1e"/>
                <w:sz w:val="18"/>
                <w:szCs w:val="18"/>
                <w:highlight w:val="white"/>
                <w:vertAlign w:val="superscript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 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hypertension,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diabetes, preterm birth, cesarean delivery and SGA 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 (0.80-1.13), 0.54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 (0.84-1.16), 0.86 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 (0.74-1.02),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 (0.73-1.01),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 (0.82-1.15),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0.73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 (0.81-1.13), 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 (0.59-0.83),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 (0.58-0.82), &lt;0.001*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≥2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1.51 (1.13-2.02) &lt;0.01*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2.38 (1.73-3.26),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 (0.74-1.34),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 (0.84-1.58),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0.37 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0.53 (0.40-0.71), 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0.78 (0.57-1.08), 0.14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0.82 (0.61-1.10), 0.18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 (0.71-1.41), 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color w:val="1c1d1e"/>
                <w:sz w:val="21"/>
                <w:szCs w:val="21"/>
                <w:highlight w:val="white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hypertension, gestational diabetes, preterm birth, cesarean delivery, SGA and preeclampsia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 (0.69-1.33), 0.80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1.09 (0.79-1.50), 0.60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 (0.60-1.22), 0.40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 (0.60-1.41), 0.25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 (0.64-1.25), 0.50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(0.69-1.34), 0.81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 (0.44-0.93), 0.02*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 (0.48-0.95)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0.02*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≥2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1.09 (0.79-1.52), 0.61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1.14 (0.83-1.55), 0.42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2.34 (1.71-3.19), 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1.85 (1.38-2.49),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 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 (0.51-1.01), 0.06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0.80 (0.59-1.09), 0.15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1.41 (1.01-1.96)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0.04*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1.31 (0.96-1.80), 0.09</w:t>
            </w:r>
          </w:p>
        </w:tc>
      </w:tr>
    </w:tbl>
    <w:p w:rsidR="00000000" w:rsidDel="00000000" w:rsidP="00000000" w:rsidRDefault="00000000" w:rsidRPr="00000000" w14:paraId="00000083">
      <w:pPr>
        <w:spacing w:line="240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 </w:t>
      </w:r>
      <w:r w:rsidDel="00000000" w:rsidR="00000000" w:rsidRPr="00000000">
        <w:rPr>
          <w:sz w:val="18"/>
          <w:szCs w:val="18"/>
          <w:rtl w:val="0"/>
        </w:rPr>
        <w:t xml:space="preserve">Adjusted by cohort, smoking during pregnancy, ethnicity, maternal age, pre-pregnancy body mass index and educational level.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b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Seronegatives, </w:t>
      </w:r>
      <w:r w:rsidDel="00000000" w:rsidR="00000000" w:rsidRPr="00000000">
        <w:rPr>
          <w:color w:val="1c1d1e"/>
          <w:sz w:val="18"/>
          <w:szCs w:val="18"/>
          <w:highlight w:val="white"/>
          <w:vertAlign w:val="superscript"/>
          <w:rtl w:val="0"/>
        </w:rPr>
        <w:t xml:space="preserve">c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below the seropositives median,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d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above the seropositives median.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VacA was not used due to two low numbers.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ind w:left="-566" w:firstLine="0"/>
        <w:jc w:val="both"/>
        <w:rPr>
          <w:color w:val="1c1d1e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ind w:left="-566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-566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11 (continuation).</w:t>
      </w:r>
      <w:r w:rsidDel="00000000" w:rsidR="00000000" w:rsidRPr="00000000">
        <w:rPr>
          <w:i w:val="1"/>
          <w:sz w:val="20"/>
          <w:szCs w:val="20"/>
          <w:rtl w:val="0"/>
        </w:rPr>
        <w:t xml:space="preserve"> Adjusted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 a</w:t>
      </w:r>
      <w:r w:rsidDel="00000000" w:rsidR="00000000" w:rsidRPr="00000000">
        <w:rPr>
          <w:i w:val="1"/>
          <w:sz w:val="20"/>
          <w:szCs w:val="20"/>
          <w:rtl w:val="0"/>
        </w:rPr>
        <w:t xml:space="preserve"> Odds Ratio [(95%CI), p-value] between H. pylori antigen-specific antibody levels and presence of multiple pregnancy-related outcomes.</w:t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85.0" w:type="dxa"/>
        <w:jc w:val="left"/>
        <w:tblInd w:w="-7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71"/>
        <w:gridCol w:w="630"/>
        <w:gridCol w:w="975"/>
        <w:gridCol w:w="1800"/>
        <w:gridCol w:w="1710"/>
        <w:gridCol w:w="855"/>
        <w:gridCol w:w="1590"/>
        <w:gridCol w:w="1568"/>
        <w:gridCol w:w="771"/>
        <w:gridCol w:w="1590"/>
        <w:gridCol w:w="2025"/>
        <w:tblGridChange w:id="0">
          <w:tblGrid>
            <w:gridCol w:w="2071"/>
            <w:gridCol w:w="630"/>
            <w:gridCol w:w="975"/>
            <w:gridCol w:w="1800"/>
            <w:gridCol w:w="1710"/>
            <w:gridCol w:w="855"/>
            <w:gridCol w:w="1590"/>
            <w:gridCol w:w="1568"/>
            <w:gridCol w:w="771"/>
            <w:gridCol w:w="1590"/>
            <w:gridCol w:w="2025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OMP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Urea A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HcpC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Antibody level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  <w:r w:rsidDel="00000000" w:rsidR="00000000" w:rsidRPr="00000000">
              <w:rPr>
                <w:color w:val="1c1d1e"/>
                <w:sz w:val="18"/>
                <w:szCs w:val="18"/>
                <w:highlight w:val="white"/>
                <w:vertAlign w:val="superscript"/>
                <w:rtl w:val="0"/>
              </w:rPr>
              <w:t xml:space="preserve">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  <w:r w:rsidDel="00000000" w:rsidR="00000000" w:rsidRPr="00000000">
              <w:rPr>
                <w:color w:val="1c1d1e"/>
                <w:sz w:val="21"/>
                <w:szCs w:val="21"/>
                <w:highlight w:val="white"/>
                <w:vertAlign w:val="superscript"/>
                <w:rtl w:val="0"/>
              </w:rPr>
              <w:t xml:space="preserve">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hypertension,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diabetes, preterm birth, cesarean delivery and SGA</w:t>
              <w:br w:type="textWrapping"/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1-2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 (0.53-0.75), &lt;0.001*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0.63 (0.54-0.74), &lt;0.001*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1.11 (0.95-1.30), 0.20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 (0.73-1.01), 0.06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1.70 (1.44-1.98), 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1.45 (1.23-1.71), &lt;0.001*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&gt;2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0.80 (0.60-1.07), 0.13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 (0.72-1.35), 0.92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 (0.65-1.19), 0.40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0.89(0.65-1.21), 0.45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2.04 (1.51-2.77),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1.95 (1.44-2.65),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color w:val="1c1d1e"/>
                <w:sz w:val="21"/>
                <w:szCs w:val="21"/>
                <w:highlight w:val="white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hypertension, gestational diabetes, preterm birth, cesarean delivery, SGA and preeclampsia</w:t>
              <w:br w:type="textWrapping"/>
              <w:t xml:space="preserve">(n=571)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1 - 2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1.91 (0.72-5.03), 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2.36(0.89-6.28), &lt;0.001*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1.21 (0.90-1.64), 0.21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 (0.67-1.17), 0.40</w:t>
            </w:r>
          </w:p>
        </w:tc>
        <w:tc>
          <w:tcPr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1.80 (1.32-2.45), 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1.50 (1.12-1.98), &lt;0.01*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&gt;2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 (0.37-2.65), 0.95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1.16 (0.43-3.11), 0.36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1.21 (0.90-1.65), 0.23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 (0.60-1.10), 0.19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1.23 (0.91-1.68),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0.18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1.26 (0.92-1.72),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</w:t>
            </w:r>
          </w:p>
        </w:tc>
      </w:tr>
    </w:tbl>
    <w:p w:rsidR="00000000" w:rsidDel="00000000" w:rsidP="00000000" w:rsidRDefault="00000000" w:rsidRPr="00000000" w14:paraId="000000F5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 </w:t>
      </w:r>
      <w:r w:rsidDel="00000000" w:rsidR="00000000" w:rsidRPr="00000000">
        <w:rPr>
          <w:sz w:val="18"/>
          <w:szCs w:val="18"/>
          <w:rtl w:val="0"/>
        </w:rPr>
        <w:t xml:space="preserve">Adjusted by cohort, smoking during pregnancy, ethnicity, maternal age, pre-pregnancy BMI and educational level.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b </w:t>
      </w:r>
      <w:r w:rsidDel="00000000" w:rsidR="00000000" w:rsidRPr="00000000">
        <w:rPr>
          <w:sz w:val="18"/>
          <w:szCs w:val="18"/>
          <w:rtl w:val="0"/>
        </w:rPr>
        <w:t xml:space="preserve">Null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 b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, </w:t>
      </w:r>
      <w:r w:rsidDel="00000000" w:rsidR="00000000" w:rsidRPr="00000000">
        <w:rPr>
          <w:color w:val="1c1d1e"/>
          <w:sz w:val="18"/>
          <w:szCs w:val="18"/>
          <w:highlight w:val="white"/>
          <w:vertAlign w:val="superscript"/>
          <w:rtl w:val="0"/>
        </w:rPr>
        <w:t xml:space="preserve">c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below the seropositives median,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d </w:t>
      </w:r>
      <w:r w:rsidDel="00000000" w:rsidR="00000000" w:rsidRPr="00000000">
        <w:rPr>
          <w:color w:val="1c1d1e"/>
          <w:sz w:val="18"/>
          <w:szCs w:val="18"/>
          <w:highlight w:val="white"/>
          <w:rtl w:val="0"/>
        </w:rPr>
        <w:t xml:space="preserve">Antibody levels above the seropositives median.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VacA was not used due to two low numbers. 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