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Additional file 5</w:t>
      </w:r>
      <w:r w:rsidDel="00000000" w:rsidR="00000000" w:rsidRPr="00000000">
        <w:rPr>
          <w:sz w:val="20"/>
          <w:szCs w:val="20"/>
          <w:rtl w:val="0"/>
        </w:rPr>
        <w:t xml:space="preserve">. </w:t>
      </w:r>
      <w:r w:rsidDel="00000000" w:rsidR="00000000" w:rsidRPr="00000000">
        <w:rPr>
          <w:i w:val="1"/>
          <w:sz w:val="20"/>
          <w:szCs w:val="20"/>
          <w:rtl w:val="0"/>
        </w:rPr>
        <w:t xml:space="preserve">H.pylori  seroprevalence overall and to 8 specific antigens in pregnant women. </w:t>
      </w:r>
    </w:p>
    <w:tbl>
      <w:tblPr>
        <w:tblStyle w:val="Table1"/>
        <w:tblW w:w="9000.0" w:type="dxa"/>
        <w:jc w:val="left"/>
        <w:tblInd w:w="-2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45"/>
        <w:gridCol w:w="2610"/>
        <w:gridCol w:w="3645"/>
        <w:tblGridChange w:id="0">
          <w:tblGrid>
            <w:gridCol w:w="2745"/>
            <w:gridCol w:w="2610"/>
            <w:gridCol w:w="3645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H. pylori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seroprevalence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                                  n (%)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360" w:lineRule="auto"/>
              <w:jc w:val="center"/>
              <w:rPr>
                <w:sz w:val="18"/>
                <w:szCs w:val="18"/>
                <w:vertAlign w:val="superscript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Overall</w:t>
            </w:r>
            <w:r w:rsidDel="00000000" w:rsidR="00000000" w:rsidRPr="00000000">
              <w:rPr>
                <w:sz w:val="18"/>
                <w:szCs w:val="18"/>
                <w:vertAlign w:val="superscript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3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                               258 (18.8%)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By antigen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Among all (n=1372)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Among overall seropositive</w:t>
            </w:r>
            <w:r w:rsidDel="00000000" w:rsidR="00000000" w:rsidRPr="00000000">
              <w:rPr>
                <w:color w:val="1c1d1e"/>
                <w:sz w:val="18"/>
                <w:szCs w:val="18"/>
                <w:highlight w:val="white"/>
                <w:vertAlign w:val="superscript"/>
                <w:rtl w:val="0"/>
              </w:rPr>
              <w:t xml:space="preserve"> a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(n=258)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GroEL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437 (31.9)</w:t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211 (81.8)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Cag A</w:t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406 (29.6)</w:t>
            </w:r>
          </w:p>
        </w:tc>
        <w:tc>
          <w:tcPr>
            <w:tcBorders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193 (74.8)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NapA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333 (24.3)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172 (66.7)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HpaA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234 (17.1)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140 (54.3)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HcpC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211 (15.4)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132 (51.2)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Urea 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188 (13.7)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131 (51.2)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OMP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139 (10.1)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118 (45.7)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right w:color="000000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 (0.2)</w:t>
            </w:r>
          </w:p>
        </w:tc>
        <w:tc>
          <w:tcPr>
            <w:tcBorders>
              <w:top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 (0.4)</w:t>
            </w:r>
          </w:p>
        </w:tc>
      </w:tr>
    </w:tbl>
    <w:p w:rsidR="00000000" w:rsidDel="00000000" w:rsidP="00000000" w:rsidRDefault="00000000" w:rsidRPr="00000000" w14:paraId="00000023">
      <w:pPr>
        <w:spacing w:line="480" w:lineRule="auto"/>
        <w:jc w:val="both"/>
        <w:rPr>
          <w:color w:val="1c1d1e"/>
          <w:sz w:val="18"/>
          <w:szCs w:val="18"/>
          <w:highlight w:val="white"/>
        </w:rPr>
      </w:pPr>
      <w:r w:rsidDel="00000000" w:rsidR="00000000" w:rsidRPr="00000000">
        <w:rPr>
          <w:color w:val="1c1d1e"/>
          <w:sz w:val="21"/>
          <w:szCs w:val="21"/>
          <w:highlight w:val="white"/>
          <w:vertAlign w:val="superscript"/>
          <w:rtl w:val="0"/>
        </w:rPr>
        <w:t xml:space="preserve">a  </w:t>
      </w:r>
      <w:r w:rsidDel="00000000" w:rsidR="00000000" w:rsidRPr="00000000">
        <w:rPr>
          <w:color w:val="1c1d1e"/>
          <w:sz w:val="20"/>
          <w:szCs w:val="20"/>
          <w:highlight w:val="white"/>
          <w:rtl w:val="0"/>
        </w:rPr>
        <w:t xml:space="preserve">Overall seropositivity is defined as being positive to at least three antigens.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