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8" w:before="1" w:line="240" w:lineRule="auto"/>
        <w:ind w:left="-141.73228346456688" w:firstLine="0"/>
        <w:rPr>
          <w:rFonts w:ascii="Arial MT" w:cs="Arial MT" w:eastAsia="Arial MT" w:hAnsi="Arial MT"/>
          <w:sz w:val="20"/>
          <w:szCs w:val="20"/>
        </w:rPr>
      </w:pPr>
      <w:r w:rsidDel="00000000" w:rsidR="00000000" w:rsidRPr="00000000">
        <w:rPr>
          <w:b w:val="1"/>
          <w:sz w:val="20"/>
          <w:szCs w:val="20"/>
          <w:rtl w:val="0"/>
        </w:rPr>
        <w:t xml:space="preserve">Additional file 1</w:t>
      </w:r>
      <w:r w:rsidDel="00000000" w:rsidR="00000000" w:rsidRPr="00000000">
        <w:rPr>
          <w:b w:val="1"/>
          <w:i w:val="1"/>
          <w:sz w:val="20"/>
          <w:szCs w:val="20"/>
          <w:rtl w:val="0"/>
        </w:rPr>
        <w:t xml:space="preserve">. </w:t>
      </w:r>
      <w:r w:rsidDel="00000000" w:rsidR="00000000" w:rsidRPr="00000000">
        <w:rPr>
          <w:rFonts w:ascii="Arial MT" w:cs="Arial MT" w:eastAsia="Arial MT" w:hAnsi="Arial MT"/>
          <w:sz w:val="20"/>
          <w:szCs w:val="20"/>
          <w:rtl w:val="0"/>
        </w:rPr>
        <w:t xml:space="preserve">Outcomes definition </w:t>
      </w:r>
      <w:r w:rsidDel="00000000" w:rsidR="00000000" w:rsidRPr="00000000">
        <w:rPr>
          <w:rFonts w:ascii="Arial MT" w:cs="Arial MT" w:eastAsia="Arial MT" w:hAnsi="Arial MT"/>
          <w:sz w:val="20"/>
          <w:szCs w:val="20"/>
          <w:vertAlign w:val="superscript"/>
          <w:rtl w:val="0"/>
        </w:rPr>
        <w:t xml:space="preserve">36</w:t>
      </w:r>
      <w:r w:rsidDel="00000000" w:rsidR="00000000" w:rsidRPr="00000000">
        <w:rPr>
          <w:rFonts w:ascii="Arial MT" w:cs="Arial MT" w:eastAsia="Arial MT" w:hAnsi="Arial MT"/>
          <w:sz w:val="20"/>
          <w:szCs w:val="20"/>
          <w:rtl w:val="0"/>
        </w:rPr>
        <w:t xml:space="preserve">. Harmonized through either EC-H2020 LifeCycle or Helix project</w:t>
      </w:r>
    </w:p>
    <w:tbl>
      <w:tblPr>
        <w:tblStyle w:val="Table1"/>
        <w:tblW w:w="9495.0" w:type="dxa"/>
        <w:jc w:val="left"/>
        <w:tblInd w:w="-125.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235"/>
        <w:gridCol w:w="7260"/>
        <w:tblGridChange w:id="0">
          <w:tblGrid>
            <w:gridCol w:w="2235"/>
            <w:gridCol w:w="7260"/>
          </w:tblGrid>
        </w:tblGridChange>
      </w:tblGrid>
      <w:tr>
        <w:trPr>
          <w:cantSplit w:val="0"/>
          <w:trHeight w:val="191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2">
            <w:pPr>
              <w:widowControl w:val="0"/>
              <w:spacing w:before="101" w:line="240" w:lineRule="auto"/>
              <w:ind w:left="89" w:right="787"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Gestational hypertension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3">
            <w:pPr>
              <w:widowControl w:val="0"/>
              <w:spacing w:before="101" w:line="240" w:lineRule="auto"/>
              <w:ind w:left="99" w:right="88" w:firstLine="0"/>
              <w:jc w:val="both"/>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New onset of hypertension after 20 weeks of gestation. The diagnosis requires that the patient have: i) Elevated blood pressure (systolic ≥ 140 or diastolic ≥ 90 mm Hg, the latter measured using the fifth Korotkoff sound) ii) Previously normal blood pressures iii) No protein in the urine iv) No manifestations of preeclampsia. Gestational hypertension is diagnosed retrospectively when the patient does not develop preeclampsia and if blood pressure returns to normal by the 12-week postpartum visit.</w:t>
            </w:r>
          </w:p>
        </w:tc>
      </w:tr>
      <w:tr>
        <w:trPr>
          <w:cantSplit w:val="0"/>
          <w:trHeight w:val="649"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4">
            <w:pPr>
              <w:widowControl w:val="0"/>
              <w:spacing w:before="96" w:line="240" w:lineRule="auto"/>
              <w:ind w:left="8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Preeclampsia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5">
            <w:pPr>
              <w:widowControl w:val="0"/>
              <w:spacing w:before="96" w:line="240" w:lineRule="auto"/>
              <w:ind w:left="99" w:firstLine="0"/>
              <w:rPr>
                <w:rFonts w:ascii="Arial MT" w:cs="Arial MT" w:eastAsia="Arial MT" w:hAnsi="Arial MT"/>
                <w:sz w:val="20"/>
                <w:szCs w:val="20"/>
              </w:rPr>
            </w:pPr>
            <w:r w:rsidDel="00000000" w:rsidR="00000000" w:rsidRPr="00000000">
              <w:rPr>
                <w:rFonts w:ascii="Arial MT" w:cs="Arial MT" w:eastAsia="Arial MT" w:hAnsi="Arial MT"/>
                <w:color w:val="202529"/>
                <w:sz w:val="20"/>
                <w:szCs w:val="20"/>
                <w:rtl w:val="0"/>
              </w:rPr>
              <w:t xml:space="preserve">i) elevated blood pressure after 20 weeks of gestation (≥ 140 mm Hg systolic or ≥ 90 mm Hg diastolic) ii) proteinuria (&gt; 0.3 g/24 hours).</w:t>
            </w:r>
            <w:r w:rsidDel="00000000" w:rsidR="00000000" w:rsidRPr="00000000">
              <w:rPr>
                <w:rtl w:val="0"/>
              </w:rPr>
            </w:r>
          </w:p>
        </w:tc>
      </w:tr>
      <w:tr>
        <w:trPr>
          <w:cantSplit w:val="0"/>
          <w:trHeight w:val="76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6">
            <w:pPr>
              <w:widowControl w:val="0"/>
              <w:spacing w:before="101" w:line="240" w:lineRule="auto"/>
              <w:ind w:left="8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Gestational diabetes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7">
            <w:pPr>
              <w:widowControl w:val="0"/>
              <w:spacing w:before="101" w:line="240" w:lineRule="auto"/>
              <w:ind w:left="99" w:firstLine="0"/>
              <w:rPr>
                <w:rFonts w:ascii="Arial MT" w:cs="Arial MT" w:eastAsia="Arial MT" w:hAnsi="Arial MT"/>
                <w:sz w:val="20"/>
                <w:szCs w:val="20"/>
              </w:rPr>
            </w:pPr>
            <w:r w:rsidDel="00000000" w:rsidR="00000000" w:rsidRPr="00000000">
              <w:rPr>
                <w:rFonts w:ascii="Arial MT" w:cs="Arial MT" w:eastAsia="Arial MT" w:hAnsi="Arial MT"/>
                <w:color w:val="202529"/>
                <w:sz w:val="20"/>
                <w:szCs w:val="20"/>
                <w:rtl w:val="0"/>
              </w:rPr>
              <w:t xml:space="preserve">Glucose intolerance with onset or first recognition during pregnancy continuing beyond 24–28 weeks of gestation).</w:t>
            </w: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8">
            <w:pPr>
              <w:widowControl w:val="0"/>
              <w:spacing w:before="101" w:line="240" w:lineRule="auto"/>
              <w:ind w:left="8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Preterm birth</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9">
            <w:pPr>
              <w:widowControl w:val="0"/>
              <w:spacing w:before="101" w:line="240" w:lineRule="auto"/>
              <w:ind w:left="9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Neonate born before 37 weeks.</w:t>
            </w:r>
          </w:p>
        </w:tc>
      </w:tr>
      <w:tr>
        <w:trPr>
          <w:cantSplit w:val="0"/>
          <w:trHeight w:val="649"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A">
            <w:pPr>
              <w:widowControl w:val="0"/>
              <w:spacing w:before="96" w:line="240" w:lineRule="auto"/>
              <w:ind w:left="89" w:right="108"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Small for gestational age (SGA)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B">
            <w:pPr>
              <w:widowControl w:val="0"/>
              <w:spacing w:before="96" w:line="240" w:lineRule="auto"/>
              <w:ind w:left="155"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Birth weight below the 10</w:t>
            </w:r>
            <w:r w:rsidDel="00000000" w:rsidR="00000000" w:rsidRPr="00000000">
              <w:rPr>
                <w:rFonts w:ascii="Arial MT" w:cs="Arial MT" w:eastAsia="Arial MT" w:hAnsi="Arial MT"/>
                <w:sz w:val="20"/>
                <w:szCs w:val="20"/>
                <w:vertAlign w:val="superscript"/>
                <w:rtl w:val="0"/>
              </w:rPr>
              <w:t xml:space="preserve">th</w:t>
            </w:r>
            <w:r w:rsidDel="00000000" w:rsidR="00000000" w:rsidRPr="00000000">
              <w:rPr>
                <w:rFonts w:ascii="Arial MT" w:cs="Arial MT" w:eastAsia="Arial MT" w:hAnsi="Arial MT"/>
                <w:sz w:val="20"/>
                <w:szCs w:val="20"/>
                <w:rtl w:val="0"/>
              </w:rPr>
              <w:t xml:space="preserve"> percentile</w:t>
            </w:r>
          </w:p>
        </w:tc>
      </w:tr>
      <w:tr>
        <w:trPr>
          <w:cantSplit w:val="0"/>
          <w:trHeight w:val="65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widowControl w:val="0"/>
              <w:spacing w:before="101" w:line="240" w:lineRule="auto"/>
              <w:ind w:left="89" w:right="97"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Large for gestational age (LGA)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widowControl w:val="0"/>
              <w:spacing w:before="101" w:line="240" w:lineRule="auto"/>
              <w:ind w:left="9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Birth weight above the 90</w:t>
            </w:r>
            <w:r w:rsidDel="00000000" w:rsidR="00000000" w:rsidRPr="00000000">
              <w:rPr>
                <w:rFonts w:ascii="Arial MT" w:cs="Arial MT" w:eastAsia="Arial MT" w:hAnsi="Arial MT"/>
                <w:sz w:val="20"/>
                <w:szCs w:val="20"/>
                <w:vertAlign w:val="superscript"/>
                <w:rtl w:val="0"/>
              </w:rPr>
              <w:t xml:space="preserve">th</w:t>
            </w:r>
            <w:r w:rsidDel="00000000" w:rsidR="00000000" w:rsidRPr="00000000">
              <w:rPr>
                <w:rFonts w:ascii="Arial MT" w:cs="Arial MT" w:eastAsia="Arial MT" w:hAnsi="Arial MT"/>
                <w:sz w:val="20"/>
                <w:szCs w:val="20"/>
                <w:rtl w:val="0"/>
              </w:rPr>
              <w:t xml:space="preserve"> percentile</w:t>
            </w:r>
          </w:p>
        </w:tc>
      </w:tr>
      <w:tr>
        <w:trPr>
          <w:cantSplit w:val="0"/>
          <w:trHeight w:val="649"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E">
            <w:pPr>
              <w:widowControl w:val="0"/>
              <w:spacing w:before="101" w:line="240" w:lineRule="auto"/>
              <w:ind w:left="8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Prenatal depression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F">
            <w:pPr>
              <w:widowControl w:val="0"/>
              <w:spacing w:before="101" w:line="240" w:lineRule="auto"/>
              <w:ind w:left="99" w:right="16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BiB: GHQ-28 (General Health Questionnaire-28). Participants with scores above the 85</w:t>
            </w:r>
            <w:r w:rsidDel="00000000" w:rsidR="00000000" w:rsidRPr="00000000">
              <w:rPr>
                <w:rFonts w:ascii="Arial MT" w:cs="Arial MT" w:eastAsia="Arial MT" w:hAnsi="Arial MT"/>
                <w:sz w:val="20"/>
                <w:szCs w:val="20"/>
                <w:vertAlign w:val="superscript"/>
                <w:rtl w:val="0"/>
              </w:rPr>
              <w:t xml:space="preserve">th</w:t>
            </w:r>
            <w:r w:rsidDel="00000000" w:rsidR="00000000" w:rsidRPr="00000000">
              <w:rPr>
                <w:rFonts w:ascii="Arial MT" w:cs="Arial MT" w:eastAsia="Arial MT" w:hAnsi="Arial MT"/>
                <w:sz w:val="20"/>
                <w:szCs w:val="20"/>
                <w:rtl w:val="0"/>
              </w:rPr>
              <w:t xml:space="preserve"> percentile.</w:t>
            </w:r>
          </w:p>
        </w:tc>
      </w:tr>
      <w:tr>
        <w:trPr>
          <w:cantSplit w:val="0"/>
          <w:trHeight w:val="89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0">
            <w:pPr>
              <w:widowControl w:val="0"/>
              <w:rPr>
                <w:rFonts w:ascii="Arial MT" w:cs="Arial MT" w:eastAsia="Arial MT" w:hAnsi="Arial MT"/>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1">
            <w:pPr>
              <w:widowControl w:val="0"/>
              <w:spacing w:before="106" w:line="244" w:lineRule="auto"/>
              <w:ind w:left="99" w:right="115"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Rhea: maternal depressive symptoms were assessed antenatally at 28-32 weeks of gestation and postnatally at 8 weeks postpartum - using the Edinburgh Postnatal Depression Scale</w:t>
            </w:r>
            <w:r w:rsidDel="00000000" w:rsidR="00000000" w:rsidRPr="00000000">
              <w:rPr>
                <w:rFonts w:ascii="Arial MT" w:cs="Arial MT" w:eastAsia="Arial MT" w:hAnsi="Arial MT"/>
                <w:color w:val="1b1c1d"/>
                <w:sz w:val="20"/>
                <w:szCs w:val="20"/>
                <w:vertAlign w:val="superscript"/>
                <w:rtl w:val="0"/>
              </w:rPr>
              <w:t xml:space="preserve"> a</w:t>
            </w:r>
            <w:r w:rsidDel="00000000" w:rsidR="00000000" w:rsidRPr="00000000">
              <w:rPr>
                <w:rFonts w:ascii="Arial MT" w:cs="Arial MT" w:eastAsia="Arial MT" w:hAnsi="Arial MT"/>
                <w:sz w:val="20"/>
                <w:szCs w:val="20"/>
                <w:rtl w:val="0"/>
              </w:rPr>
              <w:t xml:space="preserve">. 11-12 is the optimal cut-off for the prediction of depression </w:t>
            </w:r>
            <w:r w:rsidDel="00000000" w:rsidR="00000000" w:rsidRPr="00000000">
              <w:rPr>
                <w:rFonts w:ascii="Arial MT" w:cs="Arial MT" w:eastAsia="Arial MT" w:hAnsi="Arial MT"/>
                <w:sz w:val="20"/>
                <w:szCs w:val="20"/>
                <w:vertAlign w:val="superscript"/>
                <w:rtl w:val="0"/>
              </w:rPr>
              <w:t xml:space="preserve">32</w:t>
            </w:r>
            <w:r w:rsidDel="00000000" w:rsidR="00000000" w:rsidRPr="00000000">
              <w:rPr>
                <w:rFonts w:ascii="Arial MT" w:cs="Arial MT" w:eastAsia="Arial MT" w:hAnsi="Arial MT"/>
                <w:sz w:val="20"/>
                <w:szCs w:val="20"/>
                <w:rtl w:val="0"/>
              </w:rPr>
              <w:t xml:space="preserve">.</w:t>
            </w:r>
          </w:p>
        </w:tc>
      </w:tr>
      <w:tr>
        <w:trPr>
          <w:cantSplit w:val="0"/>
          <w:trHeight w:val="669"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2">
            <w:pPr>
              <w:widowControl w:val="0"/>
              <w:rPr>
                <w:rFonts w:ascii="Arial MT" w:cs="Arial MT" w:eastAsia="Arial MT" w:hAnsi="Arial MT"/>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3">
            <w:pPr>
              <w:widowControl w:val="0"/>
              <w:spacing w:before="112" w:line="240" w:lineRule="auto"/>
              <w:ind w:left="99" w:right="422"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INMA: maternal medical history of depression and anxiety were recorded by the interviewer-administered questionnaire during the first trimester of pregnancy.</w:t>
            </w:r>
          </w:p>
        </w:tc>
      </w:tr>
      <w:tr>
        <w:trPr>
          <w:cantSplit w:val="0"/>
          <w:trHeight w:val="65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4">
            <w:pPr>
              <w:widowControl w:val="0"/>
              <w:spacing w:before="97" w:line="240" w:lineRule="auto"/>
              <w:ind w:left="8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Prenatal anxiety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5">
            <w:pPr>
              <w:widowControl w:val="0"/>
              <w:spacing w:before="97" w:line="240" w:lineRule="auto"/>
              <w:ind w:left="99" w:right="16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BiB: GHQ-28 (General Health Questionnaire-28). Participants with scores above the 85</w:t>
            </w:r>
            <w:r w:rsidDel="00000000" w:rsidR="00000000" w:rsidRPr="00000000">
              <w:rPr>
                <w:rFonts w:ascii="Arial MT" w:cs="Arial MT" w:eastAsia="Arial MT" w:hAnsi="Arial MT"/>
                <w:sz w:val="20"/>
                <w:szCs w:val="20"/>
                <w:vertAlign w:val="superscript"/>
                <w:rtl w:val="0"/>
              </w:rPr>
              <w:t xml:space="preserve">th</w:t>
            </w:r>
            <w:r w:rsidDel="00000000" w:rsidR="00000000" w:rsidRPr="00000000">
              <w:rPr>
                <w:rFonts w:ascii="Arial MT" w:cs="Arial MT" w:eastAsia="Arial MT" w:hAnsi="Arial MT"/>
                <w:sz w:val="20"/>
                <w:szCs w:val="20"/>
                <w:rtl w:val="0"/>
              </w:rPr>
              <w:t xml:space="preserve"> percentile.</w:t>
            </w:r>
          </w:p>
        </w:tc>
      </w:tr>
      <w:tr>
        <w:trPr>
          <w:cantSplit w:val="0"/>
          <w:trHeight w:val="889"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6">
            <w:pPr>
              <w:widowControl w:val="0"/>
              <w:rPr>
                <w:rFonts w:ascii="Arial MT" w:cs="Arial MT" w:eastAsia="Arial MT" w:hAnsi="Arial MT"/>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7">
            <w:pPr>
              <w:widowControl w:val="0"/>
              <w:spacing w:before="102" w:line="240" w:lineRule="auto"/>
              <w:ind w:left="9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Rhea: Maternal anxiety was measured at 28-32 weeks of gestation using the</w:t>
            </w:r>
          </w:p>
          <w:p w:rsidR="00000000" w:rsidDel="00000000" w:rsidP="00000000" w:rsidRDefault="00000000" w:rsidRPr="00000000" w14:paraId="00000018">
            <w:pPr>
              <w:widowControl w:val="0"/>
              <w:spacing w:line="240" w:lineRule="auto"/>
              <w:ind w:left="99"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STAI-Trait subscale of the State-Trait Anxiety Inventory</w:t>
            </w:r>
            <w:r w:rsidDel="00000000" w:rsidR="00000000" w:rsidRPr="00000000">
              <w:rPr>
                <w:rFonts w:ascii="Arial MT" w:cs="Arial MT" w:eastAsia="Arial MT" w:hAnsi="Arial MT"/>
                <w:color w:val="1b1c1d"/>
                <w:sz w:val="20"/>
                <w:szCs w:val="20"/>
                <w:vertAlign w:val="superscript"/>
                <w:rtl w:val="0"/>
              </w:rPr>
              <w:t xml:space="preserve"> b</w:t>
            </w:r>
            <w:r w:rsidDel="00000000" w:rsidR="00000000" w:rsidRPr="00000000">
              <w:rPr>
                <w:rFonts w:ascii="Arial MT" w:cs="Arial MT" w:eastAsia="Arial MT" w:hAnsi="Arial MT"/>
                <w:color w:val="1b1c1d"/>
                <w:sz w:val="21"/>
                <w:szCs w:val="21"/>
                <w:rtl w:val="0"/>
              </w:rPr>
              <w:t xml:space="preserve">. </w:t>
            </w:r>
            <w:r w:rsidDel="00000000" w:rsidR="00000000" w:rsidRPr="00000000">
              <w:rPr>
                <w:rFonts w:ascii="Arial MT" w:cs="Arial MT" w:eastAsia="Arial MT" w:hAnsi="Arial MT"/>
                <w:color w:val="1b1c1d"/>
                <w:sz w:val="20"/>
                <w:szCs w:val="20"/>
                <w:rtl w:val="0"/>
              </w:rPr>
              <w:t xml:space="preserve">Scores above 57 indicate high anxiety </w:t>
            </w:r>
            <w:r w:rsidDel="00000000" w:rsidR="00000000" w:rsidRPr="00000000">
              <w:rPr>
                <w:rFonts w:ascii="Arial MT" w:cs="Arial MT" w:eastAsia="Arial MT" w:hAnsi="Arial MT"/>
                <w:color w:val="1b1c1d"/>
                <w:sz w:val="20"/>
                <w:szCs w:val="20"/>
                <w:vertAlign w:val="superscript"/>
                <w:rtl w:val="0"/>
              </w:rPr>
              <w:t xml:space="preserve">37</w:t>
            </w:r>
            <w:r w:rsidDel="00000000" w:rsidR="00000000" w:rsidRPr="00000000">
              <w:rPr>
                <w:rFonts w:ascii="Arial MT" w:cs="Arial MT" w:eastAsia="Arial MT" w:hAnsi="Arial MT"/>
                <w:color w:val="1b1c1d"/>
                <w:sz w:val="20"/>
                <w:szCs w:val="20"/>
                <w:rtl w:val="0"/>
              </w:rPr>
              <w:t xml:space="preserve">.</w:t>
            </w:r>
            <w:r w:rsidDel="00000000" w:rsidR="00000000" w:rsidRPr="00000000">
              <w:rPr>
                <w:rtl w:val="0"/>
              </w:rPr>
            </w:r>
          </w:p>
        </w:tc>
      </w:tr>
      <w:tr>
        <w:trPr>
          <w:cantSplit w:val="0"/>
          <w:trHeight w:val="649"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9">
            <w:pPr>
              <w:widowControl w:val="0"/>
              <w:rPr>
                <w:rFonts w:ascii="Arial MT" w:cs="Arial MT" w:eastAsia="Arial MT" w:hAnsi="Arial MT"/>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widowControl w:val="0"/>
              <w:spacing w:before="109" w:line="240" w:lineRule="auto"/>
              <w:ind w:left="99" w:right="422" w:firstLine="0"/>
              <w:rPr>
                <w:rFonts w:ascii="Arial MT" w:cs="Arial MT" w:eastAsia="Arial MT" w:hAnsi="Arial MT"/>
                <w:sz w:val="20"/>
                <w:szCs w:val="20"/>
              </w:rPr>
            </w:pPr>
            <w:r w:rsidDel="00000000" w:rsidR="00000000" w:rsidRPr="00000000">
              <w:rPr>
                <w:rFonts w:ascii="Arial MT" w:cs="Arial MT" w:eastAsia="Arial MT" w:hAnsi="Arial MT"/>
                <w:sz w:val="20"/>
                <w:szCs w:val="20"/>
                <w:rtl w:val="0"/>
              </w:rPr>
              <w:t xml:space="preserve">INMA: maternal medical history of depression and anxiety were recorded by the interviewer-administered questionnaire during the first trimester of pregnancy.</w:t>
            </w:r>
          </w:p>
        </w:tc>
      </w:tr>
    </w:tbl>
    <w:p w:rsidR="00000000" w:rsidDel="00000000" w:rsidP="00000000" w:rsidRDefault="00000000" w:rsidRPr="00000000" w14:paraId="0000001B">
      <w:pPr>
        <w:widowControl w:val="0"/>
        <w:spacing w:before="42" w:line="256" w:lineRule="auto"/>
        <w:ind w:left="-141.73228346456688" w:right="121" w:firstLine="0"/>
        <w:jc w:val="both"/>
        <w:rPr>
          <w:rFonts w:ascii="Arial MT" w:cs="Arial MT" w:eastAsia="Arial MT" w:hAnsi="Arial MT"/>
          <w:color w:val="1b1c1d"/>
          <w:sz w:val="18"/>
          <w:szCs w:val="18"/>
        </w:rPr>
      </w:pPr>
      <w:r w:rsidDel="00000000" w:rsidR="00000000" w:rsidRPr="00000000">
        <w:rPr>
          <w:rFonts w:ascii="Arial MT" w:cs="Arial MT" w:eastAsia="Arial MT" w:hAnsi="Arial MT"/>
          <w:color w:val="1b1c1d"/>
          <w:sz w:val="18"/>
          <w:szCs w:val="18"/>
          <w:vertAlign w:val="superscript"/>
          <w:rtl w:val="0"/>
        </w:rPr>
        <w:t xml:space="preserve">a </w:t>
      </w:r>
      <w:r w:rsidDel="00000000" w:rsidR="00000000" w:rsidRPr="00000000">
        <w:rPr>
          <w:rFonts w:ascii="Arial MT" w:cs="Arial MT" w:eastAsia="Arial MT" w:hAnsi="Arial MT"/>
          <w:color w:val="1b1c1d"/>
          <w:sz w:val="18"/>
          <w:szCs w:val="18"/>
          <w:rtl w:val="0"/>
        </w:rPr>
        <w:t xml:space="preserve">A 10-item </w:t>
      </w:r>
      <w:r w:rsidDel="00000000" w:rsidR="00000000" w:rsidRPr="00000000">
        <w:rPr>
          <w:rFonts w:ascii="Arial MT" w:cs="Arial MT" w:eastAsia="Arial MT" w:hAnsi="Arial MT"/>
          <w:sz w:val="18"/>
          <w:szCs w:val="18"/>
          <w:rtl w:val="0"/>
        </w:rPr>
        <w:t xml:space="preserve">self-reported questionnaire providing an indication of the severity of mother’s mood during the past seven days. EPDS (validated during both the antenatal and the postnatal period) ≥13 indicating high levels of postnatal depressive symptoms.</w:t>
      </w:r>
      <w:r w:rsidDel="00000000" w:rsidR="00000000" w:rsidRPr="00000000">
        <w:rPr>
          <w:rFonts w:ascii="Arial MT" w:cs="Arial MT" w:eastAsia="Arial MT" w:hAnsi="Arial MT"/>
          <w:color w:val="1b1c1d"/>
          <w:sz w:val="18"/>
          <w:szCs w:val="18"/>
          <w:vertAlign w:val="superscript"/>
          <w:rtl w:val="0"/>
        </w:rPr>
        <w:t xml:space="preserve">b</w:t>
      </w:r>
      <w:r w:rsidDel="00000000" w:rsidR="00000000" w:rsidRPr="00000000">
        <w:rPr>
          <w:rFonts w:ascii="Arial MT" w:cs="Arial MT" w:eastAsia="Arial MT" w:hAnsi="Arial MT"/>
          <w:color w:val="1b1c1d"/>
          <w:sz w:val="18"/>
          <w:szCs w:val="18"/>
          <w:rtl w:val="0"/>
        </w:rPr>
        <w:t xml:space="preserve"> It includes 20-items to assess trait anxiety. Each item of the trait subscale is scored on a 4-point scale ranging from 1 (almost never) to 4 (almost always) (possible range 20-80)</w:t>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