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ind w:left="-566" w:firstLine="0"/>
        <w:jc w:val="both"/>
        <w:rPr>
          <w:i w:val="1"/>
          <w:sz w:val="20"/>
          <w:szCs w:val="20"/>
        </w:rPr>
      </w:pPr>
      <w:r w:rsidDel="00000000" w:rsidR="00000000" w:rsidRPr="00000000">
        <w:rPr>
          <w:b w:val="1"/>
          <w:i w:val="1"/>
          <w:sz w:val="20"/>
          <w:szCs w:val="20"/>
          <w:rtl w:val="0"/>
        </w:rPr>
        <w:t xml:space="preserve">Additional file 10.</w:t>
      </w:r>
      <w:r w:rsidDel="00000000" w:rsidR="00000000" w:rsidRPr="00000000">
        <w:rPr>
          <w:i w:val="1"/>
          <w:sz w:val="20"/>
          <w:szCs w:val="20"/>
          <w:rtl w:val="0"/>
        </w:rPr>
        <w:t xml:space="preserve"> </w:t>
      </w:r>
      <w:r w:rsidDel="00000000" w:rsidR="00000000" w:rsidRPr="00000000">
        <w:rPr>
          <w:sz w:val="18"/>
          <w:szCs w:val="18"/>
          <w:rtl w:val="0"/>
        </w:rPr>
        <w:t xml:space="preserve">Adjusted </w:t>
      </w:r>
      <w:r w:rsidDel="00000000" w:rsidR="00000000" w:rsidRPr="00000000">
        <w:rPr>
          <w:color w:val="1c1d1e"/>
          <w:sz w:val="21"/>
          <w:szCs w:val="21"/>
          <w:highlight w:val="white"/>
          <w:vertAlign w:val="superscript"/>
          <w:rtl w:val="0"/>
        </w:rPr>
        <w:t xml:space="preserve">a</w:t>
      </w:r>
      <w:r w:rsidDel="00000000" w:rsidR="00000000" w:rsidRPr="00000000">
        <w:rPr>
          <w:i w:val="1"/>
          <w:sz w:val="20"/>
          <w:szCs w:val="20"/>
          <w:rtl w:val="0"/>
        </w:rPr>
        <w:t xml:space="preserve"> Odds Ratio [(95%CI), p-value] between H. pylori antigen-specific seropositivity and multimorbidity outcomes (n=1372).</w:t>
      </w:r>
    </w:p>
    <w:p w:rsidR="00000000" w:rsidDel="00000000" w:rsidP="00000000" w:rsidRDefault="00000000" w:rsidRPr="00000000" w14:paraId="00000002">
      <w:pPr>
        <w:spacing w:line="240" w:lineRule="auto"/>
        <w:jc w:val="both"/>
        <w:rPr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700.0" w:type="dxa"/>
        <w:jc w:val="left"/>
        <w:tblInd w:w="-66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100"/>
        <w:gridCol w:w="585"/>
        <w:gridCol w:w="1650"/>
        <w:gridCol w:w="1725"/>
        <w:gridCol w:w="1725"/>
        <w:gridCol w:w="1725"/>
        <w:gridCol w:w="1785"/>
        <w:gridCol w:w="1830"/>
        <w:gridCol w:w="1575"/>
        <w:tblGridChange w:id="0">
          <w:tblGrid>
            <w:gridCol w:w="2100"/>
            <w:gridCol w:w="585"/>
            <w:gridCol w:w="1650"/>
            <w:gridCol w:w="1725"/>
            <w:gridCol w:w="1725"/>
            <w:gridCol w:w="1725"/>
            <w:gridCol w:w="1785"/>
            <w:gridCol w:w="1830"/>
            <w:gridCol w:w="1575"/>
          </w:tblGrid>
        </w:tblGridChange>
      </w:tblGrid>
      <w:tr>
        <w:trPr>
          <w:cantSplit w:val="0"/>
          <w:trHeight w:val="32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Cag A (n=406)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GroEL (n=437)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HpaA (n=234)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NapA (n=333)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OMP (n=139)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Urea A (n=188)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HcpC (n=211)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Merge w:val="restart"/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Gestational hypertension,</w:t>
            </w:r>
          </w:p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gestational diabetes, preterm birth and SGA</w:t>
            </w:r>
          </w:p>
        </w:tc>
        <w:tc>
          <w:tcPr>
            <w:tcBorders>
              <w:top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</w:tr>
      <w:tr>
        <w:trPr>
          <w:cantSplit w:val="0"/>
          <w:trHeight w:val="548" w:hRule="atLeast"/>
          <w:tblHeader w:val="0"/>
        </w:trPr>
        <w:tc>
          <w:tcPr>
            <w:vMerge w:val="continue"/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0.99 (1.35-1.46), 0.93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1.08 (0.80-1.46), </w:t>
            </w:r>
          </w:p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0,61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1.19 (0.83-1.73), 0.34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0.97 (0.70-1.33), </w:t>
            </w:r>
          </w:p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0.83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1.05 (0.68-1.65)</w:t>
            </w:r>
          </w:p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0.82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0.94 (0.63-1.40),</w:t>
            </w:r>
          </w:p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0.75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1.32 (0.92-1.91), 0.14</w:t>
            </w:r>
          </w:p>
        </w:tc>
      </w:tr>
      <w:tr>
        <w:trPr>
          <w:cantSplit w:val="0"/>
          <w:trHeight w:val="695" w:hRule="atLeast"/>
          <w:tblHeader w:val="0"/>
        </w:trPr>
        <w:tc>
          <w:tcPr>
            <w:vMerge w:val="continue"/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18"/>
                <w:szCs w:val="18"/>
                <w:rtl w:val="0"/>
              </w:rPr>
              <w:t xml:space="preserve">≥2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1.4(1.35-1.46), &lt;0,001*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1.05 (1.01-1.09),</w:t>
            </w:r>
          </w:p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&lt;0.01*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0.88 (0.85-0.90)</w:t>
            </w:r>
          </w:p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&lt;0.001*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1.43 (1.37-1.5)</w:t>
            </w:r>
          </w:p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&lt;0.001*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2.11 (1.96-2.29)</w:t>
            </w:r>
          </w:p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&lt;0.01*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1.18 (1.13-1.23),</w:t>
            </w:r>
          </w:p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&lt;0.001*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0.77 (0.76-0.79), &lt;0.001*</w:t>
            </w:r>
          </w:p>
        </w:tc>
      </w:tr>
      <w:tr>
        <w:trPr>
          <w:cantSplit w:val="0"/>
          <w:trHeight w:val="434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jc w:val="center"/>
              <w:rPr>
                <w:color w:val="1c1d1e"/>
                <w:sz w:val="21"/>
                <w:szCs w:val="21"/>
                <w:highlight w:val="white"/>
                <w:vertAlign w:val="superscript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Gestational hypertension, gestational diabetes, preterm birth, SGA and preeclampsia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</w:tr>
      <w:tr>
        <w:trPr>
          <w:cantSplit w:val="0"/>
          <w:trHeight w:val="434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1.14 (0.76-1.71), 0.53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1.19 (0.80-1.78), </w:t>
            </w:r>
          </w:p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0.38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1.27 (0.79-2.05),</w:t>
            </w:r>
          </w:p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0.31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1.11 (0.72-1.70), </w:t>
            </w:r>
          </w:p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0.64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0.91 (0.53-1.57),</w:t>
            </w:r>
          </w:p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0.73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0.95 (0.57-1.60),</w:t>
            </w:r>
          </w:p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0.86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1.24 (0.75-2.05), 0.41 </w:t>
            </w:r>
          </w:p>
        </w:tc>
      </w:tr>
      <w:tr>
        <w:trPr>
          <w:cantSplit w:val="0"/>
          <w:trHeight w:val="638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8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18"/>
                <w:szCs w:val="18"/>
                <w:rtl w:val="0"/>
              </w:rPr>
              <w:t xml:space="preserve">≥2</w:t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1.05 (0.55-1.99), 0.89</w:t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1.15 (0.61-2.17)</w:t>
            </w:r>
          </w:p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0.65</w:t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0.84 (0.73-0.97),</w:t>
            </w:r>
          </w:p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0.02*</w:t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1.34 (0.70-2.54),</w:t>
            </w:r>
          </w:p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0.38</w:t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2.12 (1.62-2.76),</w:t>
            </w:r>
          </w:p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&lt;0.001*</w:t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1.18 (0.98-1.41), 0.07</w:t>
            </w:r>
          </w:p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0.98 (0.87-1.09), 0.66</w:t>
            </w:r>
          </w:p>
        </w:tc>
      </w:tr>
    </w:tbl>
    <w:p w:rsidR="00000000" w:rsidDel="00000000" w:rsidP="00000000" w:rsidRDefault="00000000" w:rsidRPr="00000000" w14:paraId="00000056">
      <w:pPr>
        <w:spacing w:line="240" w:lineRule="auto"/>
        <w:ind w:left="-566" w:firstLine="0"/>
        <w:jc w:val="both"/>
        <w:rPr>
          <w:i w:val="1"/>
          <w:sz w:val="20"/>
          <w:szCs w:val="20"/>
        </w:rPr>
      </w:pPr>
      <w:r w:rsidDel="00000000" w:rsidR="00000000" w:rsidRPr="00000000">
        <w:rPr>
          <w:sz w:val="18"/>
          <w:szCs w:val="18"/>
          <w:rtl w:val="0"/>
        </w:rPr>
        <w:t xml:space="preserve">Adjusted</w:t>
      </w:r>
      <w:r w:rsidDel="00000000" w:rsidR="00000000" w:rsidRPr="00000000">
        <w:rPr>
          <w:color w:val="1c1d1e"/>
          <w:sz w:val="21"/>
          <w:szCs w:val="21"/>
          <w:highlight w:val="white"/>
          <w:vertAlign w:val="superscript"/>
          <w:rtl w:val="0"/>
        </w:rPr>
        <w:t xml:space="preserve"> a</w:t>
      </w:r>
      <w:r w:rsidDel="00000000" w:rsidR="00000000" w:rsidRPr="00000000">
        <w:rPr>
          <w:rFonts w:ascii="Arimo" w:cs="Arimo" w:eastAsia="Arimo" w:hAnsi="Arimo"/>
          <w:sz w:val="18"/>
          <w:szCs w:val="18"/>
          <w:rtl w:val="0"/>
        </w:rPr>
        <w:t xml:space="preserve"> by cohort, smoking during pregnancy, ethnicity, maternal age, pre-pregnancy body mass index and educational level. VacA was not used due to two low numbers.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line="240" w:lineRule="auto"/>
        <w:ind w:left="-566" w:firstLine="0"/>
        <w:jc w:val="both"/>
        <w:rPr>
          <w:rFonts w:ascii="Arimo" w:cs="Arimo" w:eastAsia="Arimo" w:hAnsi="Arimo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</w:r>
    </w:p>
    <w:sectPr>
      <w:pgSz w:h="11909" w:w="16834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Arial Unicode MS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