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Additional file 6</w:t>
      </w:r>
      <w:r w:rsidDel="00000000" w:rsidR="00000000" w:rsidRPr="00000000">
        <w:rPr>
          <w:b w:val="1"/>
          <w:i w:val="1"/>
          <w:rtl w:val="0"/>
        </w:rPr>
        <w:t xml:space="preserve">.</w:t>
      </w:r>
      <w:r w:rsidDel="00000000" w:rsidR="00000000" w:rsidRPr="00000000">
        <w:rPr>
          <w:i w:val="1"/>
          <w:sz w:val="20"/>
          <w:szCs w:val="20"/>
          <w:rtl w:val="0"/>
        </w:rPr>
        <w:t xml:space="preserve"> Overall H. pylori seropositivity and seropositivity rates for each antigen among all participants and by cohort.  </w:t>
      </w:r>
    </w:p>
    <w:tbl>
      <w:tblPr>
        <w:tblStyle w:val="Table1"/>
        <w:tblW w:w="9870.0" w:type="dxa"/>
        <w:jc w:val="left"/>
        <w:tblInd w:w="-2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50"/>
        <w:gridCol w:w="1395"/>
        <w:gridCol w:w="1425"/>
        <w:gridCol w:w="1425"/>
        <w:gridCol w:w="1425"/>
        <w:gridCol w:w="1425"/>
        <w:gridCol w:w="1425"/>
        <w:tblGridChange w:id="0">
          <w:tblGrid>
            <w:gridCol w:w="1350"/>
            <w:gridCol w:w="1395"/>
            <w:gridCol w:w="1425"/>
            <w:gridCol w:w="1425"/>
            <w:gridCol w:w="1425"/>
            <w:gridCol w:w="1425"/>
            <w:gridCol w:w="1425"/>
          </w:tblGrid>
        </w:tblGridChange>
      </w:tblGrid>
      <w:tr>
        <w:trPr>
          <w:cantSplit w:val="0"/>
          <w:trHeight w:val="237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Total (n=1372)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BiB (n= 571)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Rhea (n=322)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INMA (n=479)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p-value</w:t>
            </w:r>
          </w:p>
        </w:tc>
      </w:tr>
      <w:tr>
        <w:trPr>
          <w:cantSplit w:val="0"/>
          <w:trHeight w:val="373" w:hRule="atLeast"/>
          <w:tblHeader w:val="1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H. pylori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seroprevalence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all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258 (18.8)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96 (16.6)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54 (16.8)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109 (22.8)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0.021</w:t>
            </w:r>
          </w:p>
        </w:tc>
      </w:tr>
      <w:tr>
        <w:trPr>
          <w:cantSplit w:val="0"/>
          <w:trHeight w:val="315" w:hRule="atLeast"/>
          <w:tblHeader w:val="1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CagA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all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406 (29.6)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187 (32.8)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81 (25.2)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138 (28.8)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</w:t>
            </w:r>
          </w:p>
        </w:tc>
      </w:tr>
      <w:tr>
        <w:trPr>
          <w:cantSplit w:val="0"/>
          <w:trHeight w:val="315" w:hRule="atLeast"/>
          <w:tblHeader w:val="1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seropositive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193 (74.8)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78 (82.1)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40 (74.1)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75 (68.8)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GroEL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all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437 (31.9)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161 (28.2)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 (31.1)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176 (36.7)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seropositive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211 (81.8)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76 (80.0)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45 (83.3)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90 (82.6)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HpaA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all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234 (17.1)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102 (17.9)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39 (12.1)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93 (19.4)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seropositive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140 (54.3)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58 (61.1)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29 (53.7)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53 (48.6)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NapA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all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333 (24.3)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123 (21.5)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72 (22.4)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138 (28.8)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seropositive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172 (66.7)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66 (69.5)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35 (64.8)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71 (65.1)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OMP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all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139 (10.1)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47 (8.2)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35 (10.9)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57 (11.9)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seropositive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118 (45.7)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38 (40.0)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30 (55.6)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50 (45.9)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Urea 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all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188 (13.7)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79 (13.8)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35 (10.8)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74 (15.5)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seropositive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131 (51.2)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50 (52.6)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 (46.3)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56 (51.4)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all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(0.2)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(0.2)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(0.2)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seropositive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(0.4)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(0.2)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HcpC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all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211 (15.4)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64 (11.2)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44 (13.7)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103 (21.5)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n(%) among seropositive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132 (51.2)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35 (36.8)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 (44.4)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73 (67.0)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</w:t>
            </w:r>
          </w:p>
        </w:tc>
      </w:tr>
    </w:tbl>
    <w:p w:rsidR="00000000" w:rsidDel="00000000" w:rsidP="00000000" w:rsidRDefault="00000000" w:rsidRPr="00000000" w14:paraId="00000080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