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903AC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1. Boxplots of mRNA and miRNA expressions before and after standardization for 2 selected GEO Database</w:t>
      </w:r>
    </w:p>
    <w:p w14:paraId="0B3EB71A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Before standardization (Training set-mRNA expression profiling). </w:t>
      </w:r>
      <w:r>
        <w:rPr>
          <w:rFonts w:ascii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After standardization (Training set-mRNA expression profiling). </w:t>
      </w:r>
      <w:r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Before standardization (Training set-miRNA expression profiling). </w:t>
      </w:r>
      <w:r>
        <w:rPr>
          <w:rFonts w:ascii="Times New Roman" w:hAnsi="Times New Roman" w:cs="Times New Roman"/>
          <w:b/>
          <w:bCs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After standardization (Training set-miRNA expression profiling).</w:t>
      </w:r>
    </w:p>
    <w:p w14:paraId="00031D37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84865F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2. The sample dendrogram and feature heat map</w:t>
      </w:r>
    </w:p>
    <w:p w14:paraId="0123B79E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sample dendrogram and feature heat map in the training sets of </w:t>
      </w:r>
      <w:proofErr w:type="gramStart"/>
      <w:r>
        <w:rPr>
          <w:rFonts w:ascii="Times New Roman" w:hAnsi="Times New Roman" w:cs="Times New Roman"/>
          <w:sz w:val="24"/>
          <w:szCs w:val="24"/>
        </w:rPr>
        <w:t>mRNA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and miRNA </w:t>
      </w:r>
      <w:r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expression profiles, which were drawn based on the Euclidean distance using the average clustering method for hierarchical clustering of samples, with each branch representing a sample, Height in the vertical coordinate being the clustering distance, and the horizontal coordinate being the sample grouping information.</w:t>
      </w:r>
    </w:p>
    <w:p w14:paraId="5247E62D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63044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3. Sample clustering tree and module clustering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tree</w:t>
      </w:r>
      <w:proofErr w:type="gramEnd"/>
    </w:p>
    <w:p w14:paraId="24867B38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Sample clustering tree and module clustering tree based on mRNA </w:t>
      </w:r>
      <w:r>
        <w:rPr>
          <w:rFonts w:ascii="Times New Roman" w:hAnsi="Times New Roman" w:cs="Times New Roman"/>
          <w:b/>
          <w:bCs/>
          <w:sz w:val="24"/>
          <w:szCs w:val="24"/>
        </w:rPr>
        <w:t>(A and B)</w:t>
      </w:r>
      <w:r>
        <w:rPr>
          <w:rFonts w:ascii="Times New Roman" w:hAnsi="Times New Roman" w:cs="Times New Roman"/>
          <w:sz w:val="24"/>
          <w:szCs w:val="24"/>
        </w:rPr>
        <w:t xml:space="preserve"> and miRNA </w:t>
      </w:r>
      <w:r>
        <w:rPr>
          <w:rFonts w:ascii="Times New Roman" w:hAnsi="Times New Roman" w:cs="Times New Roman"/>
          <w:b/>
          <w:bCs/>
          <w:sz w:val="24"/>
          <w:szCs w:val="24"/>
        </w:rPr>
        <w:t>(C and D)</w:t>
      </w:r>
      <w:r>
        <w:rPr>
          <w:rFonts w:ascii="Times New Roman" w:hAnsi="Times New Roman" w:cs="Times New Roman"/>
          <w:sz w:val="24"/>
          <w:szCs w:val="24"/>
        </w:rPr>
        <w:t xml:space="preserve"> expression profiles from the training set.</w:t>
      </w:r>
    </w:p>
    <w:p w14:paraId="5631D701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121C07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4. Expression patterns of DE-miRNAs and metabolism-associated DE-mRNAs</w:t>
      </w:r>
    </w:p>
    <w:p w14:paraId="3ECA0A24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Heatmap of DE-miRNAs in the CRC versus normal groups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), the CRC liver metastasis versus CRC groups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), and the CRC liver metastasis group versus the normal group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). Heatmap of metabolism-associated DE-mRNAs in the CRC versus normal groups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), the CRC liver metastasis versus CRC groups 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), and the CRC liver metastasis group versus the normal group </w:t>
      </w: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7F3D97F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BD5D9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5. Co-expression mRNA-miRNA network.</w:t>
      </w:r>
    </w:p>
    <w:p w14:paraId="4277B136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CRC-related mRNA-miRNA regulatory network consisting of 3 core mRNAs and 4 crucial miRNAs. The circular nodes represent the mRNAs, square nodes represent miRNAs.</w:t>
      </w:r>
    </w:p>
    <w:p w14:paraId="04D6341F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A3206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6. Stratified expression analysis of core mRNAs in different clinical characteristics of CRC patients</w:t>
      </w:r>
    </w:p>
    <w:p w14:paraId="3E7DE2D3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Box line plots of core mRNA expression in different clinical presentations encompassing age </w:t>
      </w:r>
      <w:r>
        <w:rPr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, gender </w:t>
      </w:r>
      <w:r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, stage </w:t>
      </w:r>
      <w:r>
        <w:rPr>
          <w:rFonts w:ascii="Times New Roman" w:hAnsi="Times New Roman" w:cs="Times New Roman"/>
          <w:b/>
          <w:bCs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 xml:space="preserve">, T </w:t>
      </w:r>
      <w:r>
        <w:rPr>
          <w:rFonts w:ascii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 xml:space="preserve">, N </w:t>
      </w:r>
      <w:r>
        <w:rPr>
          <w:rFonts w:ascii="Times New Roman" w:hAnsi="Times New Roman" w:cs="Times New Roman"/>
          <w:b/>
          <w:bCs/>
          <w:sz w:val="24"/>
          <w:szCs w:val="24"/>
        </w:rPr>
        <w:t>(E)</w:t>
      </w:r>
      <w:r>
        <w:rPr>
          <w:rFonts w:ascii="Times New Roman" w:hAnsi="Times New Roman" w:cs="Times New Roman"/>
          <w:sz w:val="24"/>
          <w:szCs w:val="24"/>
        </w:rPr>
        <w:t xml:space="preserve">, and M </w:t>
      </w:r>
      <w:r>
        <w:rPr>
          <w:rFonts w:ascii="Times New Roman" w:hAnsi="Times New Roman" w:cs="Times New Roman"/>
          <w:b/>
          <w:bCs/>
          <w:sz w:val="24"/>
          <w:szCs w:val="24"/>
        </w:rPr>
        <w:t>(F)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739FE6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CA464C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1.</w:t>
      </w:r>
      <w:r>
        <w:rPr>
          <w:rFonts w:ascii="Times New Roman" w:hAnsi="Times New Roman" w:cs="Times New Roman"/>
          <w:sz w:val="24"/>
          <w:szCs w:val="24"/>
        </w:rPr>
        <w:t xml:space="preserve"> Survival Data, Clinical Characteristics, and Core mRNA Expression Matrix of 584 CRC Patients in the UCSC Xena Database</w:t>
      </w:r>
    </w:p>
    <w:p w14:paraId="4EF7A24E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2. </w:t>
      </w:r>
      <w:r>
        <w:rPr>
          <w:rFonts w:ascii="Times New Roman" w:hAnsi="Times New Roman" w:cs="Times New Roman"/>
          <w:sz w:val="24"/>
          <w:szCs w:val="24"/>
        </w:rPr>
        <w:t>1,034 CRC liver metastasis-associated module mRNAs</w:t>
      </w:r>
    </w:p>
    <w:p w14:paraId="0D1A7C3B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1C9A81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3. </w:t>
      </w:r>
      <w:r>
        <w:rPr>
          <w:rFonts w:ascii="Times New Roman" w:hAnsi="Times New Roman" w:cs="Times New Roman"/>
          <w:sz w:val="24"/>
          <w:szCs w:val="24"/>
        </w:rPr>
        <w:t>85 CRC liver metastasis-related module miRNAs</w:t>
      </w:r>
    </w:p>
    <w:p w14:paraId="0060341D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BBE992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4.</w:t>
      </w:r>
      <w:r>
        <w:rPr>
          <w:rFonts w:ascii="Times New Roman" w:hAnsi="Times New Roman" w:cs="Times New Roman"/>
          <w:sz w:val="24"/>
          <w:szCs w:val="24"/>
        </w:rPr>
        <w:t xml:space="preserve"> 121 DE-miRNAs between the CRC and normal groups</w:t>
      </w:r>
    </w:p>
    <w:p w14:paraId="14FC3FE3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C2BB202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5. </w:t>
      </w:r>
      <w:r>
        <w:rPr>
          <w:rFonts w:ascii="Times New Roman" w:hAnsi="Times New Roman" w:cs="Times New Roman"/>
          <w:sz w:val="24"/>
          <w:szCs w:val="24"/>
        </w:rPr>
        <w:t>50 DE-miRNAs between the CRC liver metastasis group and the CRC group</w:t>
      </w:r>
    </w:p>
    <w:p w14:paraId="2358AF69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C4E2594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6. </w:t>
      </w:r>
      <w:r>
        <w:rPr>
          <w:rFonts w:ascii="Times New Roman" w:hAnsi="Times New Roman" w:cs="Times New Roman"/>
          <w:sz w:val="24"/>
          <w:szCs w:val="24"/>
        </w:rPr>
        <w:t xml:space="preserve">150 DE-miRNAs between the CRC liver metastasis group and the </w:t>
      </w:r>
      <w:r>
        <w:rPr>
          <w:rFonts w:ascii="Times New Roman" w:hAnsi="Times New Roman" w:cs="Times New Roman"/>
          <w:sz w:val="24"/>
          <w:szCs w:val="24"/>
        </w:rPr>
        <w:lastRenderedPageBreak/>
        <w:t>normal group</w:t>
      </w:r>
    </w:p>
    <w:p w14:paraId="7D04531A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9F4F4B6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7. </w:t>
      </w:r>
      <w:r>
        <w:rPr>
          <w:rFonts w:ascii="Times New Roman" w:hAnsi="Times New Roman" w:cs="Times New Roman"/>
          <w:sz w:val="24"/>
          <w:szCs w:val="24"/>
        </w:rPr>
        <w:t>List of 1401 metabolism-associated mRNAs</w:t>
      </w:r>
    </w:p>
    <w:p w14:paraId="355CA756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E8C5114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8. </w:t>
      </w:r>
      <w:r>
        <w:rPr>
          <w:rFonts w:ascii="Times New Roman" w:hAnsi="Times New Roman" w:cs="Times New Roman"/>
          <w:sz w:val="24"/>
          <w:szCs w:val="24"/>
        </w:rPr>
        <w:t>256 DE-mRNAs between CRC group and normal group</w:t>
      </w:r>
    </w:p>
    <w:p w14:paraId="280F4701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23C9ED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9. </w:t>
      </w:r>
      <w:r>
        <w:rPr>
          <w:rFonts w:ascii="Times New Roman" w:hAnsi="Times New Roman" w:cs="Times New Roman"/>
          <w:sz w:val="24"/>
          <w:szCs w:val="24"/>
        </w:rPr>
        <w:t>79 DE-mRNAs between CRC liver metastasis group and CRC group</w:t>
      </w:r>
    </w:p>
    <w:p w14:paraId="11067DC4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1374A3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10. </w:t>
      </w:r>
      <w:r>
        <w:rPr>
          <w:rFonts w:ascii="Times New Roman" w:hAnsi="Times New Roman" w:cs="Times New Roman"/>
          <w:sz w:val="24"/>
          <w:szCs w:val="24"/>
        </w:rPr>
        <w:t>319 DE-mRNAs between CRC liver metastasis group and normal group</w:t>
      </w:r>
    </w:p>
    <w:p w14:paraId="226E600B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11. </w:t>
      </w:r>
      <w:r>
        <w:rPr>
          <w:rFonts w:ascii="Times New Roman" w:hAnsi="Times New Roman" w:cs="Times New Roman"/>
          <w:sz w:val="24"/>
          <w:szCs w:val="24"/>
        </w:rPr>
        <w:t>369 metabolism-related DE-mRNAs</w:t>
      </w:r>
    </w:p>
    <w:p w14:paraId="7F673CC4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9322F0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12. </w:t>
      </w:r>
      <w:r>
        <w:rPr>
          <w:rFonts w:ascii="Times New Roman" w:hAnsi="Times New Roman" w:cs="Times New Roman"/>
          <w:sz w:val="24"/>
          <w:szCs w:val="24"/>
        </w:rPr>
        <w:t>72 metabolism-related DE-mRNAs with consistent up- or down-regulated expression trends in CRC development and progression</w:t>
      </w:r>
    </w:p>
    <w:p w14:paraId="45B03537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3F66BA1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13. </w:t>
      </w:r>
      <w:r>
        <w:rPr>
          <w:rFonts w:ascii="Times New Roman" w:hAnsi="Times New Roman" w:cs="Times New Roman"/>
          <w:sz w:val="24"/>
          <w:szCs w:val="24"/>
        </w:rPr>
        <w:t>12 mRNAs common to CRC liver metastasis-related module mRNAs and metabolism-related DE-mRNAs</w:t>
      </w:r>
    </w:p>
    <w:p w14:paraId="6F8BC17F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F8B2650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14. </w:t>
      </w:r>
      <w:r>
        <w:rPr>
          <w:rFonts w:ascii="Times New Roman" w:hAnsi="Times New Roman" w:cs="Times New Roman"/>
          <w:sz w:val="24"/>
          <w:szCs w:val="24"/>
        </w:rPr>
        <w:t>GO analysis of 12 crucial mRNAs</w:t>
      </w:r>
    </w:p>
    <w:p w14:paraId="7849AA98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D2279C3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15. </w:t>
      </w:r>
      <w:r>
        <w:rPr>
          <w:rFonts w:ascii="Times New Roman" w:hAnsi="Times New Roman" w:cs="Times New Roman"/>
          <w:sz w:val="24"/>
          <w:szCs w:val="24"/>
        </w:rPr>
        <w:t>KEGG analysis of 12 crucial mRNAs</w:t>
      </w:r>
    </w:p>
    <w:p w14:paraId="6EA60115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1847B43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16. </w:t>
      </w:r>
      <w:r>
        <w:rPr>
          <w:rFonts w:ascii="Times New Roman" w:hAnsi="Times New Roman" w:cs="Times New Roman"/>
          <w:sz w:val="24"/>
          <w:szCs w:val="24"/>
        </w:rPr>
        <w:t>GO analysis of 4 crucial miRNAs</w:t>
      </w:r>
    </w:p>
    <w:p w14:paraId="0279A444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F9F7FFA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17. </w:t>
      </w:r>
      <w:r>
        <w:rPr>
          <w:rFonts w:ascii="Times New Roman" w:hAnsi="Times New Roman" w:cs="Times New Roman"/>
          <w:sz w:val="24"/>
          <w:szCs w:val="24"/>
        </w:rPr>
        <w:t>KEGG analysis of 4 crucial miRNAs</w:t>
      </w:r>
    </w:p>
    <w:p w14:paraId="74FD40EF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B0FAA0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18. </w:t>
      </w:r>
      <w:r>
        <w:rPr>
          <w:rFonts w:ascii="Times New Roman" w:hAnsi="Times New Roman" w:cs="Times New Roman"/>
          <w:sz w:val="24"/>
          <w:szCs w:val="24"/>
        </w:rPr>
        <w:t>Functional enrichment analysis of 6 core mRNAs</w:t>
      </w:r>
    </w:p>
    <w:p w14:paraId="4A8B91E2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68690F" w14:textId="77777777" w:rsidR="000E74AC" w:rsidRDefault="000E74AC" w:rsidP="000E7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19. </w:t>
      </w:r>
      <w:r>
        <w:rPr>
          <w:rFonts w:ascii="Times New Roman" w:hAnsi="Times New Roman" w:cs="Times New Roman"/>
          <w:sz w:val="24"/>
          <w:szCs w:val="24"/>
        </w:rPr>
        <w:t>CAV1 and miRNA-1290 expression levels in relation to clinical and pathological parameters</w:t>
      </w:r>
    </w:p>
    <w:p w14:paraId="51795DB9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4AC"/>
    <w:rsid w:val="000E74AC"/>
    <w:rsid w:val="001A6481"/>
    <w:rsid w:val="005374DE"/>
    <w:rsid w:val="00871FE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3A753"/>
  <w15:chartTrackingRefBased/>
  <w15:docId w15:val="{FC483D6B-5A31-433E-AF8E-90CFE9B3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4AC"/>
    <w:pPr>
      <w:widowControl w:val="0"/>
      <w:spacing w:after="0" w:line="240" w:lineRule="auto"/>
      <w:jc w:val="both"/>
    </w:pPr>
    <w:rPr>
      <w:rFonts w:eastAsiaTheme="minorEastAsia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4AC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4AC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4AC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4AC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4AC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4AC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4AC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4AC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4AC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4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4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4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4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4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4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4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4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4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4AC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E7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4AC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E7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4AC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E74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4AC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0E74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4A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4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4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0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542</Words>
  <Characters>3094</Characters>
  <Application>Microsoft Office Word</Application>
  <DocSecurity>0</DocSecurity>
  <Lines>25</Lines>
  <Paragraphs>7</Paragraphs>
  <ScaleCrop>false</ScaleCrop>
  <Company>Springer Nature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2024-06-27T13:58:00Z</dcterms:created>
  <dcterms:modified xsi:type="dcterms:W3CDTF">2024-06-27T13:59:00Z</dcterms:modified>
</cp:coreProperties>
</file>