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DINNextLTPro-Medium" w:cs="Times New Roman"/>
          <w:color w:val="231F20"/>
          <w:sz w:val="16"/>
          <w:szCs w:val="16"/>
          <w:lang w:eastAsia="zh-CN" w:bidi="ar"/>
        </w:rPr>
      </w:pPr>
      <w:r>
        <w:rPr>
          <w:rFonts w:hint="eastAsia" w:eastAsia="宋体"/>
          <w:lang w:eastAsia="zh-CN"/>
        </w:rPr>
        <w:t xml:space="preserve">   </w:t>
      </w:r>
      <w:r>
        <w:rPr>
          <w:rFonts w:hint="eastAsia" w:ascii="Times New Roman" w:hAnsi="Times New Roman" w:cs="Times New Roman"/>
          <w:b/>
          <w:i/>
          <w:iCs/>
          <w:sz w:val="32"/>
          <w:szCs w:val="32"/>
        </w:rPr>
        <w:t>Brevibacterium litoralis sp. nov., isolated from marine surface sediment.</w:t>
      </w:r>
    </w:p>
    <w:p>
      <w:pPr>
        <w:rPr>
          <w:rFonts w:ascii="Times New Roman" w:hAnsi="Times New Roman" w:eastAsia="DINNextLTPro-Medium" w:cs="Times New Roman"/>
          <w:color w:val="231F20"/>
          <w:sz w:val="16"/>
          <w:szCs w:val="16"/>
          <w:lang w:eastAsia="zh-CN" w:bidi="ar"/>
        </w:rPr>
      </w:pPr>
      <w:r>
        <w:rPr>
          <w:rFonts w:ascii="Times New Roman" w:hAnsi="Times New Roman" w:eastAsia="DINNextLTPro-Medium" w:cs="Times New Roman"/>
          <w:color w:val="231F20"/>
          <w:sz w:val="16"/>
          <w:szCs w:val="16"/>
          <w:lang w:eastAsia="zh-CN" w:bidi="ar"/>
        </w:rPr>
        <w:drawing>
          <wp:inline distT="0" distB="0" distL="114300" distR="114300">
            <wp:extent cx="4738370" cy="3324860"/>
            <wp:effectExtent l="0" t="0" r="0" b="0"/>
            <wp:docPr id="1" name="图片 1" descr="ML-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L-0410"/>
                    <pic:cNvPicPr>
                      <a:picLocks noChangeAspect="1"/>
                    </pic:cNvPicPr>
                  </pic:nvPicPr>
                  <pic:blipFill>
                    <a:blip r:embed="rId4"/>
                    <a:srcRect r="10086"/>
                    <a:stretch>
                      <a:fillRect/>
                    </a:stretch>
                  </pic:blipFill>
                  <pic:spPr>
                    <a:xfrm>
                      <a:off x="0" y="0"/>
                      <a:ext cx="4738370" cy="332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1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>The maximum-likelihood tree based on the 16S rRNA gene sequences showing the phylogenetic relationship of GX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Q1321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with related taxa. The sequence of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Conexibacter</w:t>
      </w:r>
      <w:r>
        <w:rPr>
          <w:rFonts w:ascii="Times New Roman" w:hAnsi="Times New Roman" w:eastAsia="DINNextLTPro-Medium" w:cs="Times New Roman"/>
          <w:i/>
          <w:iCs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arvalis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KV-962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(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AB597950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>) was used as an outgroup. Bootstrap support values were calculated from 1000 replicates.</w:t>
      </w:r>
    </w:p>
    <w:p>
      <w:pPr>
        <w:spacing w:line="480" w:lineRule="auto"/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</w:pPr>
    </w:p>
    <w:p>
      <w:pPr>
        <w:rPr>
          <w:rFonts w:ascii="Arial" w:hAnsi="Arial" w:eastAsia="宋体" w:cs="Arial"/>
          <w:color w:val="333333"/>
          <w:sz w:val="18"/>
          <w:szCs w:val="18"/>
          <w:shd w:val="clear" w:color="auto" w:fill="FFFFFF"/>
          <w:lang w:eastAsia="zh-CN"/>
        </w:rPr>
      </w:pPr>
      <w:r>
        <w:rPr>
          <w:rFonts w:ascii="Arial" w:hAnsi="Arial" w:eastAsia="宋体" w:cs="Arial"/>
          <w:color w:val="333333"/>
          <w:sz w:val="18"/>
          <w:szCs w:val="18"/>
          <w:shd w:val="clear" w:color="auto" w:fill="FFFFFF"/>
          <w:lang w:eastAsia="zh-CN"/>
        </w:rPr>
        <w:drawing>
          <wp:inline distT="0" distB="0" distL="114300" distR="114300">
            <wp:extent cx="5266055" cy="3767455"/>
            <wp:effectExtent l="0" t="0" r="4445" b="4445"/>
            <wp:docPr id="2" name="图片 2" descr="MP-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P-0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S2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>The maximum-parsimony tree based on the 16S rRNA gene sequences showing the phylogenetic relationship of GX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Q1321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with related taxa. The sequence of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Conexibacter</w:t>
      </w:r>
      <w:r>
        <w:rPr>
          <w:rFonts w:ascii="Times New Roman" w:hAnsi="Times New Roman" w:eastAsia="DINNextLTPro-Medium" w:cs="Times New Roman"/>
          <w:i/>
          <w:iCs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arvalis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KV-962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(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AB597950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) was used as an outgroup. Bootstrap support values were calculated from 1000 replicates. </w:t>
      </w: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_Hlk152565858"/>
      <w:bookmarkStart w:id="1" w:name="_Hlk153231600"/>
      <w:r>
        <w:rPr>
          <w:rFonts w:ascii="Times New Roman" w:hAnsi="Times New Roman" w:cs="Times New Roman"/>
          <w:b/>
          <w:bCs/>
          <w:szCs w:val="21"/>
        </w:rPr>
        <w:t>Table S1</w:t>
      </w:r>
      <w:bookmarkEnd w:id="0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Subsystem characterisation counts for GX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and related members of the genus </w:t>
      </w:r>
      <w:r>
        <w:rPr>
          <w:rFonts w:hint="eastAsia" w:ascii="Times New Roman" w:hAnsi="Times New Roman" w:eastAsia="宋体" w:cs="Times New Roman"/>
          <w:i/>
          <w:iCs/>
          <w:szCs w:val="21"/>
          <w:lang w:val="en-US" w:eastAsia="zh-CN"/>
        </w:rPr>
        <w:t>Brevibacterium</w:t>
      </w:r>
      <w:r>
        <w:rPr>
          <w:rFonts w:ascii="Times New Roman" w:hAnsi="Times New Roman" w:cs="Times New Roman"/>
          <w:sz w:val="21"/>
          <w:szCs w:val="21"/>
        </w:rPr>
        <w:t>.</w:t>
      </w:r>
    </w:p>
    <w:bookmarkEnd w:id="1"/>
    <w:tbl>
      <w:tblPr>
        <w:tblStyle w:val="3"/>
        <w:tblW w:w="8519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2"/>
        <w:gridCol w:w="1971"/>
        <w:gridCol w:w="2148"/>
        <w:gridCol w:w="214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  <w:vAlign w:val="center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</w:pPr>
            <w:bookmarkStart w:id="2" w:name="_Hlk152545711"/>
            <w:r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  <w:t>Subsystem feature counts</w:t>
            </w:r>
            <w:bookmarkEnd w:id="2"/>
          </w:p>
        </w:tc>
        <w:tc>
          <w:tcPr>
            <w:tcW w:w="1971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</w:pPr>
            <w:bookmarkStart w:id="6" w:name="_GoBack"/>
            <w:bookmarkEnd w:id="6"/>
            <w:r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1"/>
                <w:lang w:val="en-US" w:eastAsia="zh-CN"/>
              </w:rPr>
              <w:t>Q1321</w:t>
            </w:r>
            <w:r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vertAlign w:val="superscript"/>
                <w:lang w:eastAsia="en-US"/>
              </w:rPr>
              <w:t>T</w:t>
            </w:r>
          </w:p>
        </w:tc>
        <w:tc>
          <w:tcPr>
            <w:tcW w:w="214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 xml:space="preserve">B. samyangense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szCs w:val="21"/>
                <w:lang w:val="en-US" w:eastAsia="zh-CN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szCs w:val="21"/>
                <w:vertAlign w:val="superscript"/>
                <w:lang w:val="en-US" w:eastAsia="zh-CN"/>
              </w:rPr>
              <w:t>T</w:t>
            </w:r>
          </w:p>
        </w:tc>
        <w:tc>
          <w:tcPr>
            <w:tcW w:w="214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>B.</w:t>
            </w:r>
            <w:r>
              <w:rPr>
                <w:rFonts w:ascii="Times New Roman" w:hAnsi="Times New Roman" w:eastAsia="Calibri" w:cs="Times New Roman"/>
                <w:i/>
                <w:iCs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rongguiense</w:t>
            </w:r>
            <w:r>
              <w:rPr>
                <w:rFonts w:ascii="Times New Roman" w:hAnsi="Times New Roman" w:eastAsia="Calibri" w:cs="Times New Roman"/>
                <w:b/>
                <w:color w:val="000000"/>
                <w:kern w:val="0"/>
                <w:sz w:val="22"/>
                <w:szCs w:val="21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1"/>
                <w:lang w:val="en-US" w:eastAsia="zh-CN"/>
              </w:rPr>
              <w:t>5221</w:t>
            </w:r>
            <w:r>
              <w:rPr>
                <w:rFonts w:ascii="Times New Roman" w:hAnsi="Times New Roman" w:eastAsia="Calibri" w:cs="Times New Roman"/>
                <w:b/>
                <w:kern w:val="0"/>
                <w:sz w:val="22"/>
                <w:szCs w:val="21"/>
                <w:vertAlign w:val="superscript"/>
                <w:lang w:eastAsia="en-US"/>
              </w:rPr>
              <w:t>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  <w:vAlign w:val="center"/>
          </w:tcPr>
          <w:p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Stress Response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Respiration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Dormancy and Sporulation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Miscellaneous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Protein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iCs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Cell Division and Cell Cycle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Fatty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Acids, Lipids, and Isoprenoids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highlight w:val="yellow"/>
                <w:lang w:eastAsia="en-US"/>
              </w:rPr>
            </w:pPr>
            <w:r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Membrane Transport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Secondary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Motility and Chemotaxis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RNA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Iron acquisition and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Nitrogen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Nucleosides and Nucleotides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  <w:vAlign w:val="center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Metabolism of Aromatic Compounds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Carbohydrates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Cofactors, Vitamins, Prosthetic Groups, Pigments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Photosynthesis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Virulence, Disease and Defense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Phosphorus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DNA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Phages, Prophages,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Transposable elements, Plasmids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Potassium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Amino Acids and Derivatives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209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207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Sulfur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Cell Wall and Capsule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iCs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Regulation and Cell signaling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</w:tr>
    </w:tbl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spacing w:line="480" w:lineRule="auto"/>
        <w:rPr>
          <w:rFonts w:ascii="Times New Roman" w:hAnsi="Times New Roman" w:cs="Times New Roman"/>
          <w:szCs w:val="21"/>
        </w:rPr>
      </w:pPr>
      <w:bookmarkStart w:id="3" w:name="_Hlk153232548"/>
      <w:r>
        <w:rPr>
          <w:rFonts w:ascii="Times New Roman" w:hAnsi="Times New Roman" w:cs="Times New Roman"/>
          <w:b/>
          <w:bCs/>
          <w:szCs w:val="21"/>
        </w:rPr>
        <w:t>Table S2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antiSMASH of GX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and related members of the genus </w:t>
      </w:r>
      <w:r>
        <w:rPr>
          <w:rFonts w:hint="eastAsia" w:ascii="Times New Roman" w:hAnsi="Times New Roman" w:eastAsia="宋体" w:cs="Times New Roman"/>
          <w:i/>
          <w:iCs/>
          <w:szCs w:val="21"/>
          <w:lang w:val="en-US" w:eastAsia="zh-CN"/>
        </w:rPr>
        <w:t>Brevibacterium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3"/>
        <w:tblW w:w="84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3"/>
        <w:gridCol w:w="1716"/>
        <w:gridCol w:w="1716"/>
        <w:gridCol w:w="1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317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</w:pPr>
            <w:bookmarkStart w:id="4" w:name="_Hlk153231620"/>
            <w:bookmarkStart w:id="5" w:name="_Hlk152564916"/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  <w:t>antiSMASH</w:t>
            </w:r>
            <w:bookmarkEnd w:id="4"/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  <w:t xml:space="preserve"> v.6.0.1</w:t>
            </w:r>
          </w:p>
        </w:tc>
        <w:tc>
          <w:tcPr>
            <w:tcW w:w="171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231F20"/>
                <w:kern w:val="0"/>
                <w:sz w:val="21"/>
                <w:szCs w:val="21"/>
                <w:lang w:val="en-US" w:eastAsia="zh-CN" w:bidi="ar"/>
              </w:rPr>
              <w:t>Q1321</w:t>
            </w:r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vertAlign w:val="superscript"/>
                <w:lang w:bidi="ar"/>
              </w:rPr>
              <w:t>T</w:t>
            </w:r>
          </w:p>
        </w:tc>
        <w:tc>
          <w:tcPr>
            <w:tcW w:w="171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 xml:space="preserve">B. samyangense 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18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DINNextLTPro-Medium" w:cs="Times New Roman"/>
                <w:b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>B.</w:t>
            </w:r>
            <w:r>
              <w:rPr>
                <w:rFonts w:ascii="Times New Roman" w:hAnsi="Times New Roman" w:eastAsia="Calibri" w:cs="Times New Roman"/>
                <w:i/>
                <w:iCs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 xml:space="preserve">rongguiense 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  <w:t>5221</w:t>
            </w:r>
            <w:r>
              <w:rPr>
                <w:rFonts w:ascii="Times New Roman" w:hAnsi="Times New Roman" w:eastAsia="DINNextLTPro-Medium" w:cs="Times New Roman"/>
                <w:b/>
                <w:color w:val="231F20"/>
                <w:kern w:val="0"/>
                <w:sz w:val="21"/>
                <w:szCs w:val="21"/>
                <w:vertAlign w:val="superscript"/>
                <w:lang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173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Cs/>
                <w:color w:val="231F20"/>
                <w:kern w:val="0"/>
                <w:sz w:val="21"/>
                <w:szCs w:val="21"/>
                <w:lang w:val="en-US" w:eastAsia="zh-CN" w:bidi="ar"/>
              </w:rPr>
              <w:t>Terpene</w:t>
            </w:r>
          </w:p>
        </w:tc>
        <w:tc>
          <w:tcPr>
            <w:tcW w:w="1716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  <w:t>+</w:t>
            </w:r>
          </w:p>
        </w:tc>
        <w:tc>
          <w:tcPr>
            <w:tcW w:w="1716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  <w:tc>
          <w:tcPr>
            <w:tcW w:w="1828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3173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Cs/>
                <w:color w:val="231F20"/>
                <w:kern w:val="0"/>
                <w:sz w:val="21"/>
                <w:szCs w:val="21"/>
                <w:lang w:val="en-US" w:eastAsia="zh-CN" w:bidi="ar"/>
              </w:rPr>
              <w:t>NAPPA</w:t>
            </w:r>
          </w:p>
        </w:tc>
        <w:tc>
          <w:tcPr>
            <w:tcW w:w="1716" w:type="dxa"/>
          </w:tcPr>
          <w:p>
            <w:pPr>
              <w:autoSpaceDE w:val="0"/>
              <w:autoSpaceDN w:val="0"/>
              <w:jc w:val="both"/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  <w:t>+</w:t>
            </w:r>
          </w:p>
        </w:tc>
        <w:tc>
          <w:tcPr>
            <w:tcW w:w="1716" w:type="dxa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  <w:tc>
          <w:tcPr>
            <w:tcW w:w="1828" w:type="dxa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3173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hAnsi="Times New Roman" w:eastAsia="DINNextLTPro-Medium" w:cs="Times New Roman"/>
                <w:iCs/>
                <w:color w:val="231F20"/>
                <w:kern w:val="0"/>
                <w:sz w:val="21"/>
                <w:szCs w:val="21"/>
                <w:lang w:bidi="ar"/>
              </w:rPr>
              <w:t>Ectoine</w:t>
            </w:r>
          </w:p>
        </w:tc>
        <w:tc>
          <w:tcPr>
            <w:tcW w:w="1716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  <w:tc>
          <w:tcPr>
            <w:tcW w:w="1716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1828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</w:tr>
      <w:bookmarkEnd w:id="3"/>
      <w:bookmarkEnd w:id="5"/>
    </w:tbl>
    <w:p>
      <w:pPr>
        <w:autoSpaceDE/>
        <w:autoSpaceDN/>
        <w:spacing w:line="480" w:lineRule="auto"/>
        <w:jc w:val="both"/>
        <w:rPr>
          <w:rFonts w:ascii="Times New Roman" w:hAnsi="Times New Roman" w:eastAsia="宋体" w:cs="Times New Roman"/>
          <w:color w:val="FF0000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iCs/>
          <w:kern w:val="2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DINNextLTPro-Medium" w:cs="Times New Roman"/>
          <w:iCs/>
          <w:color w:val="231F20"/>
          <w:sz w:val="21"/>
          <w:szCs w:val="21"/>
          <w:lang w:eastAsia="zh-CN" w:bidi="ar"/>
        </w:rPr>
        <w:t>NAPAA*</w:t>
      </w:r>
      <w:r>
        <w:rPr>
          <w:rFonts w:hint="eastAsia" w:ascii="Times New Roman" w:hAnsi="Times New Roman" w:eastAsia="宋体" w:cs="Times New Roman"/>
          <w:iCs/>
          <w:color w:val="auto"/>
          <w:kern w:val="2"/>
          <w:sz w:val="21"/>
          <w:szCs w:val="21"/>
          <w:lang w:eastAsia="zh-CN" w:bidi="ar-SA"/>
        </w:rPr>
        <w:t>：</w:t>
      </w:r>
      <w:r>
        <w:rPr>
          <w:rFonts w:ascii="Times New Roman" w:hAnsi="Times New Roman" w:eastAsia="宋体" w:cs="Times New Roman"/>
          <w:iCs/>
          <w:color w:val="auto"/>
          <w:kern w:val="2"/>
          <w:sz w:val="21"/>
          <w:szCs w:val="21"/>
          <w:lang w:eastAsia="zh-CN" w:bidi="ar-SA"/>
        </w:rPr>
        <w:t>Non-alpha poly-amino acids like e-Polylysin</w:t>
      </w: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 w:val="0"/>
        <w:spacing w:line="480" w:lineRule="auto"/>
        <w:rPr>
          <w:rFonts w:ascii="Times New Roman" w:hAnsi="Times New Roman" w:eastAsia="Calibri" w:cs="Times New Roman"/>
          <w:color w:val="auto"/>
          <w:sz w:val="21"/>
          <w:szCs w:val="21"/>
          <w:lang w:eastAsia="en-US" w:bidi="ar-SA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S3</w:t>
      </w:r>
      <w:r>
        <w:rPr>
          <w:rFonts w:ascii="Times New Roman" w:hAnsi="Times New Roman" w:cs="Times New Roman"/>
          <w:sz w:val="21"/>
          <w:szCs w:val="21"/>
        </w:rPr>
        <w:t xml:space="preserve"> The results of </w:t>
      </w:r>
      <w:r>
        <w:rPr>
          <w:rFonts w:ascii="Times New Roman" w:hAnsi="Times New Roman" w:eastAsia="宋体" w:cs="宋体"/>
          <w:sz w:val="21"/>
          <w:szCs w:val="21"/>
        </w:rPr>
        <w:t>conduct the COG category analysis of coding proteins</w:t>
      </w:r>
      <w:r>
        <w:rPr>
          <w:rFonts w:ascii="Times New Roman" w:hAnsi="Times New Roman" w:cs="Times New Roman"/>
          <w:sz w:val="21"/>
          <w:szCs w:val="21"/>
        </w:rPr>
        <w:t xml:space="preserve"> about GX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and reference strains of the genus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1"/>
          <w:szCs w:val="21"/>
        </w:rPr>
        <w:t>Brevibacterium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5"/>
        <w:tblW w:w="9356" w:type="dxa"/>
        <w:tblInd w:w="-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1559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F</w:t>
            </w: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unctional-Categories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Q1321</w:t>
            </w: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 xml:space="preserve">B. samyangense 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1"/>
                <w:szCs w:val="21"/>
                <w:lang w:val="en-US" w:eastAsia="zh-CN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1"/>
                <w:szCs w:val="21"/>
                <w:vertAlign w:val="superscript"/>
                <w:lang w:val="en-US" w:eastAsia="zh-CN"/>
              </w:rPr>
              <w:t>T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>B.</w:t>
            </w:r>
            <w:r>
              <w:rPr>
                <w:rFonts w:ascii="Times New Roman" w:hAnsi="Times New Roman" w:eastAsia="Calibri" w:cs="Times New Roman"/>
                <w:i/>
                <w:iCs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 xml:space="preserve">rongguiense 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  <w:t>5221</w:t>
            </w:r>
            <w:r>
              <w:rPr>
                <w:rFonts w:ascii="Times New Roman" w:hAnsi="Times New Roman" w:eastAsia="DINNextLTPro-Medium" w:cs="Times New Roman"/>
                <w:b/>
                <w:color w:val="231F20"/>
                <w:kern w:val="0"/>
                <w:sz w:val="21"/>
                <w:szCs w:val="21"/>
                <w:vertAlign w:val="superscript"/>
                <w:lang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RNA processing and modification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Chromatin structure and dynamics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Energy production and conversion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Cell cycle control, cell division, chromosome</w:t>
            </w:r>
            <w:r>
              <w:rPr>
                <w:rFonts w:hint="eastAsia" w:ascii="Times New Roman" w:hAnsi="Times New Roman" w:eastAsia="等线 Light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partitioning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Amino acid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332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Nucleotide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8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Carbohydrate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Coenzyme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Lipid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Translation, ribosomal structure and biogenesis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Transcription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Replication, recombination and repair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Cell wall/membrane/envelope biogenesis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Cell motility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Posttranslational modification, protein turnover, chaperones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Inorganic ion transport and metabolism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208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Secondary metabolites biosynthesis, transport and catabolism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General function prediction only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222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Function unknown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517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Signal transduction mechanisms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Intracellular trafficking, secretion, and vesicular transport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Defense mechanisms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Extracellular structures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iCs/>
                <w:sz w:val="21"/>
                <w:szCs w:val="21"/>
                <w:lang w:val="en-US" w:eastAsia="zh-CN"/>
              </w:rPr>
              <w:t>Mobilome: prophages, transposons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8 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Cytoskeleton </w:t>
            </w:r>
          </w:p>
        </w:tc>
        <w:tc>
          <w:tcPr>
            <w:tcW w:w="1559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</w:tr>
    </w:tbl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  <w:r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  <w:drawing>
          <wp:inline distT="0" distB="0" distL="114300" distR="114300">
            <wp:extent cx="5273675" cy="4397375"/>
            <wp:effectExtent l="0" t="0" r="9525" b="9525"/>
            <wp:docPr id="3" name="图片 3" descr="GXQ1321-A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XQ1321-AA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39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eastAsia="宋体" w:cs="Arial"/>
          <w:color w:val="333333"/>
          <w:sz w:val="21"/>
          <w:szCs w:val="21"/>
          <w:shd w:val="clear" w:color="auto" w:fill="FFFFFF"/>
          <w:lang w:val="en-US" w:eastAsia="zh-CN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>3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iCs/>
          <w:sz w:val="21"/>
          <w:szCs w:val="21"/>
        </w:rPr>
        <w:t>AAI values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of</w:t>
      </w:r>
      <w:r>
        <w:rPr>
          <w:rFonts w:ascii="Times New Roman" w:hAnsi="Times New Roman" w:cs="Times New Roman"/>
          <w:iCs/>
          <w:sz w:val="21"/>
          <w:szCs w:val="21"/>
        </w:rPr>
        <w:t xml:space="preserve"> strain GX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iCs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iCs/>
          <w:sz w:val="21"/>
          <w:szCs w:val="21"/>
        </w:rPr>
        <w:t xml:space="preserve"> and 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reference strains </w:t>
      </w:r>
      <w:r>
        <w:rPr>
          <w:rFonts w:hint="eastAsia" w:ascii="Times New Roman" w:hAnsi="Times New Roman" w:eastAsia="宋体" w:cs="Times New Roman"/>
          <w:i/>
          <w:iCs w:val="0"/>
          <w:sz w:val="21"/>
          <w:szCs w:val="21"/>
          <w:lang w:val="en-US" w:eastAsia="zh-CN"/>
        </w:rPr>
        <w:t>Brevibacterium samyangense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SST-8</w:t>
      </w:r>
      <w:r>
        <w:rPr>
          <w:rFonts w:hint="eastAsia" w:ascii="Times New Roman" w:hAnsi="Times New Roman" w:eastAsia="宋体" w:cs="Times New Roman"/>
          <w:iCs/>
          <w:sz w:val="21"/>
          <w:szCs w:val="21"/>
          <w:vertAlign w:val="superscript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and </w:t>
      </w:r>
      <w:r>
        <w:rPr>
          <w:rFonts w:hint="eastAsia" w:ascii="Times New Roman" w:hAnsi="Times New Roman" w:eastAsia="宋体" w:cs="Times New Roman"/>
          <w:i/>
          <w:iCs w:val="0"/>
          <w:sz w:val="21"/>
          <w:szCs w:val="21"/>
          <w:lang w:val="en-US" w:eastAsia="zh-CN"/>
        </w:rPr>
        <w:t>Brevibacterium rongguiense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5221</w:t>
      </w:r>
      <w:r>
        <w:rPr>
          <w:rFonts w:hint="eastAsia" w:ascii="Times New Roman" w:hAnsi="Times New Roman" w:eastAsia="宋体" w:cs="Times New Roman"/>
          <w:iCs/>
          <w:sz w:val="21"/>
          <w:szCs w:val="21"/>
          <w:vertAlign w:val="superscript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iCs/>
          <w:sz w:val="21"/>
          <w:szCs w:val="21"/>
          <w:vertAlign w:val="baseline"/>
          <w:lang w:val="en-US" w:eastAsia="zh-CN"/>
        </w:rPr>
        <w:t>.</w:t>
      </w: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  <w:r>
        <w:rPr>
          <w:rFonts w:ascii="Times New Roman" w:hAnsi="Times New Roman" w:eastAsia="Times New Roman"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  <w:drawing>
          <wp:inline distT="0" distB="0" distL="114300" distR="114300">
            <wp:extent cx="5266690" cy="3950335"/>
            <wp:effectExtent l="0" t="0" r="3810" b="12065"/>
            <wp:docPr id="6" name="图片 6" descr="扫描电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扫描电镜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ascii="Times New Roman" w:hAnsi="Times New Roman" w:eastAsia="Georgia" w:cs="Times New Roman"/>
          <w:color w:val="333333"/>
          <w:sz w:val="21"/>
          <w:szCs w:val="21"/>
          <w:shd w:val="clear" w:color="auto" w:fill="FCFCFC"/>
          <w:lang w:eastAsia="zh-CN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>Scanning electron microscope image of strain G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XQ1321</w:t>
      </w:r>
      <w:r>
        <w:rPr>
          <w:rFonts w:hint="eastAsia" w:ascii="Times New Roman" w:hAnsi="Times New Roman" w:eastAsia="宋体" w:cs="Times New Roman"/>
          <w:sz w:val="21"/>
          <w:szCs w:val="21"/>
          <w:vertAlign w:val="superscript"/>
          <w:lang w:val="en-US" w:eastAsia="zh-CN"/>
        </w:rPr>
        <w:t>T</w:t>
      </w:r>
      <w:r>
        <w:rPr>
          <w:rFonts w:ascii="Times New Roman" w:hAnsi="Times New Roman" w:cs="Times New Roman"/>
          <w:sz w:val="21"/>
          <w:szCs w:val="21"/>
        </w:rPr>
        <w:t>.</w:t>
      </w: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  <w: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  <w:drawing>
          <wp:inline distT="0" distB="0" distL="114300" distR="114300">
            <wp:extent cx="5266690" cy="4094480"/>
            <wp:effectExtent l="0" t="0" r="3810" b="7620"/>
            <wp:docPr id="5" name="图片 5" descr="透射电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透射电镜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b/>
          <w:sz w:val="21"/>
          <w:szCs w:val="21"/>
          <w:lang w:eastAsia="zh-CN"/>
        </w:rPr>
      </w:pP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>Fig. S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5</w:t>
      </w: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>Transmission electron micrographs of the cells of strain GXQ1321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vertAlign w:val="superscript"/>
          <w:lang w:eastAsia="zh-CN"/>
        </w:rPr>
        <w:t>T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 xml:space="preserve"> Cells are cultured on 2216E medium at 30 °C for 24-36 h. Bar, 1μm</w:t>
      </w: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>.</w:t>
      </w: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jc w:val="center"/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  <w:r>
        <w:drawing>
          <wp:inline distT="0" distB="0" distL="114300" distR="114300">
            <wp:extent cx="1901825" cy="6196330"/>
            <wp:effectExtent l="0" t="0" r="3175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4466" t="1732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619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>Fig. S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6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 xml:space="preserve"> TLC</w:t>
      </w: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>chromatogram of GXQ1321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vertAlign w:val="superscript"/>
          <w:lang w:eastAsia="zh-CN"/>
        </w:rPr>
        <w:t>T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 xml:space="preserve"> peptidoglycan structure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.</w:t>
      </w: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-472440</wp:posOffset>
            </wp:positionH>
            <wp:positionV relativeFrom="paragraph">
              <wp:posOffset>91440</wp:posOffset>
            </wp:positionV>
            <wp:extent cx="6365875" cy="2172335"/>
            <wp:effectExtent l="0" t="0" r="0" b="0"/>
            <wp:wrapTopAndBottom/>
            <wp:docPr id="7" name="图片 7" descr="磷酸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磷酸壁"/>
                    <pic:cNvPicPr>
                      <a:picLocks noChangeAspect="1"/>
                    </pic:cNvPicPr>
                  </pic:nvPicPr>
                  <pic:blipFill>
                    <a:blip r:embed="rId10"/>
                    <a:srcRect l="2480" t="23058" r="2585" b="22958"/>
                    <a:stretch>
                      <a:fillRect/>
                    </a:stretch>
                  </pic:blipFill>
                  <pic:spPr>
                    <a:xfrm>
                      <a:off x="0" y="0"/>
                      <a:ext cx="6365875" cy="217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480" w:lineRule="auto"/>
        <w:rPr>
          <w:rFonts w:hint="default"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val="en-US" w:eastAsia="zh-CN"/>
        </w:rPr>
      </w:pPr>
      <w:r>
        <w:rPr>
          <w:rFonts w:ascii="Times New Roman" w:hAnsi="Times New Roman" w:cs="Times New Roman"/>
          <w:b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Cs w:val="21"/>
          <w:lang w:eastAsia="zh-CN"/>
        </w:rPr>
        <w:t>S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b/>
          <w:szCs w:val="21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Polar lipids of GX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Q1321</w:t>
      </w:r>
      <w:r>
        <w:rPr>
          <w:rFonts w:hint="eastAsia" w:ascii="Times New Roman" w:hAnsi="Times New Roman" w:eastAsia="宋体" w:cs="Times New Roman"/>
          <w:bCs/>
          <w:sz w:val="21"/>
          <w:szCs w:val="21"/>
          <w:vertAlign w:val="superscript"/>
          <w:lang w:eastAsia="zh-CN"/>
        </w:rPr>
        <w:t>T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. Polar lipids of strain separated by two-dimensional TLC and detected with molybdophosphoric acid reagent; (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),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bCs/>
          <w:sz w:val="21"/>
          <w:szCs w:val="21"/>
          <w:lang w:eastAsia="zh-CN"/>
        </w:rPr>
        <w:t>α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-naphthol reagent; (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), anisaldehyde reagents; (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). All data presented are from this study. DPG, diphosphatidylglycerol; PG,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phosphatidylglycerol; PGL1-PGL3, phosphoglycolipid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; UP, unknown phospholipids; UG, unknown glycolipids.</w:t>
      </w: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autoSpaceDE/>
        <w:autoSpaceDN/>
        <w:spacing w:line="480" w:lineRule="auto"/>
        <w:jc w:val="both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Calibri" w:cs="Times New Roman"/>
          <w:b/>
          <w:bCs/>
          <w:iCs w:val="0"/>
          <w:kern w:val="0"/>
          <w:sz w:val="22"/>
          <w:szCs w:val="21"/>
          <w:lang w:eastAsia="en-US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eastAsia="Calibri" w:cs="Times New Roman"/>
          <w:b/>
          <w:bCs/>
          <w:iCs w:val="0"/>
          <w:kern w:val="0"/>
          <w:sz w:val="22"/>
          <w:szCs w:val="21"/>
          <w:lang w:eastAsia="en-US"/>
        </w:rPr>
        <w:t xml:space="preserve">4 </w:t>
      </w:r>
      <w:r>
        <w:rPr>
          <w:rFonts w:ascii="Times New Roman" w:hAnsi="Times New Roman" w:eastAsia="Calibri" w:cs="Times New Roman"/>
          <w:iCs w:val="0"/>
          <w:kern w:val="0"/>
          <w:sz w:val="21"/>
          <w:szCs w:val="21"/>
          <w:lang w:eastAsia="en-US"/>
        </w:rPr>
        <w:t>Cellular fatty acid composition of GX</w:t>
      </w:r>
      <w:r>
        <w:rPr>
          <w:rFonts w:hint="eastAsia" w:ascii="Times New Roman" w:hAnsi="Times New Roman" w:eastAsia="宋体" w:cs="Times New Roman"/>
          <w:iCs w:val="0"/>
          <w:kern w:val="0"/>
          <w:sz w:val="21"/>
          <w:szCs w:val="21"/>
          <w:lang w:val="en-US" w:eastAsia="zh-CN"/>
        </w:rPr>
        <w:t>Q1321</w:t>
      </w:r>
      <w:r>
        <w:rPr>
          <w:rFonts w:ascii="Times New Roman" w:hAnsi="Times New Roman" w:eastAsia="Calibri" w:cs="Times New Roman"/>
          <w:iCs w:val="0"/>
          <w:kern w:val="0"/>
          <w:sz w:val="21"/>
          <w:szCs w:val="21"/>
          <w:vertAlign w:val="superscript"/>
          <w:lang w:eastAsia="en-US"/>
        </w:rPr>
        <w:t>T</w:t>
      </w:r>
      <w:r>
        <w:rPr>
          <w:rFonts w:ascii="Times New Roman" w:hAnsi="Times New Roman" w:eastAsia="Calibri" w:cs="Times New Roman"/>
          <w:iCs w:val="0"/>
          <w:kern w:val="0"/>
          <w:sz w:val="21"/>
          <w:szCs w:val="21"/>
          <w:lang w:eastAsia="en-US"/>
        </w:rPr>
        <w:t xml:space="preserve"> and related strains. Compounds occurring at percentages of 1 or higher are given. All presented data were obtained in the same laboratory under standardized conditions</w:t>
      </w:r>
      <w:r>
        <w:rPr>
          <w:rFonts w:ascii="Times New Roman" w:hAnsi="Times New Roman" w:eastAsia="Calibri" w:cs="Times New Roman"/>
          <w:kern w:val="0"/>
          <w:sz w:val="21"/>
          <w:szCs w:val="21"/>
          <w:lang w:eastAsia="en-US"/>
        </w:rPr>
        <w:t>.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2126"/>
        <w:gridCol w:w="2124"/>
        <w:gridCol w:w="2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top w:val="single" w:color="auto" w:sz="12" w:space="0"/>
              <w:left w:val="nil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Fatty acids (%)</w:t>
            </w:r>
          </w:p>
        </w:tc>
        <w:tc>
          <w:tcPr>
            <w:tcW w:w="1247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val="en-US" w:eastAsia="zh-CN"/>
              </w:rPr>
              <w:t>Q1321</w:t>
            </w: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vertAlign w:val="superscript"/>
                <w:lang w:eastAsia="zh-CN"/>
              </w:rPr>
              <w:t>T</w:t>
            </w:r>
          </w:p>
        </w:tc>
        <w:tc>
          <w:tcPr>
            <w:tcW w:w="1246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 xml:space="preserve"> samyangense</w:t>
            </w: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val="en-US" w:eastAsia="zh-CN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vertAlign w:val="superscript"/>
                <w:lang w:val="en-US" w:eastAsia="zh-CN"/>
              </w:rPr>
              <w:t>T</w:t>
            </w:r>
          </w:p>
        </w:tc>
        <w:tc>
          <w:tcPr>
            <w:tcW w:w="1199" w:type="pct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>
            <w:pPr>
              <w:autoSpaceDE/>
              <w:autoSpaceDN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val="en-US" w:eastAsia="zh-CN"/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 xml:space="preserve">rongguiense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/>
                <w:kern w:val="2"/>
                <w:sz w:val="21"/>
                <w:szCs w:val="21"/>
                <w:lang w:eastAsia="zh-CN"/>
              </w:rPr>
              <w:t>5221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/>
                <w:kern w:val="2"/>
                <w:sz w:val="21"/>
                <w:szCs w:val="21"/>
                <w:vertAlign w:val="superscript"/>
                <w:lang w:eastAsia="zh-CN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top w:val="single" w:color="auto" w:sz="12" w:space="0"/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anteiso-C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19:0</w:t>
            </w:r>
          </w:p>
        </w:tc>
        <w:tc>
          <w:tcPr>
            <w:tcW w:w="1247" w:type="pct"/>
            <w:tcBorders>
              <w:top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27.28</w:t>
            </w:r>
          </w:p>
        </w:tc>
        <w:tc>
          <w:tcPr>
            <w:tcW w:w="1246" w:type="pct"/>
            <w:tcBorders>
              <w:top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–</w:t>
            </w:r>
          </w:p>
        </w:tc>
        <w:tc>
          <w:tcPr>
            <w:tcW w:w="1199" w:type="pct"/>
            <w:tcBorders>
              <w:top w:val="single" w:color="auto" w:sz="12" w:space="0"/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anteiso-C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17:0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15.95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35.3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39.3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anteiso-C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 xml:space="preserve">15:0 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8.97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29.9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16:0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12.21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2.5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12:0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2.08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14:0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1.75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15:0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1.56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15.5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17:0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4.2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18:1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1.9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16:0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13.8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4.2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18:0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4.0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 xml:space="preserve">anteiso-C17:1 </w:t>
            </w:r>
            <w:r>
              <w:rPr>
                <w:rFonts w:hint="eastAsia" w:ascii="Times New Roman" w:hAnsi="Times New Roman" w:eastAsia="宋体" w:cs="Times New Roman"/>
                <w:i/>
                <w:iCs w:val="0"/>
                <w:kern w:val="2"/>
                <w:sz w:val="21"/>
                <w:szCs w:val="21"/>
                <w:lang w:eastAsia="zh-CN"/>
              </w:rPr>
              <w:t>ω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9c</w:t>
            </w:r>
          </w:p>
        </w:tc>
        <w:tc>
          <w:tcPr>
            <w:tcW w:w="1247" w:type="pct"/>
            <w:tcBorders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5.35</w:t>
            </w:r>
          </w:p>
        </w:tc>
        <w:tc>
          <w:tcPr>
            <w:tcW w:w="1246" w:type="pct"/>
            <w:tcBorders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199" w:type="pct"/>
            <w:tcBorders>
              <w:bottom w:val="single" w:color="auto" w:sz="12" w:space="0"/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</w:tbl>
    <w:p>
      <w:pPr>
        <w:autoSpaceDE/>
        <w:autoSpaceDN/>
        <w:jc w:val="both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INNextLTPro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B560EBA"/>
    <w:rsid w:val="17187A11"/>
    <w:rsid w:val="2B560EBA"/>
    <w:rsid w:val="2D733402"/>
    <w:rsid w:val="2ED727E7"/>
    <w:rsid w:val="3B182328"/>
    <w:rsid w:val="3CCD1E7D"/>
    <w:rsid w:val="51CC5C33"/>
    <w:rsid w:val="63974B7F"/>
    <w:rsid w:val="73C14EBD"/>
    <w:rsid w:val="771D4F43"/>
    <w:rsid w:val="788D35B0"/>
    <w:rsid w:val="7A8B4155"/>
    <w:rsid w:val="7EDA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autoRedefine/>
    <w:qFormat/>
    <w:uiPriority w:val="39"/>
    <w:rPr>
      <w:rFonts w:ascii="Calibri" w:hAnsi="Calibr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2"/>
    <w:basedOn w:val="2"/>
    <w:autoRedefine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703</Words>
  <Characters>3903</Characters>
  <Lines>0</Lines>
  <Paragraphs>0</Paragraphs>
  <TotalTime>3</TotalTime>
  <ScaleCrop>false</ScaleCrop>
  <LinksUpToDate>false</LinksUpToDate>
  <CharactersWithSpaces>4318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2024-05-10T01:44:00Z</dcterms:created>
  <dc:creator>杨泉</dc:creator>
  <cp:lastModifiedBy>杨泉</cp:lastModifiedBy>
  <dcterms:modified xsi:type="dcterms:W3CDTF">2024-05-24T02:55:21Z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37D3326DD2E14218BEA39A2BB4A198D7_11</vt:lpwstr>
  </property>
</Properties>
</file>