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EC63F" w14:textId="2117E8A5" w:rsidR="00234999" w:rsidRPr="008533DC" w:rsidRDefault="008B14D1" w:rsidP="008E2FB3">
      <w:pPr>
        <w:pStyle w:val="Title"/>
        <w:jc w:val="center"/>
        <w:rPr>
          <w:rFonts w:ascii="Times New Roman" w:hAnsi="Times New Roman" w:cs="Times New Roman"/>
          <w:sz w:val="48"/>
          <w:szCs w:val="48"/>
        </w:rPr>
      </w:pPr>
      <w:r w:rsidRPr="008533DC">
        <w:rPr>
          <w:rFonts w:ascii="Times New Roman" w:hAnsi="Times New Roman" w:cs="Times New Roman"/>
          <w:sz w:val="48"/>
          <w:szCs w:val="48"/>
        </w:rPr>
        <w:t>Supplementary Appendix</w:t>
      </w:r>
    </w:p>
    <w:p w14:paraId="4DB5EEED" w14:textId="269F60BD" w:rsidR="00964DC0" w:rsidRDefault="00964DC0" w:rsidP="003A6E0C">
      <w:pPr>
        <w:jc w:val="both"/>
        <w:rPr>
          <w:rFonts w:ascii="Times New Roman" w:hAnsi="Times New Roman" w:cs="Times New Roman"/>
          <w:sz w:val="24"/>
          <w:szCs w:val="24"/>
        </w:rPr>
      </w:pPr>
    </w:p>
    <w:p w14:paraId="4B4EFEDD" w14:textId="77777777" w:rsidR="00964DC0" w:rsidRDefault="00964DC0">
      <w:pPr>
        <w:rPr>
          <w:rFonts w:ascii="Times New Roman" w:hAnsi="Times New Roman" w:cs="Times New Roman"/>
          <w:sz w:val="24"/>
          <w:szCs w:val="24"/>
        </w:rPr>
      </w:pPr>
      <w:r>
        <w:rPr>
          <w:rFonts w:ascii="Times New Roman" w:hAnsi="Times New Roman" w:cs="Times New Roman"/>
          <w:sz w:val="24"/>
          <w:szCs w:val="24"/>
        </w:rPr>
        <w:br w:type="page"/>
      </w:r>
    </w:p>
    <w:p w14:paraId="046CEC8A" w14:textId="77777777" w:rsidR="00964DC0" w:rsidRPr="00964DC0" w:rsidRDefault="00964DC0" w:rsidP="00964DC0">
      <w:pPr>
        <w:pStyle w:val="Heading1"/>
        <w:spacing w:line="480" w:lineRule="auto"/>
        <w:rPr>
          <w:rFonts w:ascii="Times New Roman" w:hAnsi="Times New Roman" w:cs="Times New Roman"/>
          <w:b/>
          <w:bCs/>
          <w:color w:val="000000" w:themeColor="text1"/>
          <w:sz w:val="28"/>
          <w:szCs w:val="28"/>
        </w:rPr>
      </w:pPr>
      <w:r w:rsidRPr="00964DC0">
        <w:rPr>
          <w:rFonts w:ascii="Times New Roman" w:hAnsi="Times New Roman" w:cs="Times New Roman"/>
          <w:b/>
          <w:bCs/>
          <w:color w:val="000000" w:themeColor="text1"/>
          <w:sz w:val="28"/>
          <w:szCs w:val="28"/>
        </w:rPr>
        <w:lastRenderedPageBreak/>
        <w:t>RECOVER-EHR Consortium Members</w:t>
      </w:r>
    </w:p>
    <w:p w14:paraId="7AECA57E" w14:textId="77777777" w:rsidR="004B2806" w:rsidRPr="00A12C7F" w:rsidRDefault="004B2806" w:rsidP="004B2806">
      <w:pPr>
        <w:pStyle w:val="Hub"/>
      </w:pPr>
      <w:proofErr w:type="spellStart"/>
      <w:r w:rsidRPr="00A12C7F">
        <w:t>PCORnet</w:t>
      </w:r>
      <w:proofErr w:type="spellEnd"/>
      <w:r>
        <w:t xml:space="preserve"> </w:t>
      </w:r>
      <w:r w:rsidRPr="00A12C7F">
        <w:t>Core Contributors</w:t>
      </w:r>
    </w:p>
    <w:p w14:paraId="6395D7C5" w14:textId="77777777" w:rsidR="004B2806" w:rsidRDefault="004B2806" w:rsidP="004B2806">
      <w:pPr>
        <w:pStyle w:val="Sites"/>
      </w:pPr>
      <w:r w:rsidRPr="00A12C7F">
        <w:t>Louisiana Public Health Institute</w:t>
      </w:r>
      <w:r>
        <w:t xml:space="preserve">: </w:t>
      </w:r>
      <w:r w:rsidRPr="00A12C7F">
        <w:rPr>
          <w:b w:val="0"/>
          <w:bCs/>
          <w:i/>
        </w:rPr>
        <w:t xml:space="preserve">Tom Carton, PI, </w:t>
      </w:r>
      <w:r w:rsidRPr="00A12C7F">
        <w:rPr>
          <w:b w:val="0"/>
          <w:bCs/>
        </w:rPr>
        <w:t>Anna Legrand, Elizabeth Nauman</w:t>
      </w:r>
    </w:p>
    <w:p w14:paraId="06838A4B" w14:textId="77777777" w:rsidR="004B2806" w:rsidRDefault="004B2806" w:rsidP="004B2806">
      <w:pPr>
        <w:pStyle w:val="NoSpacing"/>
      </w:pPr>
    </w:p>
    <w:p w14:paraId="7F5D1E08" w14:textId="77777777" w:rsidR="004B2806" w:rsidRPr="00A12C7F" w:rsidRDefault="004B2806" w:rsidP="004B2806">
      <w:pPr>
        <w:pStyle w:val="Sites"/>
        <w:rPr>
          <w:b w:val="0"/>
          <w:bCs/>
        </w:rPr>
      </w:pPr>
      <w:r w:rsidRPr="00887791">
        <w:t>Weill Cornell Medicine</w:t>
      </w:r>
      <w:r>
        <w:t xml:space="preserve">: </w:t>
      </w:r>
      <w:proofErr w:type="spellStart"/>
      <w:r w:rsidRPr="00A12C7F">
        <w:rPr>
          <w:b w:val="0"/>
          <w:bCs/>
          <w:i/>
        </w:rPr>
        <w:t>Rainu</w:t>
      </w:r>
      <w:proofErr w:type="spellEnd"/>
      <w:r w:rsidRPr="00A12C7F">
        <w:rPr>
          <w:b w:val="0"/>
          <w:bCs/>
          <w:i/>
        </w:rPr>
        <w:t xml:space="preserve"> Kaushal, PI, </w:t>
      </w:r>
      <w:r w:rsidRPr="00A12C7F">
        <w:rPr>
          <w:b w:val="0"/>
          <w:bCs/>
        </w:rPr>
        <w:t xml:space="preserve">Sajjad </w:t>
      </w:r>
      <w:proofErr w:type="spellStart"/>
      <w:r w:rsidRPr="00A12C7F">
        <w:rPr>
          <w:b w:val="0"/>
          <w:bCs/>
        </w:rPr>
        <w:t>Abedian</w:t>
      </w:r>
      <w:proofErr w:type="spellEnd"/>
      <w:r w:rsidRPr="00A12C7F">
        <w:rPr>
          <w:b w:val="0"/>
          <w:bCs/>
        </w:rPr>
        <w:t xml:space="preserve">, Dominique Brown, Christopher Cameron, Thomas Campion, Andrea Cohen, </w:t>
      </w:r>
      <w:proofErr w:type="spellStart"/>
      <w:r w:rsidRPr="00A12C7F">
        <w:rPr>
          <w:b w:val="0"/>
          <w:bCs/>
        </w:rPr>
        <w:t>Marietou</w:t>
      </w:r>
      <w:proofErr w:type="spellEnd"/>
      <w:r w:rsidRPr="00A12C7F">
        <w:rPr>
          <w:b w:val="0"/>
          <w:bCs/>
        </w:rPr>
        <w:t xml:space="preserve"> Dione, Rosie Ferris, Wilson Jacobs, Michael </w:t>
      </w:r>
      <w:proofErr w:type="spellStart"/>
      <w:r w:rsidRPr="00A12C7F">
        <w:rPr>
          <w:b w:val="0"/>
          <w:bCs/>
        </w:rPr>
        <w:t>Koropsak</w:t>
      </w:r>
      <w:proofErr w:type="spellEnd"/>
      <w:r w:rsidRPr="00A12C7F">
        <w:rPr>
          <w:b w:val="0"/>
          <w:bCs/>
        </w:rPr>
        <w:t xml:space="preserve">, Alex </w:t>
      </w:r>
      <w:proofErr w:type="spellStart"/>
      <w:r w:rsidRPr="00A12C7F">
        <w:rPr>
          <w:b w:val="0"/>
          <w:bCs/>
        </w:rPr>
        <w:t>LaMar</w:t>
      </w:r>
      <w:proofErr w:type="spellEnd"/>
      <w:r w:rsidRPr="00A12C7F">
        <w:rPr>
          <w:b w:val="0"/>
          <w:bCs/>
          <w:i/>
        </w:rPr>
        <w:t xml:space="preserve">, </w:t>
      </w:r>
      <w:r w:rsidRPr="00A12C7F">
        <w:rPr>
          <w:b w:val="0"/>
          <w:bCs/>
        </w:rPr>
        <w:t>Colby V. Lewis</w:t>
      </w:r>
      <w:r w:rsidRPr="00A12C7F">
        <w:rPr>
          <w:b w:val="0"/>
          <w:bCs/>
          <w:i/>
        </w:rPr>
        <w:t xml:space="preserve">, </w:t>
      </w:r>
      <w:r w:rsidRPr="00A12C7F">
        <w:rPr>
          <w:b w:val="0"/>
          <w:bCs/>
        </w:rPr>
        <w:t xml:space="preserve">Dmitry </w:t>
      </w:r>
      <w:proofErr w:type="spellStart"/>
      <w:r w:rsidRPr="00A12C7F">
        <w:rPr>
          <w:b w:val="0"/>
          <w:bCs/>
        </w:rPr>
        <w:t>Morozyuk</w:t>
      </w:r>
      <w:proofErr w:type="spellEnd"/>
      <w:r w:rsidRPr="00A12C7F">
        <w:rPr>
          <w:b w:val="0"/>
          <w:bCs/>
          <w:i/>
        </w:rPr>
        <w:t xml:space="preserve">, </w:t>
      </w:r>
      <w:r w:rsidRPr="00A12C7F">
        <w:rPr>
          <w:b w:val="0"/>
          <w:bCs/>
        </w:rPr>
        <w:t xml:space="preserve">Peter Morrisey, Duncan </w:t>
      </w:r>
      <w:proofErr w:type="spellStart"/>
      <w:r w:rsidRPr="00A12C7F">
        <w:rPr>
          <w:b w:val="0"/>
          <w:bCs/>
        </w:rPr>
        <w:t>Orlander</w:t>
      </w:r>
      <w:proofErr w:type="spellEnd"/>
      <w:r w:rsidRPr="00A12C7F">
        <w:rPr>
          <w:b w:val="0"/>
          <w:bCs/>
        </w:rPr>
        <w:t xml:space="preserve">, </w:t>
      </w:r>
      <w:proofErr w:type="spellStart"/>
      <w:r w:rsidRPr="00A12C7F">
        <w:rPr>
          <w:b w:val="0"/>
          <w:bCs/>
        </w:rPr>
        <w:t>Jyotishman</w:t>
      </w:r>
      <w:proofErr w:type="spellEnd"/>
      <w:r w:rsidRPr="00A12C7F">
        <w:rPr>
          <w:b w:val="0"/>
          <w:bCs/>
        </w:rPr>
        <w:t xml:space="preserve"> Pathak, </w:t>
      </w:r>
      <w:proofErr w:type="spellStart"/>
      <w:r w:rsidRPr="00A12C7F">
        <w:rPr>
          <w:b w:val="0"/>
          <w:bCs/>
        </w:rPr>
        <w:t>Mahfuza</w:t>
      </w:r>
      <w:proofErr w:type="spellEnd"/>
      <w:r w:rsidRPr="00A12C7F">
        <w:rPr>
          <w:b w:val="0"/>
          <w:bCs/>
        </w:rPr>
        <w:t xml:space="preserve"> </w:t>
      </w:r>
      <w:proofErr w:type="spellStart"/>
      <w:r w:rsidRPr="00A12C7F">
        <w:rPr>
          <w:b w:val="0"/>
          <w:bCs/>
        </w:rPr>
        <w:t>Sabiha</w:t>
      </w:r>
      <w:proofErr w:type="spellEnd"/>
      <w:r w:rsidRPr="00A12C7F">
        <w:rPr>
          <w:b w:val="0"/>
          <w:bCs/>
        </w:rPr>
        <w:t>, Edward J. Schenck,</w:t>
      </w:r>
      <w:r>
        <w:rPr>
          <w:b w:val="0"/>
          <w:bCs/>
        </w:rPr>
        <w:t xml:space="preserve"> </w:t>
      </w:r>
      <w:r w:rsidRPr="00A12C7F">
        <w:rPr>
          <w:b w:val="0"/>
          <w:bCs/>
        </w:rPr>
        <w:t xml:space="preserve">Stephenson Strobel, Zoe </w:t>
      </w:r>
      <w:proofErr w:type="spellStart"/>
      <w:r w:rsidRPr="00A12C7F">
        <w:rPr>
          <w:b w:val="0"/>
          <w:bCs/>
        </w:rPr>
        <w:t>Verzani</w:t>
      </w:r>
      <w:proofErr w:type="spellEnd"/>
      <w:r w:rsidRPr="00A12C7F">
        <w:rPr>
          <w:b w:val="0"/>
          <w:bCs/>
        </w:rPr>
        <w:t xml:space="preserve">, Fei Wang, Mark Weiner, </w:t>
      </w:r>
      <w:proofErr w:type="spellStart"/>
      <w:r w:rsidRPr="00A12C7F">
        <w:rPr>
          <w:b w:val="0"/>
          <w:bCs/>
        </w:rPr>
        <w:t>Zhenxing</w:t>
      </w:r>
      <w:proofErr w:type="spellEnd"/>
      <w:r w:rsidRPr="00A12C7F">
        <w:rPr>
          <w:b w:val="0"/>
          <w:bCs/>
        </w:rPr>
        <w:t xml:space="preserve"> Xu, Chengxi Zang, Yongkang Zhang</w:t>
      </w:r>
    </w:p>
    <w:p w14:paraId="3256215A" w14:textId="77777777" w:rsidR="004B2806" w:rsidRDefault="004B2806" w:rsidP="004B2806">
      <w:pPr>
        <w:pStyle w:val="NoSpacing"/>
      </w:pPr>
    </w:p>
    <w:p w14:paraId="2D4A4AB2" w14:textId="77777777" w:rsidR="004B2806" w:rsidRPr="00A12C7F" w:rsidRDefault="004B2806" w:rsidP="004B2806">
      <w:pPr>
        <w:pStyle w:val="Hub"/>
      </w:pPr>
      <w:proofErr w:type="spellStart"/>
      <w:r w:rsidRPr="00A12C7F">
        <w:t>PCORnet</w:t>
      </w:r>
      <w:proofErr w:type="spellEnd"/>
      <w:r w:rsidRPr="00A12C7F">
        <w:t xml:space="preserve"> Data Contributors</w:t>
      </w:r>
    </w:p>
    <w:p w14:paraId="16204FB4" w14:textId="77777777" w:rsidR="004B2806" w:rsidRPr="00A12C7F" w:rsidRDefault="004B2806" w:rsidP="004B2806">
      <w:pPr>
        <w:pStyle w:val="Sites"/>
        <w:rPr>
          <w:b w:val="0"/>
          <w:bCs/>
        </w:rPr>
      </w:pPr>
      <w:r w:rsidRPr="00A12C7F">
        <w:t>Albert Einstein College of Medicine</w:t>
      </w:r>
      <w:r w:rsidRPr="00A12C7F">
        <w:rPr>
          <w:b w:val="0"/>
          <w:bCs/>
        </w:rPr>
        <w:t xml:space="preserve"> </w:t>
      </w:r>
      <w:proofErr w:type="spellStart"/>
      <w:r w:rsidRPr="00A12C7F">
        <w:rPr>
          <w:b w:val="0"/>
          <w:bCs/>
          <w:i/>
        </w:rPr>
        <w:t>Parsa</w:t>
      </w:r>
      <w:proofErr w:type="spellEnd"/>
      <w:r w:rsidRPr="00A12C7F">
        <w:rPr>
          <w:b w:val="0"/>
          <w:bCs/>
          <w:i/>
        </w:rPr>
        <w:t xml:space="preserve"> </w:t>
      </w:r>
      <w:proofErr w:type="spellStart"/>
      <w:r w:rsidRPr="00A12C7F">
        <w:rPr>
          <w:b w:val="0"/>
          <w:bCs/>
          <w:i/>
        </w:rPr>
        <w:t>Mirhaji</w:t>
      </w:r>
      <w:proofErr w:type="spellEnd"/>
      <w:r w:rsidRPr="00A12C7F">
        <w:rPr>
          <w:b w:val="0"/>
          <w:bCs/>
          <w:i/>
        </w:rPr>
        <w:t xml:space="preserve">, PI | </w:t>
      </w:r>
      <w:r w:rsidRPr="00A12C7F">
        <w:t>Columbia University</w:t>
      </w:r>
      <w:r w:rsidRPr="00A12C7F">
        <w:rPr>
          <w:b w:val="0"/>
          <w:bCs/>
        </w:rPr>
        <w:t xml:space="preserve"> </w:t>
      </w:r>
      <w:proofErr w:type="spellStart"/>
      <w:r w:rsidRPr="00A12C7F">
        <w:rPr>
          <w:b w:val="0"/>
          <w:bCs/>
          <w:i/>
        </w:rPr>
        <w:t>Soumitra</w:t>
      </w:r>
      <w:proofErr w:type="spellEnd"/>
      <w:r w:rsidRPr="00A12C7F">
        <w:rPr>
          <w:b w:val="0"/>
          <w:bCs/>
          <w:i/>
        </w:rPr>
        <w:t xml:space="preserve"> Sengupta, </w:t>
      </w:r>
      <w:r>
        <w:rPr>
          <w:b w:val="0"/>
          <w:bCs/>
          <w:i/>
        </w:rPr>
        <w:t>PI,</w:t>
      </w:r>
      <w:r w:rsidRPr="00A12C7F">
        <w:rPr>
          <w:b w:val="0"/>
          <w:bCs/>
          <w:i/>
        </w:rPr>
        <w:t xml:space="preserve"> </w:t>
      </w:r>
      <w:r w:rsidRPr="00A12C7F">
        <w:rPr>
          <w:b w:val="0"/>
          <w:bCs/>
        </w:rPr>
        <w:t>Karthik Natarajan</w:t>
      </w:r>
      <w:r w:rsidRPr="00A12C7F">
        <w:rPr>
          <w:b w:val="0"/>
          <w:bCs/>
          <w:i/>
        </w:rPr>
        <w:t xml:space="preserve"> |</w:t>
      </w:r>
      <w:r w:rsidRPr="00A12C7F">
        <w:rPr>
          <w:b w:val="0"/>
          <w:bCs/>
        </w:rPr>
        <w:t xml:space="preserve"> </w:t>
      </w:r>
      <w:r w:rsidRPr="00A12C7F">
        <w:t>Duke University Health System</w:t>
      </w:r>
      <w:r w:rsidRPr="00A12C7F">
        <w:rPr>
          <w:b w:val="0"/>
          <w:bCs/>
        </w:rPr>
        <w:t xml:space="preserve"> </w:t>
      </w:r>
      <w:r w:rsidRPr="00A12C7F">
        <w:rPr>
          <w:b w:val="0"/>
          <w:bCs/>
          <w:i/>
        </w:rPr>
        <w:t>W</w:t>
      </w:r>
      <w:r>
        <w:rPr>
          <w:b w:val="0"/>
          <w:bCs/>
          <w:i/>
        </w:rPr>
        <w:t>illiam</w:t>
      </w:r>
      <w:r w:rsidRPr="00A12C7F">
        <w:rPr>
          <w:b w:val="0"/>
          <w:bCs/>
          <w:i/>
        </w:rPr>
        <w:t xml:space="preserve"> Schuyler Jones, </w:t>
      </w:r>
      <w:r>
        <w:rPr>
          <w:b w:val="0"/>
          <w:bCs/>
          <w:i/>
        </w:rPr>
        <w:t>PI,</w:t>
      </w:r>
      <w:r w:rsidRPr="00A12C7F">
        <w:rPr>
          <w:b w:val="0"/>
          <w:bCs/>
          <w:i/>
        </w:rPr>
        <w:t xml:space="preserve"> </w:t>
      </w:r>
      <w:r w:rsidRPr="00A12C7F">
        <w:rPr>
          <w:b w:val="0"/>
          <w:bCs/>
        </w:rPr>
        <w:t xml:space="preserve">Curtis </w:t>
      </w:r>
      <w:proofErr w:type="spellStart"/>
      <w:r w:rsidRPr="00A12C7F">
        <w:rPr>
          <w:b w:val="0"/>
          <w:bCs/>
        </w:rPr>
        <w:t>Kieler</w:t>
      </w:r>
      <w:proofErr w:type="spellEnd"/>
      <w:r w:rsidRPr="00A12C7F">
        <w:rPr>
          <w:b w:val="0"/>
          <w:bCs/>
          <w:i/>
        </w:rPr>
        <w:t xml:space="preserve"> |</w:t>
      </w:r>
      <w:r w:rsidRPr="00A12C7F">
        <w:rPr>
          <w:b w:val="0"/>
          <w:bCs/>
        </w:rPr>
        <w:t xml:space="preserve"> </w:t>
      </w:r>
      <w:r w:rsidRPr="00A12C7F">
        <w:t>Emory University</w:t>
      </w:r>
      <w:r w:rsidRPr="00A12C7F">
        <w:rPr>
          <w:b w:val="0"/>
          <w:bCs/>
        </w:rPr>
        <w:t xml:space="preserve"> </w:t>
      </w:r>
      <w:r w:rsidRPr="00A12C7F">
        <w:rPr>
          <w:b w:val="0"/>
          <w:bCs/>
          <w:i/>
        </w:rPr>
        <w:t xml:space="preserve">Rishi </w:t>
      </w:r>
      <w:proofErr w:type="spellStart"/>
      <w:r w:rsidRPr="00A12C7F">
        <w:rPr>
          <w:b w:val="0"/>
          <w:bCs/>
          <w:i/>
        </w:rPr>
        <w:t>Kamaleswaran</w:t>
      </w:r>
      <w:proofErr w:type="spellEnd"/>
      <w:r w:rsidRPr="00A12C7F">
        <w:rPr>
          <w:b w:val="0"/>
          <w:bCs/>
          <w:i/>
        </w:rPr>
        <w:t xml:space="preserve">, </w:t>
      </w:r>
      <w:r>
        <w:rPr>
          <w:b w:val="0"/>
          <w:bCs/>
          <w:i/>
        </w:rPr>
        <w:t>PI,</w:t>
      </w:r>
      <w:r w:rsidRPr="00A12C7F">
        <w:rPr>
          <w:b w:val="0"/>
          <w:bCs/>
          <w:i/>
        </w:rPr>
        <w:t xml:space="preserve"> </w:t>
      </w:r>
      <w:r w:rsidRPr="00A12C7F">
        <w:rPr>
          <w:b w:val="0"/>
          <w:bCs/>
        </w:rPr>
        <w:t>Nita Deshpande</w:t>
      </w:r>
      <w:r w:rsidRPr="00A12C7F">
        <w:rPr>
          <w:b w:val="0"/>
          <w:bCs/>
          <w:i/>
        </w:rPr>
        <w:t xml:space="preserve"> |</w:t>
      </w:r>
      <w:r w:rsidRPr="00A12C7F">
        <w:rPr>
          <w:b w:val="0"/>
          <w:bCs/>
        </w:rPr>
        <w:t xml:space="preserve"> </w:t>
      </w:r>
      <w:r w:rsidRPr="00A12C7F">
        <w:t>Icahn School of Medicine at Mount Sinai</w:t>
      </w:r>
      <w:r w:rsidRPr="00A12C7F">
        <w:rPr>
          <w:b w:val="0"/>
          <w:bCs/>
        </w:rPr>
        <w:t xml:space="preserve"> </w:t>
      </w:r>
      <w:r w:rsidRPr="00A12C7F">
        <w:rPr>
          <w:b w:val="0"/>
          <w:bCs/>
          <w:i/>
        </w:rPr>
        <w:t xml:space="preserve">Carol </w:t>
      </w:r>
      <w:r>
        <w:rPr>
          <w:b w:val="0"/>
          <w:bCs/>
          <w:i/>
        </w:rPr>
        <w:t xml:space="preserve">R. </w:t>
      </w:r>
      <w:r w:rsidRPr="00A12C7F">
        <w:rPr>
          <w:b w:val="0"/>
          <w:bCs/>
          <w:i/>
        </w:rPr>
        <w:t>Horowitz, PI |</w:t>
      </w:r>
      <w:r w:rsidRPr="00A12C7F">
        <w:rPr>
          <w:b w:val="0"/>
          <w:bCs/>
        </w:rPr>
        <w:t xml:space="preserve"> </w:t>
      </w:r>
      <w:r w:rsidRPr="00A12C7F">
        <w:t xml:space="preserve">Intermountain Healthcare </w:t>
      </w:r>
      <w:r w:rsidRPr="00A12C7F">
        <w:rPr>
          <w:b w:val="0"/>
          <w:bCs/>
        </w:rPr>
        <w:t>Channing Hansen</w:t>
      </w:r>
      <w:r w:rsidRPr="00A12C7F">
        <w:rPr>
          <w:b w:val="0"/>
          <w:bCs/>
          <w:i/>
        </w:rPr>
        <w:t xml:space="preserve"> |</w:t>
      </w:r>
      <w:r w:rsidRPr="00A12C7F">
        <w:rPr>
          <w:b w:val="0"/>
          <w:bCs/>
        </w:rPr>
        <w:t xml:space="preserve"> </w:t>
      </w:r>
      <w:r w:rsidRPr="00A12C7F">
        <w:t>Intermountain Medical Center Heart Institute</w:t>
      </w:r>
      <w:r w:rsidRPr="00A12C7F">
        <w:rPr>
          <w:b w:val="0"/>
          <w:bCs/>
        </w:rPr>
        <w:t xml:space="preserve"> </w:t>
      </w:r>
      <w:r w:rsidRPr="00A12C7F">
        <w:rPr>
          <w:b w:val="0"/>
          <w:bCs/>
          <w:i/>
        </w:rPr>
        <w:t>Benjamin D. Horne, PI |</w:t>
      </w:r>
      <w:r w:rsidRPr="00A12C7F">
        <w:rPr>
          <w:b w:val="0"/>
          <w:bCs/>
        </w:rPr>
        <w:t xml:space="preserve"> </w:t>
      </w:r>
      <w:r w:rsidRPr="00A12C7F">
        <w:t>Medical College of Wisconsin</w:t>
      </w:r>
      <w:r w:rsidRPr="00A12C7F">
        <w:rPr>
          <w:b w:val="0"/>
          <w:bCs/>
        </w:rPr>
        <w:t xml:space="preserve"> </w:t>
      </w:r>
      <w:r w:rsidRPr="00A12C7F">
        <w:rPr>
          <w:b w:val="0"/>
          <w:bCs/>
          <w:i/>
        </w:rPr>
        <w:t>Reza Shaker, PI</w:t>
      </w:r>
      <w:r>
        <w:rPr>
          <w:b w:val="0"/>
          <w:bCs/>
          <w:i/>
        </w:rPr>
        <w:t>,</w:t>
      </w:r>
      <w:r w:rsidRPr="00A12C7F">
        <w:rPr>
          <w:b w:val="0"/>
          <w:bCs/>
          <w:i/>
        </w:rPr>
        <w:t xml:space="preserve"> Bradley Taylor, </w:t>
      </w:r>
      <w:r>
        <w:rPr>
          <w:b w:val="0"/>
          <w:bCs/>
          <w:i/>
        </w:rPr>
        <w:t>PI,</w:t>
      </w:r>
      <w:r w:rsidRPr="00A12C7F">
        <w:rPr>
          <w:b w:val="0"/>
          <w:bCs/>
          <w:i/>
        </w:rPr>
        <w:t xml:space="preserve"> </w:t>
      </w:r>
      <w:r w:rsidRPr="00A12C7F">
        <w:rPr>
          <w:b w:val="0"/>
          <w:bCs/>
        </w:rPr>
        <w:t>Alex</w:t>
      </w:r>
      <w:r>
        <w:rPr>
          <w:b w:val="0"/>
          <w:bCs/>
        </w:rPr>
        <w:t>ander</w:t>
      </w:r>
      <w:r w:rsidRPr="00A12C7F">
        <w:rPr>
          <w:b w:val="0"/>
          <w:bCs/>
        </w:rPr>
        <w:t xml:space="preserve"> Stoddard</w:t>
      </w:r>
      <w:r w:rsidRPr="00A12C7F">
        <w:rPr>
          <w:b w:val="0"/>
          <w:bCs/>
          <w:i/>
        </w:rPr>
        <w:t xml:space="preserve"> |</w:t>
      </w:r>
      <w:r w:rsidRPr="00A12C7F">
        <w:rPr>
          <w:b w:val="0"/>
          <w:bCs/>
        </w:rPr>
        <w:t xml:space="preserve"> </w:t>
      </w:r>
      <w:r w:rsidRPr="00A12C7F">
        <w:t>Medical University of South Carolina</w:t>
      </w:r>
      <w:r w:rsidRPr="00A12C7F">
        <w:rPr>
          <w:b w:val="0"/>
          <w:bCs/>
        </w:rPr>
        <w:t xml:space="preserve"> </w:t>
      </w:r>
      <w:r w:rsidRPr="00A12C7F">
        <w:rPr>
          <w:b w:val="0"/>
          <w:bCs/>
          <w:i/>
        </w:rPr>
        <w:t xml:space="preserve">Leslie </w:t>
      </w:r>
      <w:proofErr w:type="spellStart"/>
      <w:r w:rsidRPr="00A12C7F">
        <w:rPr>
          <w:b w:val="0"/>
          <w:bCs/>
          <w:i/>
        </w:rPr>
        <w:t>Lenert</w:t>
      </w:r>
      <w:proofErr w:type="spellEnd"/>
      <w:r w:rsidRPr="00A12C7F">
        <w:rPr>
          <w:b w:val="0"/>
          <w:bCs/>
          <w:i/>
        </w:rPr>
        <w:t xml:space="preserve">, PI | </w:t>
      </w:r>
      <w:r w:rsidRPr="00A12C7F">
        <w:t xml:space="preserve">Nicklaus Children's Hospital </w:t>
      </w:r>
      <w:r>
        <w:rPr>
          <w:b w:val="0"/>
          <w:bCs/>
          <w:i/>
        </w:rPr>
        <w:t>Sandy</w:t>
      </w:r>
      <w:r w:rsidRPr="00A12C7F">
        <w:rPr>
          <w:b w:val="0"/>
          <w:bCs/>
          <w:i/>
        </w:rPr>
        <w:t xml:space="preserve"> Gonzalez, </w:t>
      </w:r>
      <w:r>
        <w:rPr>
          <w:b w:val="0"/>
          <w:bCs/>
          <w:i/>
        </w:rPr>
        <w:t>PI,</w:t>
      </w:r>
      <w:r w:rsidRPr="00A12C7F">
        <w:rPr>
          <w:b w:val="0"/>
          <w:bCs/>
          <w:i/>
        </w:rPr>
        <w:t xml:space="preserve"> </w:t>
      </w:r>
      <w:r w:rsidRPr="00A12C7F">
        <w:rPr>
          <w:b w:val="0"/>
          <w:bCs/>
        </w:rPr>
        <w:t>Maurice Duque</w:t>
      </w:r>
      <w:r w:rsidRPr="00A12C7F">
        <w:rPr>
          <w:b w:val="0"/>
          <w:bCs/>
          <w:i/>
        </w:rPr>
        <w:t xml:space="preserve"> |</w:t>
      </w:r>
      <w:r w:rsidRPr="00A12C7F">
        <w:rPr>
          <w:b w:val="0"/>
          <w:bCs/>
        </w:rPr>
        <w:t xml:space="preserve"> </w:t>
      </w:r>
      <w:r w:rsidRPr="00A12C7F">
        <w:t xml:space="preserve">New York University Langone Health </w:t>
      </w:r>
      <w:r w:rsidRPr="00A12C7F">
        <w:rPr>
          <w:b w:val="0"/>
          <w:bCs/>
          <w:i/>
        </w:rPr>
        <w:t xml:space="preserve">Saul </w:t>
      </w:r>
      <w:proofErr w:type="spellStart"/>
      <w:r w:rsidRPr="00A12C7F">
        <w:rPr>
          <w:b w:val="0"/>
          <w:bCs/>
          <w:i/>
        </w:rPr>
        <w:t>Blecker</w:t>
      </w:r>
      <w:proofErr w:type="spellEnd"/>
      <w:r w:rsidRPr="00A12C7F">
        <w:rPr>
          <w:b w:val="0"/>
          <w:bCs/>
          <w:i/>
        </w:rPr>
        <w:t xml:space="preserve">, </w:t>
      </w:r>
      <w:r>
        <w:rPr>
          <w:b w:val="0"/>
          <w:bCs/>
          <w:i/>
        </w:rPr>
        <w:t>PI,</w:t>
      </w:r>
      <w:r w:rsidRPr="00A12C7F">
        <w:rPr>
          <w:b w:val="0"/>
          <w:bCs/>
          <w:i/>
        </w:rPr>
        <w:t xml:space="preserve"> </w:t>
      </w:r>
      <w:r w:rsidRPr="00A12C7F">
        <w:rPr>
          <w:b w:val="0"/>
          <w:bCs/>
        </w:rPr>
        <w:t xml:space="preserve">Claudia </w:t>
      </w:r>
      <w:proofErr w:type="spellStart"/>
      <w:r w:rsidRPr="00A12C7F">
        <w:rPr>
          <w:b w:val="0"/>
          <w:bCs/>
        </w:rPr>
        <w:t>Pulgarin</w:t>
      </w:r>
      <w:proofErr w:type="spellEnd"/>
      <w:r w:rsidRPr="00A12C7F">
        <w:rPr>
          <w:b w:val="0"/>
          <w:bCs/>
          <w:i/>
        </w:rPr>
        <w:t xml:space="preserve"> |</w:t>
      </w:r>
      <w:r w:rsidRPr="00A12C7F">
        <w:rPr>
          <w:b w:val="0"/>
          <w:bCs/>
        </w:rPr>
        <w:t xml:space="preserve"> </w:t>
      </w:r>
      <w:r w:rsidRPr="00A12C7F">
        <w:t>OCHIN, Inc.</w:t>
      </w:r>
      <w:r w:rsidRPr="00A12C7F">
        <w:rPr>
          <w:b w:val="0"/>
          <w:bCs/>
        </w:rPr>
        <w:t xml:space="preserve"> </w:t>
      </w:r>
      <w:r w:rsidRPr="00A12C7F">
        <w:rPr>
          <w:b w:val="0"/>
          <w:bCs/>
          <w:i/>
        </w:rPr>
        <w:t>Marion</w:t>
      </w:r>
      <w:r>
        <w:rPr>
          <w:b w:val="0"/>
          <w:bCs/>
          <w:i/>
        </w:rPr>
        <w:t xml:space="preserve"> R.</w:t>
      </w:r>
      <w:r w:rsidRPr="00A12C7F">
        <w:rPr>
          <w:b w:val="0"/>
          <w:bCs/>
          <w:i/>
        </w:rPr>
        <w:t xml:space="preserve"> Sills, PI |</w:t>
      </w:r>
      <w:r w:rsidRPr="00A12C7F">
        <w:rPr>
          <w:b w:val="0"/>
          <w:bCs/>
        </w:rPr>
        <w:t xml:space="preserve"> </w:t>
      </w:r>
      <w:r w:rsidRPr="00A12C7F">
        <w:t>Ochsner Health System</w:t>
      </w:r>
      <w:r w:rsidRPr="00A12C7F">
        <w:rPr>
          <w:b w:val="0"/>
          <w:bCs/>
        </w:rPr>
        <w:t xml:space="preserve"> </w:t>
      </w:r>
      <w:r w:rsidRPr="00A12C7F">
        <w:rPr>
          <w:b w:val="0"/>
          <w:bCs/>
          <w:i/>
          <w:iCs/>
        </w:rPr>
        <w:t>Dan</w:t>
      </w:r>
      <w:r>
        <w:rPr>
          <w:b w:val="0"/>
          <w:bCs/>
          <w:i/>
          <w:iCs/>
        </w:rPr>
        <w:t>iel</w:t>
      </w:r>
      <w:r w:rsidRPr="00A12C7F">
        <w:rPr>
          <w:b w:val="0"/>
          <w:bCs/>
          <w:i/>
          <w:iCs/>
        </w:rPr>
        <w:t xml:space="preserve"> Fort, PI</w:t>
      </w:r>
      <w:r w:rsidRPr="00A12C7F">
        <w:rPr>
          <w:b w:val="0"/>
          <w:bCs/>
          <w:i/>
        </w:rPr>
        <w:t xml:space="preserve"> |</w:t>
      </w:r>
      <w:r w:rsidRPr="00A12C7F">
        <w:rPr>
          <w:b w:val="0"/>
          <w:bCs/>
        </w:rPr>
        <w:t xml:space="preserve"> </w:t>
      </w:r>
      <w:r w:rsidRPr="00A12C7F">
        <w:t xml:space="preserve">Penn State U College of Medicine </w:t>
      </w:r>
      <w:r w:rsidRPr="00A12C7F">
        <w:rPr>
          <w:b w:val="0"/>
          <w:bCs/>
          <w:i/>
        </w:rPr>
        <w:t xml:space="preserve">Cynthia </w:t>
      </w:r>
      <w:r>
        <w:rPr>
          <w:b w:val="0"/>
          <w:bCs/>
          <w:i/>
        </w:rPr>
        <w:t xml:space="preserve">H. </w:t>
      </w:r>
      <w:r w:rsidRPr="00A12C7F">
        <w:rPr>
          <w:b w:val="0"/>
          <w:bCs/>
          <w:i/>
        </w:rPr>
        <w:t xml:space="preserve">Chuang, </w:t>
      </w:r>
      <w:r>
        <w:rPr>
          <w:b w:val="0"/>
          <w:bCs/>
          <w:i/>
        </w:rPr>
        <w:t>PI,</w:t>
      </w:r>
      <w:r w:rsidRPr="00A12C7F">
        <w:rPr>
          <w:b w:val="0"/>
          <w:bCs/>
          <w:i/>
        </w:rPr>
        <w:t xml:space="preserve"> </w:t>
      </w:r>
      <w:proofErr w:type="spellStart"/>
      <w:r w:rsidRPr="00A12C7F">
        <w:rPr>
          <w:b w:val="0"/>
          <w:bCs/>
        </w:rPr>
        <w:t>Wenke</w:t>
      </w:r>
      <w:proofErr w:type="spellEnd"/>
      <w:r w:rsidRPr="00A12C7F">
        <w:rPr>
          <w:b w:val="0"/>
          <w:bCs/>
        </w:rPr>
        <w:t xml:space="preserve"> Hwang</w:t>
      </w:r>
      <w:r w:rsidRPr="00A12C7F">
        <w:rPr>
          <w:b w:val="0"/>
          <w:bCs/>
          <w:i/>
        </w:rPr>
        <w:t xml:space="preserve"> |</w:t>
      </w:r>
      <w:r w:rsidRPr="00A12C7F">
        <w:rPr>
          <w:b w:val="0"/>
          <w:bCs/>
        </w:rPr>
        <w:t xml:space="preserve"> </w:t>
      </w:r>
      <w:r w:rsidRPr="00A12C7F">
        <w:t>Temple University</w:t>
      </w:r>
      <w:r w:rsidRPr="00A12C7F">
        <w:rPr>
          <w:b w:val="0"/>
          <w:bCs/>
        </w:rPr>
        <w:t xml:space="preserve"> Aaron Mishkin</w:t>
      </w:r>
      <w:r w:rsidRPr="00A12C7F">
        <w:rPr>
          <w:b w:val="0"/>
          <w:bCs/>
          <w:i/>
        </w:rPr>
        <w:t xml:space="preserve"> |</w:t>
      </w:r>
      <w:r w:rsidRPr="00A12C7F">
        <w:rPr>
          <w:b w:val="0"/>
          <w:bCs/>
        </w:rPr>
        <w:t xml:space="preserve"> </w:t>
      </w:r>
      <w:r w:rsidRPr="00A12C7F">
        <w:t>The Ohio State University</w:t>
      </w:r>
      <w:r w:rsidRPr="00A12C7F">
        <w:rPr>
          <w:b w:val="0"/>
          <w:bCs/>
        </w:rPr>
        <w:t xml:space="preserve"> </w:t>
      </w:r>
      <w:r w:rsidRPr="00A12C7F">
        <w:rPr>
          <w:b w:val="0"/>
          <w:bCs/>
          <w:i/>
        </w:rPr>
        <w:t xml:space="preserve">Soledad </w:t>
      </w:r>
      <w:r>
        <w:rPr>
          <w:b w:val="0"/>
          <w:bCs/>
          <w:i/>
        </w:rPr>
        <w:t xml:space="preserve">A. </w:t>
      </w:r>
      <w:r w:rsidRPr="00A12C7F">
        <w:rPr>
          <w:b w:val="0"/>
          <w:bCs/>
          <w:i/>
        </w:rPr>
        <w:t xml:space="preserve">Fernandez, </w:t>
      </w:r>
      <w:r>
        <w:rPr>
          <w:b w:val="0"/>
          <w:bCs/>
          <w:i/>
        </w:rPr>
        <w:t>PI,</w:t>
      </w:r>
      <w:r w:rsidRPr="00A12C7F">
        <w:rPr>
          <w:b w:val="0"/>
          <w:bCs/>
          <w:i/>
        </w:rPr>
        <w:t xml:space="preserve"> </w:t>
      </w:r>
      <w:r w:rsidRPr="00A12C7F">
        <w:rPr>
          <w:b w:val="0"/>
          <w:bCs/>
        </w:rPr>
        <w:t xml:space="preserve">Neena </w:t>
      </w:r>
      <w:r>
        <w:rPr>
          <w:b w:val="0"/>
          <w:bCs/>
        </w:rPr>
        <w:t xml:space="preserve">Anne </w:t>
      </w:r>
      <w:r w:rsidRPr="00A12C7F">
        <w:rPr>
          <w:b w:val="0"/>
          <w:bCs/>
        </w:rPr>
        <w:t>Thomas</w:t>
      </w:r>
      <w:r w:rsidRPr="00A12C7F">
        <w:rPr>
          <w:b w:val="0"/>
          <w:bCs/>
          <w:i/>
        </w:rPr>
        <w:t xml:space="preserve"> |</w:t>
      </w:r>
      <w:r w:rsidRPr="00A12C7F">
        <w:rPr>
          <w:b w:val="0"/>
          <w:bCs/>
        </w:rPr>
        <w:t xml:space="preserve"> </w:t>
      </w:r>
      <w:r w:rsidRPr="00A12C7F">
        <w:t>University Medical Center New Orleans</w:t>
      </w:r>
      <w:r w:rsidRPr="00A12C7F">
        <w:rPr>
          <w:b w:val="0"/>
          <w:bCs/>
        </w:rPr>
        <w:t xml:space="preserve"> </w:t>
      </w:r>
      <w:proofErr w:type="spellStart"/>
      <w:r w:rsidRPr="00A12C7F">
        <w:rPr>
          <w:b w:val="0"/>
          <w:bCs/>
          <w:i/>
        </w:rPr>
        <w:t>Yuriy</w:t>
      </w:r>
      <w:proofErr w:type="spellEnd"/>
      <w:r w:rsidRPr="00A12C7F">
        <w:rPr>
          <w:b w:val="0"/>
          <w:bCs/>
          <w:i/>
        </w:rPr>
        <w:t xml:space="preserve"> </w:t>
      </w:r>
      <w:proofErr w:type="spellStart"/>
      <w:r w:rsidRPr="00A12C7F">
        <w:rPr>
          <w:b w:val="0"/>
          <w:bCs/>
          <w:i/>
        </w:rPr>
        <w:t>Bisyuk</w:t>
      </w:r>
      <w:proofErr w:type="spellEnd"/>
      <w:r w:rsidRPr="00A12C7F">
        <w:rPr>
          <w:b w:val="0"/>
          <w:bCs/>
          <w:i/>
        </w:rPr>
        <w:t>, PI |</w:t>
      </w:r>
      <w:r w:rsidRPr="00A12C7F">
        <w:rPr>
          <w:b w:val="0"/>
          <w:bCs/>
        </w:rPr>
        <w:t xml:space="preserve"> </w:t>
      </w:r>
      <w:r w:rsidRPr="00A12C7F">
        <w:t>University of California San Francisco</w:t>
      </w:r>
      <w:r w:rsidRPr="00A12C7F">
        <w:rPr>
          <w:b w:val="0"/>
          <w:bCs/>
        </w:rPr>
        <w:t xml:space="preserve"> </w:t>
      </w:r>
      <w:r w:rsidRPr="00A12C7F">
        <w:rPr>
          <w:b w:val="0"/>
          <w:bCs/>
          <w:i/>
        </w:rPr>
        <w:t xml:space="preserve">Susan Kim, </w:t>
      </w:r>
      <w:r>
        <w:rPr>
          <w:b w:val="0"/>
          <w:bCs/>
          <w:i/>
        </w:rPr>
        <w:t>PI,</w:t>
      </w:r>
      <w:r w:rsidRPr="00A12C7F">
        <w:rPr>
          <w:b w:val="0"/>
          <w:bCs/>
          <w:i/>
        </w:rPr>
        <w:t xml:space="preserve"> </w:t>
      </w:r>
      <w:r w:rsidRPr="00A12C7F">
        <w:rPr>
          <w:b w:val="0"/>
          <w:bCs/>
        </w:rPr>
        <w:t>Mark Pletcher</w:t>
      </w:r>
      <w:r w:rsidRPr="00A12C7F">
        <w:rPr>
          <w:b w:val="0"/>
          <w:bCs/>
          <w:i/>
        </w:rPr>
        <w:t xml:space="preserve"> |</w:t>
      </w:r>
      <w:r w:rsidRPr="00A12C7F">
        <w:rPr>
          <w:b w:val="0"/>
          <w:bCs/>
        </w:rPr>
        <w:t xml:space="preserve"> </w:t>
      </w:r>
      <w:r w:rsidRPr="00A12C7F">
        <w:t>University of Florida</w:t>
      </w:r>
      <w:r w:rsidRPr="00A12C7F">
        <w:rPr>
          <w:b w:val="0"/>
          <w:bCs/>
        </w:rPr>
        <w:t xml:space="preserve"> </w:t>
      </w:r>
      <w:r w:rsidRPr="00A12C7F">
        <w:rPr>
          <w:b w:val="0"/>
          <w:bCs/>
          <w:i/>
        </w:rPr>
        <w:t>Mei L</w:t>
      </w:r>
      <w:r>
        <w:rPr>
          <w:b w:val="0"/>
          <w:bCs/>
          <w:i/>
        </w:rPr>
        <w:t>iu</w:t>
      </w:r>
      <w:r w:rsidRPr="00A12C7F">
        <w:rPr>
          <w:b w:val="0"/>
          <w:bCs/>
          <w:i/>
        </w:rPr>
        <w:t xml:space="preserve">, </w:t>
      </w:r>
      <w:r>
        <w:rPr>
          <w:b w:val="0"/>
          <w:bCs/>
          <w:i/>
        </w:rPr>
        <w:t>PI,</w:t>
      </w:r>
      <w:r w:rsidRPr="00A12C7F">
        <w:rPr>
          <w:b w:val="0"/>
          <w:bCs/>
          <w:i/>
        </w:rPr>
        <w:t xml:space="preserve"> </w:t>
      </w:r>
      <w:r w:rsidRPr="00A12C7F">
        <w:rPr>
          <w:b w:val="0"/>
          <w:bCs/>
        </w:rPr>
        <w:t>Jiang Bian</w:t>
      </w:r>
      <w:r w:rsidRPr="00A12C7F">
        <w:rPr>
          <w:b w:val="0"/>
          <w:bCs/>
          <w:i/>
        </w:rPr>
        <w:t xml:space="preserve"> |</w:t>
      </w:r>
      <w:r w:rsidRPr="00A12C7F">
        <w:rPr>
          <w:b w:val="0"/>
          <w:bCs/>
        </w:rPr>
        <w:t xml:space="preserve"> </w:t>
      </w:r>
      <w:r w:rsidRPr="00A12C7F">
        <w:t>University of Iowa</w:t>
      </w:r>
      <w:r w:rsidRPr="00A12C7F">
        <w:rPr>
          <w:b w:val="0"/>
          <w:bCs/>
        </w:rPr>
        <w:t xml:space="preserve"> </w:t>
      </w:r>
      <w:r w:rsidRPr="00A12C7F">
        <w:rPr>
          <w:b w:val="0"/>
          <w:bCs/>
          <w:i/>
        </w:rPr>
        <w:t xml:space="preserve">Elizabeth </w:t>
      </w:r>
      <w:r>
        <w:rPr>
          <w:b w:val="0"/>
          <w:bCs/>
          <w:i/>
        </w:rPr>
        <w:t xml:space="preserve">A. </w:t>
      </w:r>
      <w:proofErr w:type="spellStart"/>
      <w:r w:rsidRPr="00A12C7F">
        <w:rPr>
          <w:b w:val="0"/>
          <w:bCs/>
          <w:i/>
        </w:rPr>
        <w:t>Chrischilles</w:t>
      </w:r>
      <w:proofErr w:type="spellEnd"/>
      <w:r w:rsidRPr="00A12C7F">
        <w:rPr>
          <w:b w:val="0"/>
          <w:bCs/>
          <w:i/>
        </w:rPr>
        <w:t xml:space="preserve">, </w:t>
      </w:r>
      <w:r>
        <w:rPr>
          <w:b w:val="0"/>
          <w:bCs/>
          <w:i/>
        </w:rPr>
        <w:t>PI,</w:t>
      </w:r>
      <w:r w:rsidRPr="00A12C7F">
        <w:rPr>
          <w:b w:val="0"/>
          <w:bCs/>
          <w:i/>
        </w:rPr>
        <w:t xml:space="preserve"> </w:t>
      </w:r>
      <w:r w:rsidRPr="00A12C7F">
        <w:rPr>
          <w:b w:val="0"/>
          <w:bCs/>
        </w:rPr>
        <w:t xml:space="preserve">Boyd </w:t>
      </w:r>
      <w:proofErr w:type="spellStart"/>
      <w:r w:rsidRPr="00A12C7F">
        <w:rPr>
          <w:b w:val="0"/>
          <w:bCs/>
        </w:rPr>
        <w:t>Knosp</w:t>
      </w:r>
      <w:proofErr w:type="spellEnd"/>
      <w:r w:rsidRPr="00A12C7F">
        <w:rPr>
          <w:b w:val="0"/>
          <w:bCs/>
          <w:i/>
        </w:rPr>
        <w:t xml:space="preserve"> |</w:t>
      </w:r>
      <w:r w:rsidRPr="00A12C7F">
        <w:rPr>
          <w:b w:val="0"/>
          <w:bCs/>
        </w:rPr>
        <w:t xml:space="preserve"> </w:t>
      </w:r>
      <w:r w:rsidRPr="00A12C7F">
        <w:t>University of Miami</w:t>
      </w:r>
      <w:r w:rsidRPr="00A12C7F">
        <w:rPr>
          <w:b w:val="0"/>
          <w:bCs/>
        </w:rPr>
        <w:t xml:space="preserve"> </w:t>
      </w:r>
      <w:r w:rsidRPr="00A12C7F">
        <w:rPr>
          <w:b w:val="0"/>
          <w:bCs/>
          <w:i/>
        </w:rPr>
        <w:t xml:space="preserve">Nick </w:t>
      </w:r>
      <w:proofErr w:type="spellStart"/>
      <w:r w:rsidRPr="00A12C7F">
        <w:rPr>
          <w:b w:val="0"/>
          <w:bCs/>
          <w:i/>
        </w:rPr>
        <w:t>Tsinoremas</w:t>
      </w:r>
      <w:proofErr w:type="spellEnd"/>
      <w:r w:rsidRPr="00A12C7F">
        <w:rPr>
          <w:b w:val="0"/>
          <w:bCs/>
          <w:i/>
        </w:rPr>
        <w:t>, PI |</w:t>
      </w:r>
      <w:r w:rsidRPr="00A12C7F">
        <w:rPr>
          <w:b w:val="0"/>
          <w:bCs/>
        </w:rPr>
        <w:t xml:space="preserve"> </w:t>
      </w:r>
      <w:r w:rsidRPr="00A12C7F">
        <w:t>University of Michigan</w:t>
      </w:r>
      <w:r w:rsidRPr="00A12C7F">
        <w:rPr>
          <w:b w:val="0"/>
          <w:bCs/>
        </w:rPr>
        <w:t xml:space="preserve"> </w:t>
      </w:r>
      <w:r w:rsidRPr="00A12C7F">
        <w:rPr>
          <w:b w:val="0"/>
          <w:bCs/>
          <w:i/>
        </w:rPr>
        <w:t xml:space="preserve">David </w:t>
      </w:r>
      <w:r>
        <w:rPr>
          <w:b w:val="0"/>
          <w:bCs/>
          <w:i/>
        </w:rPr>
        <w:t xml:space="preserve">A. </w:t>
      </w:r>
      <w:r w:rsidRPr="00A12C7F">
        <w:rPr>
          <w:b w:val="0"/>
          <w:bCs/>
          <w:i/>
        </w:rPr>
        <w:t>Williams, PI |</w:t>
      </w:r>
      <w:r w:rsidRPr="00A12C7F">
        <w:rPr>
          <w:b w:val="0"/>
          <w:bCs/>
        </w:rPr>
        <w:t xml:space="preserve"> </w:t>
      </w:r>
      <w:r w:rsidRPr="00A12C7F">
        <w:t xml:space="preserve">University of Missouri School of Medicine </w:t>
      </w:r>
      <w:r w:rsidRPr="00A12C7F">
        <w:rPr>
          <w:b w:val="0"/>
          <w:bCs/>
          <w:i/>
        </w:rPr>
        <w:t xml:space="preserve">Abu </w:t>
      </w:r>
      <w:r>
        <w:rPr>
          <w:b w:val="0"/>
          <w:bCs/>
          <w:i/>
        </w:rPr>
        <w:t xml:space="preserve">Saleh Mohammad </w:t>
      </w:r>
      <w:proofErr w:type="spellStart"/>
      <w:r w:rsidRPr="00A12C7F">
        <w:rPr>
          <w:b w:val="0"/>
          <w:bCs/>
          <w:i/>
        </w:rPr>
        <w:t>Mosa</w:t>
      </w:r>
      <w:proofErr w:type="spellEnd"/>
      <w:r w:rsidRPr="00A12C7F">
        <w:rPr>
          <w:b w:val="0"/>
          <w:bCs/>
          <w:i/>
        </w:rPr>
        <w:t xml:space="preserve">, </w:t>
      </w:r>
      <w:r>
        <w:rPr>
          <w:b w:val="0"/>
          <w:bCs/>
          <w:i/>
        </w:rPr>
        <w:t>PI,</w:t>
      </w:r>
      <w:r w:rsidRPr="00A12C7F">
        <w:rPr>
          <w:b w:val="0"/>
          <w:bCs/>
          <w:i/>
        </w:rPr>
        <w:t xml:space="preserve"> </w:t>
      </w:r>
      <w:r w:rsidRPr="00A12C7F">
        <w:rPr>
          <w:b w:val="0"/>
          <w:bCs/>
        </w:rPr>
        <w:t>Xing Song</w:t>
      </w:r>
      <w:r w:rsidRPr="00A12C7F">
        <w:rPr>
          <w:b w:val="0"/>
          <w:bCs/>
          <w:i/>
        </w:rPr>
        <w:t xml:space="preserve"> |</w:t>
      </w:r>
      <w:r w:rsidRPr="00A12C7F">
        <w:rPr>
          <w:b w:val="0"/>
          <w:bCs/>
        </w:rPr>
        <w:t xml:space="preserve"> </w:t>
      </w:r>
      <w:r w:rsidRPr="00A12C7F">
        <w:t xml:space="preserve">University of Nebraska Medical Center </w:t>
      </w:r>
      <w:r>
        <w:t xml:space="preserve">A. </w:t>
      </w:r>
      <w:r w:rsidRPr="00A12C7F">
        <w:rPr>
          <w:b w:val="0"/>
          <w:bCs/>
        </w:rPr>
        <w:t>Jerrod Anzalone</w:t>
      </w:r>
      <w:r w:rsidRPr="00A12C7F">
        <w:rPr>
          <w:b w:val="0"/>
          <w:bCs/>
          <w:i/>
        </w:rPr>
        <w:t xml:space="preserve"> |</w:t>
      </w:r>
      <w:r w:rsidRPr="00A12C7F">
        <w:rPr>
          <w:b w:val="0"/>
          <w:bCs/>
        </w:rPr>
        <w:t xml:space="preserve"> </w:t>
      </w:r>
      <w:r w:rsidRPr="00A12C7F">
        <w:t>University of Pittsburgh</w:t>
      </w:r>
      <w:r w:rsidRPr="00A12C7F">
        <w:rPr>
          <w:b w:val="0"/>
          <w:bCs/>
        </w:rPr>
        <w:t xml:space="preserve"> </w:t>
      </w:r>
      <w:r w:rsidRPr="00A12C7F">
        <w:rPr>
          <w:b w:val="0"/>
          <w:bCs/>
          <w:i/>
        </w:rPr>
        <w:t xml:space="preserve">Jonathan Arnold, </w:t>
      </w:r>
      <w:r>
        <w:rPr>
          <w:b w:val="0"/>
          <w:bCs/>
          <w:i/>
        </w:rPr>
        <w:t>PI,</w:t>
      </w:r>
      <w:r w:rsidRPr="00A12C7F">
        <w:rPr>
          <w:b w:val="0"/>
          <w:bCs/>
          <w:i/>
        </w:rPr>
        <w:t xml:space="preserve"> Michael </w:t>
      </w:r>
      <w:r>
        <w:rPr>
          <w:b w:val="0"/>
          <w:bCs/>
          <w:i/>
        </w:rPr>
        <w:t xml:space="preserve">J. </w:t>
      </w:r>
      <w:proofErr w:type="spellStart"/>
      <w:r w:rsidRPr="00A12C7F">
        <w:rPr>
          <w:b w:val="0"/>
          <w:bCs/>
          <w:i/>
        </w:rPr>
        <w:t>Becich</w:t>
      </w:r>
      <w:proofErr w:type="spellEnd"/>
      <w:r w:rsidRPr="00A12C7F">
        <w:rPr>
          <w:b w:val="0"/>
          <w:bCs/>
          <w:i/>
        </w:rPr>
        <w:t xml:space="preserve">, </w:t>
      </w:r>
      <w:r>
        <w:rPr>
          <w:b w:val="0"/>
          <w:bCs/>
          <w:i/>
        </w:rPr>
        <w:t>PI,</w:t>
      </w:r>
      <w:r w:rsidRPr="00A12C7F">
        <w:rPr>
          <w:b w:val="0"/>
          <w:bCs/>
          <w:i/>
        </w:rPr>
        <w:t xml:space="preserve"> </w:t>
      </w:r>
      <w:r w:rsidRPr="00A12C7F">
        <w:rPr>
          <w:b w:val="0"/>
          <w:bCs/>
        </w:rPr>
        <w:t>Nickie Cappella</w:t>
      </w:r>
      <w:r>
        <w:rPr>
          <w:b w:val="0"/>
          <w:bCs/>
        </w:rPr>
        <w:t>,</w:t>
      </w:r>
      <w:r w:rsidRPr="00A12C7F">
        <w:rPr>
          <w:b w:val="0"/>
          <w:bCs/>
        </w:rPr>
        <w:t xml:space="preserve"> Richard Morgan</w:t>
      </w:r>
      <w:r w:rsidRPr="00A12C7F">
        <w:rPr>
          <w:b w:val="0"/>
          <w:bCs/>
          <w:i/>
        </w:rPr>
        <w:t xml:space="preserve"> |</w:t>
      </w:r>
      <w:r w:rsidRPr="00A12C7F">
        <w:rPr>
          <w:b w:val="0"/>
          <w:bCs/>
        </w:rPr>
        <w:t xml:space="preserve"> </w:t>
      </w:r>
      <w:r w:rsidRPr="00A12C7F">
        <w:t>University of South Florida</w:t>
      </w:r>
      <w:r w:rsidRPr="00A12C7F">
        <w:rPr>
          <w:b w:val="0"/>
          <w:bCs/>
        </w:rPr>
        <w:t xml:space="preserve"> </w:t>
      </w:r>
      <w:r w:rsidRPr="00A12C7F">
        <w:rPr>
          <w:b w:val="0"/>
          <w:bCs/>
          <w:i/>
        </w:rPr>
        <w:t xml:space="preserve">Asa </w:t>
      </w:r>
      <w:proofErr w:type="spellStart"/>
      <w:r w:rsidRPr="00A12C7F">
        <w:rPr>
          <w:b w:val="0"/>
          <w:bCs/>
          <w:i/>
        </w:rPr>
        <w:t>Oxner</w:t>
      </w:r>
      <w:proofErr w:type="spellEnd"/>
      <w:r w:rsidRPr="00A12C7F">
        <w:rPr>
          <w:b w:val="0"/>
          <w:bCs/>
          <w:i/>
        </w:rPr>
        <w:t xml:space="preserve">, </w:t>
      </w:r>
      <w:r>
        <w:rPr>
          <w:b w:val="0"/>
          <w:bCs/>
          <w:i/>
        </w:rPr>
        <w:t>PI,</w:t>
      </w:r>
      <w:r w:rsidRPr="00A12C7F">
        <w:rPr>
          <w:b w:val="0"/>
          <w:bCs/>
          <w:i/>
        </w:rPr>
        <w:t xml:space="preserve"> </w:t>
      </w:r>
      <w:r w:rsidRPr="00A12C7F">
        <w:rPr>
          <w:b w:val="0"/>
          <w:bCs/>
        </w:rPr>
        <w:t xml:space="preserve">Athanasios </w:t>
      </w:r>
      <w:proofErr w:type="spellStart"/>
      <w:r w:rsidRPr="00A12C7F">
        <w:rPr>
          <w:b w:val="0"/>
          <w:bCs/>
        </w:rPr>
        <w:t>Tsalatsanis</w:t>
      </w:r>
      <w:proofErr w:type="spellEnd"/>
      <w:r w:rsidRPr="00A12C7F">
        <w:rPr>
          <w:b w:val="0"/>
          <w:bCs/>
          <w:i/>
        </w:rPr>
        <w:t xml:space="preserve"> |</w:t>
      </w:r>
      <w:r w:rsidRPr="00A12C7F">
        <w:rPr>
          <w:b w:val="0"/>
          <w:bCs/>
        </w:rPr>
        <w:t xml:space="preserve"> </w:t>
      </w:r>
      <w:r w:rsidRPr="00A12C7F">
        <w:t>University of Texas Southwestern Medical Center</w:t>
      </w:r>
      <w:r w:rsidRPr="00A12C7F">
        <w:rPr>
          <w:b w:val="0"/>
          <w:bCs/>
        </w:rPr>
        <w:t xml:space="preserve"> </w:t>
      </w:r>
      <w:r w:rsidRPr="00A12C7F">
        <w:rPr>
          <w:b w:val="0"/>
          <w:bCs/>
          <w:i/>
          <w:iCs/>
        </w:rPr>
        <w:t xml:space="preserve">Lindsay Cowell, </w:t>
      </w:r>
      <w:r>
        <w:rPr>
          <w:b w:val="0"/>
          <w:bCs/>
          <w:i/>
          <w:iCs/>
        </w:rPr>
        <w:t>PI,</w:t>
      </w:r>
      <w:r w:rsidRPr="00A12C7F">
        <w:rPr>
          <w:b w:val="0"/>
          <w:bCs/>
          <w:i/>
          <w:iCs/>
        </w:rPr>
        <w:t xml:space="preserve"> </w:t>
      </w:r>
      <w:r w:rsidRPr="00A12C7F">
        <w:rPr>
          <w:b w:val="0"/>
          <w:bCs/>
        </w:rPr>
        <w:t>Phillip Reeder</w:t>
      </w:r>
      <w:r w:rsidRPr="00A12C7F">
        <w:rPr>
          <w:b w:val="0"/>
          <w:bCs/>
          <w:i/>
        </w:rPr>
        <w:t xml:space="preserve"> |</w:t>
      </w:r>
      <w:r w:rsidRPr="00A12C7F">
        <w:rPr>
          <w:b w:val="0"/>
          <w:bCs/>
        </w:rPr>
        <w:t xml:space="preserve"> </w:t>
      </w:r>
      <w:r w:rsidRPr="00A12C7F">
        <w:t>University of Utah</w:t>
      </w:r>
      <w:r w:rsidRPr="00A12C7F">
        <w:rPr>
          <w:b w:val="0"/>
          <w:bCs/>
        </w:rPr>
        <w:t xml:space="preserve"> </w:t>
      </w:r>
      <w:r w:rsidRPr="00A12C7F">
        <w:rPr>
          <w:b w:val="0"/>
          <w:bCs/>
          <w:i/>
          <w:iCs/>
        </w:rPr>
        <w:t xml:space="preserve">Mollie </w:t>
      </w:r>
      <w:r>
        <w:rPr>
          <w:b w:val="0"/>
          <w:bCs/>
          <w:i/>
          <w:iCs/>
        </w:rPr>
        <w:t xml:space="preserve">R. </w:t>
      </w:r>
      <w:r w:rsidRPr="00A12C7F">
        <w:rPr>
          <w:b w:val="0"/>
          <w:bCs/>
          <w:i/>
          <w:iCs/>
        </w:rPr>
        <w:t xml:space="preserve">Cummins, </w:t>
      </w:r>
      <w:r>
        <w:rPr>
          <w:b w:val="0"/>
          <w:bCs/>
          <w:i/>
          <w:iCs/>
        </w:rPr>
        <w:t>PI,</w:t>
      </w:r>
      <w:r w:rsidRPr="00A12C7F">
        <w:rPr>
          <w:b w:val="0"/>
          <w:bCs/>
          <w:i/>
          <w:iCs/>
        </w:rPr>
        <w:t xml:space="preserve"> </w:t>
      </w:r>
      <w:r w:rsidRPr="00A12C7F">
        <w:rPr>
          <w:b w:val="0"/>
          <w:bCs/>
        </w:rPr>
        <w:t xml:space="preserve">Ram </w:t>
      </w:r>
      <w:proofErr w:type="spellStart"/>
      <w:r w:rsidRPr="00A12C7F">
        <w:rPr>
          <w:b w:val="0"/>
          <w:bCs/>
        </w:rPr>
        <w:t>Gouripeddi</w:t>
      </w:r>
      <w:proofErr w:type="spellEnd"/>
      <w:r w:rsidRPr="00A12C7F">
        <w:rPr>
          <w:b w:val="0"/>
          <w:bCs/>
          <w:i/>
        </w:rPr>
        <w:t xml:space="preserve"> |</w:t>
      </w:r>
      <w:r w:rsidRPr="00A12C7F">
        <w:rPr>
          <w:b w:val="0"/>
          <w:bCs/>
        </w:rPr>
        <w:t xml:space="preserve"> </w:t>
      </w:r>
      <w:r w:rsidRPr="00A12C7F">
        <w:t>Vanderbilt University Medical Center</w:t>
      </w:r>
      <w:r w:rsidRPr="00A12C7F">
        <w:rPr>
          <w:b w:val="0"/>
          <w:bCs/>
        </w:rPr>
        <w:t xml:space="preserve"> </w:t>
      </w:r>
      <w:r w:rsidRPr="00A12C7F">
        <w:rPr>
          <w:b w:val="0"/>
          <w:bCs/>
          <w:i/>
        </w:rPr>
        <w:t xml:space="preserve">Yacob </w:t>
      </w:r>
      <w:proofErr w:type="spellStart"/>
      <w:r w:rsidRPr="00A12C7F">
        <w:rPr>
          <w:b w:val="0"/>
          <w:bCs/>
          <w:i/>
        </w:rPr>
        <w:t>Tedla</w:t>
      </w:r>
      <w:proofErr w:type="spellEnd"/>
      <w:r w:rsidRPr="00A12C7F">
        <w:rPr>
          <w:b w:val="0"/>
          <w:bCs/>
          <w:i/>
        </w:rPr>
        <w:t xml:space="preserve">, </w:t>
      </w:r>
      <w:r>
        <w:rPr>
          <w:b w:val="0"/>
          <w:bCs/>
          <w:i/>
        </w:rPr>
        <w:t>PI,</w:t>
      </w:r>
      <w:r w:rsidRPr="00A12C7F">
        <w:rPr>
          <w:b w:val="0"/>
          <w:bCs/>
          <w:i/>
        </w:rPr>
        <w:t xml:space="preserve"> </w:t>
      </w:r>
      <w:r w:rsidRPr="00A12C7F">
        <w:rPr>
          <w:b w:val="0"/>
          <w:bCs/>
        </w:rPr>
        <w:t>Wei-Qi Wei</w:t>
      </w:r>
      <w:r w:rsidRPr="00A12C7F">
        <w:rPr>
          <w:b w:val="0"/>
          <w:bCs/>
          <w:i/>
        </w:rPr>
        <w:t xml:space="preserve"> |</w:t>
      </w:r>
      <w:r w:rsidRPr="00A12C7F">
        <w:rPr>
          <w:b w:val="0"/>
          <w:bCs/>
        </w:rPr>
        <w:t xml:space="preserve"> </w:t>
      </w:r>
      <w:r w:rsidRPr="00A12C7F">
        <w:t>Weill Cornell Medicine</w:t>
      </w:r>
      <w:r w:rsidRPr="00A12C7F">
        <w:rPr>
          <w:b w:val="0"/>
          <w:bCs/>
        </w:rPr>
        <w:t xml:space="preserve"> </w:t>
      </w:r>
      <w:proofErr w:type="spellStart"/>
      <w:r w:rsidRPr="00A12C7F">
        <w:rPr>
          <w:b w:val="0"/>
          <w:bCs/>
          <w:i/>
        </w:rPr>
        <w:t>Rainu</w:t>
      </w:r>
      <w:proofErr w:type="spellEnd"/>
      <w:r w:rsidRPr="00A12C7F">
        <w:rPr>
          <w:b w:val="0"/>
          <w:bCs/>
          <w:i/>
        </w:rPr>
        <w:t xml:space="preserve"> Kaushal, </w:t>
      </w:r>
      <w:r>
        <w:rPr>
          <w:b w:val="0"/>
          <w:bCs/>
          <w:i/>
        </w:rPr>
        <w:t>PI,</w:t>
      </w:r>
      <w:r w:rsidRPr="00A12C7F">
        <w:rPr>
          <w:b w:val="0"/>
          <w:bCs/>
          <w:i/>
        </w:rPr>
        <w:t xml:space="preserve"> </w:t>
      </w:r>
      <w:r w:rsidRPr="00A12C7F">
        <w:rPr>
          <w:b w:val="0"/>
          <w:bCs/>
        </w:rPr>
        <w:t>Thomas Campion</w:t>
      </w:r>
    </w:p>
    <w:p w14:paraId="2CDFF3F9" w14:textId="77777777" w:rsidR="003A6E0C" w:rsidRDefault="003A6E0C" w:rsidP="003A6E0C">
      <w:pPr>
        <w:jc w:val="both"/>
        <w:rPr>
          <w:rFonts w:ascii="Times New Roman" w:hAnsi="Times New Roman" w:cs="Times New Roman"/>
          <w:sz w:val="24"/>
          <w:szCs w:val="24"/>
        </w:rPr>
      </w:pPr>
    </w:p>
    <w:p w14:paraId="163BF04C" w14:textId="77777777" w:rsidR="003A6E0C" w:rsidRPr="00206FD3" w:rsidRDefault="003A6E0C" w:rsidP="00206FD3">
      <w:pPr>
        <w:rPr>
          <w:rFonts w:ascii="Times New Roman" w:hAnsi="Times New Roman" w:cs="Times New Roman"/>
          <w:sz w:val="24"/>
          <w:szCs w:val="24"/>
        </w:rPr>
      </w:pPr>
    </w:p>
    <w:p w14:paraId="2CA4F25F" w14:textId="77777777" w:rsidR="00547F1B" w:rsidRDefault="00547F1B">
      <w:pPr>
        <w:rPr>
          <w:rFonts w:ascii="Times New Roman" w:eastAsiaTheme="majorEastAsia" w:hAnsi="Times New Roman" w:cs="Times New Roman"/>
          <w:b/>
          <w:bCs/>
          <w:color w:val="000000" w:themeColor="text1"/>
          <w:sz w:val="28"/>
          <w:szCs w:val="28"/>
        </w:rPr>
      </w:pPr>
      <w:r>
        <w:rPr>
          <w:rFonts w:ascii="Times New Roman" w:hAnsi="Times New Roman" w:cs="Times New Roman"/>
          <w:b/>
          <w:bCs/>
          <w:color w:val="000000" w:themeColor="text1"/>
          <w:sz w:val="28"/>
          <w:szCs w:val="28"/>
        </w:rPr>
        <w:br w:type="page"/>
      </w:r>
    </w:p>
    <w:p w14:paraId="6D1E10EC" w14:textId="0BFE0F7D" w:rsidR="00FC5993" w:rsidRPr="00E2702B" w:rsidRDefault="00856C6E" w:rsidP="00547F1B">
      <w:pPr>
        <w:pStyle w:val="Heading1"/>
        <w:spacing w:line="480" w:lineRule="auto"/>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lastRenderedPageBreak/>
        <w:t xml:space="preserve">The </w:t>
      </w:r>
      <w:proofErr w:type="spellStart"/>
      <w:r w:rsidRPr="00E2702B">
        <w:rPr>
          <w:rFonts w:ascii="Times New Roman" w:hAnsi="Times New Roman" w:cs="Times New Roman"/>
          <w:b/>
          <w:bCs/>
          <w:color w:val="000000" w:themeColor="text1"/>
          <w:sz w:val="28"/>
          <w:szCs w:val="28"/>
        </w:rPr>
        <w:t>PCORNet</w:t>
      </w:r>
      <w:proofErr w:type="spellEnd"/>
      <w:r w:rsidRPr="00E2702B">
        <w:rPr>
          <w:rFonts w:ascii="Times New Roman" w:hAnsi="Times New Roman" w:cs="Times New Roman"/>
          <w:b/>
          <w:bCs/>
          <w:color w:val="000000" w:themeColor="text1"/>
          <w:sz w:val="28"/>
          <w:szCs w:val="28"/>
        </w:rPr>
        <w:t xml:space="preserve"> </w:t>
      </w:r>
      <w:r w:rsidR="00FC5993" w:rsidRPr="00E2702B">
        <w:rPr>
          <w:rFonts w:ascii="Times New Roman" w:hAnsi="Times New Roman" w:cs="Times New Roman"/>
          <w:b/>
          <w:bCs/>
          <w:color w:val="000000" w:themeColor="text1"/>
          <w:sz w:val="28"/>
          <w:szCs w:val="28"/>
        </w:rPr>
        <w:t>RECOVER</w:t>
      </w:r>
      <w:r w:rsidR="002002D3">
        <w:rPr>
          <w:rFonts w:ascii="Times New Roman" w:hAnsi="Times New Roman" w:cs="Times New Roman"/>
          <w:b/>
          <w:bCs/>
          <w:color w:val="000000" w:themeColor="text1"/>
          <w:sz w:val="28"/>
          <w:szCs w:val="28"/>
        </w:rPr>
        <w:t xml:space="preserve"> Database</w:t>
      </w:r>
      <w:r w:rsidR="00CD45A9">
        <w:rPr>
          <w:rFonts w:ascii="Times New Roman" w:hAnsi="Times New Roman" w:cs="Times New Roman"/>
          <w:b/>
          <w:bCs/>
          <w:color w:val="000000" w:themeColor="text1"/>
          <w:sz w:val="28"/>
          <w:szCs w:val="28"/>
        </w:rPr>
        <w:t>s</w:t>
      </w:r>
    </w:p>
    <w:p w14:paraId="396D376E" w14:textId="121F556B" w:rsidR="005450AA" w:rsidRPr="005450AA" w:rsidRDefault="005450AA" w:rsidP="007C39AD">
      <w:pPr>
        <w:jc w:val="both"/>
        <w:rPr>
          <w:rFonts w:ascii="Times New Roman" w:hAnsi="Times New Roman" w:cs="Times New Roman"/>
          <w:sz w:val="24"/>
          <w:szCs w:val="24"/>
        </w:rPr>
      </w:pPr>
      <w:r w:rsidRPr="005450AA">
        <w:rPr>
          <w:rFonts w:ascii="Times New Roman" w:hAnsi="Times New Roman" w:cs="Times New Roman"/>
          <w:sz w:val="24"/>
          <w:szCs w:val="24"/>
        </w:rPr>
        <w:t xml:space="preserve">The </w:t>
      </w:r>
      <w:proofErr w:type="spellStart"/>
      <w:r w:rsidRPr="005450AA">
        <w:rPr>
          <w:rFonts w:ascii="Times New Roman" w:hAnsi="Times New Roman" w:cs="Times New Roman"/>
          <w:sz w:val="24"/>
          <w:szCs w:val="24"/>
        </w:rPr>
        <w:t>PCORnet</w:t>
      </w:r>
      <w:proofErr w:type="spellEnd"/>
      <w:r w:rsidRPr="005450AA">
        <w:rPr>
          <w:rFonts w:ascii="Times New Roman" w:hAnsi="Times New Roman" w:cs="Times New Roman"/>
          <w:sz w:val="24"/>
          <w:szCs w:val="24"/>
        </w:rPr>
        <w:t xml:space="preserve"> RECOVER infrastructure leveraged </w:t>
      </w:r>
      <w:proofErr w:type="spellStart"/>
      <w:r w:rsidRPr="005450AA">
        <w:rPr>
          <w:rFonts w:ascii="Times New Roman" w:hAnsi="Times New Roman" w:cs="Times New Roman"/>
          <w:sz w:val="24"/>
          <w:szCs w:val="24"/>
        </w:rPr>
        <w:t>PCORnet</w:t>
      </w:r>
      <w:proofErr w:type="spellEnd"/>
      <w:r w:rsidRPr="005450AA">
        <w:rPr>
          <w:rFonts w:ascii="Times New Roman" w:hAnsi="Times New Roman" w:cs="Times New Roman"/>
          <w:sz w:val="24"/>
          <w:szCs w:val="24"/>
        </w:rPr>
        <w:t xml:space="preserve"> to develop a single, unified EHR/RWD repository to study PASC across ~28.25 million (18.75 million adult - 9.5 million pediatric) patients from 40 adult and pediatric health systems nationwide who continue to refresh their data at least quarterly. The source data includes patients tested for COVID-19 (regardless of result), those diagnosed with COVID-19, those who received COVID-19 vaccine and therapeutics (e.g., Remdesivir and Paxlovid), and/or those who have received a respiratory diagnosis since 2019. The enclave contains structured EHR data consisting of inpatient and ambulatory encounters, laboratory results, vital signs, medications, diagnoses, procedures, birthdates, gender, and race information. The EHR data is linked to geocoded data to the level of the census tract, block group, and/or 9-digit zip code to allow linkage to exposome information to assess the influence of </w:t>
      </w:r>
      <w:proofErr w:type="spellStart"/>
      <w:r w:rsidRPr="005450AA">
        <w:rPr>
          <w:rFonts w:ascii="Times New Roman" w:hAnsi="Times New Roman" w:cs="Times New Roman"/>
          <w:sz w:val="24"/>
          <w:szCs w:val="24"/>
        </w:rPr>
        <w:t>SDoH</w:t>
      </w:r>
      <w:proofErr w:type="spellEnd"/>
      <w:r w:rsidRPr="005450AA">
        <w:rPr>
          <w:rFonts w:ascii="Times New Roman" w:hAnsi="Times New Roman" w:cs="Times New Roman"/>
          <w:sz w:val="24"/>
          <w:szCs w:val="24"/>
        </w:rPr>
        <w:t xml:space="preserve"> and environmental exposures on COVID</w:t>
      </w:r>
      <w:r w:rsidR="00CD6E18">
        <w:rPr>
          <w:rFonts w:ascii="Times New Roman" w:hAnsi="Times New Roman" w:cs="Times New Roman"/>
          <w:sz w:val="24"/>
          <w:szCs w:val="24"/>
        </w:rPr>
        <w:t>-19</w:t>
      </w:r>
      <w:r w:rsidRPr="005450AA">
        <w:rPr>
          <w:rFonts w:ascii="Times New Roman" w:hAnsi="Times New Roman" w:cs="Times New Roman"/>
          <w:sz w:val="24"/>
          <w:szCs w:val="24"/>
        </w:rPr>
        <w:t xml:space="preserve"> outcomes. In addition, our data enclave includes clinical notes for NLP, vaccine registries, and death registries.</w:t>
      </w:r>
    </w:p>
    <w:p w14:paraId="6CDA15D4" w14:textId="6FCB5AA5" w:rsidR="004A4BC1" w:rsidRDefault="004A4BC1">
      <w:r>
        <w:br w:type="page"/>
      </w:r>
    </w:p>
    <w:p w14:paraId="52796CC8" w14:textId="057ED003" w:rsidR="008F7F01" w:rsidRPr="00AE2753" w:rsidRDefault="00153333" w:rsidP="00C84872">
      <w:pPr>
        <w:pStyle w:val="Heading1"/>
        <w:spacing w:line="480" w:lineRule="auto"/>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lastRenderedPageBreak/>
        <w:t>Long COVID</w:t>
      </w:r>
      <w:r w:rsidR="008F7F01" w:rsidRPr="00AE2753">
        <w:rPr>
          <w:rFonts w:ascii="Times New Roman" w:hAnsi="Times New Roman" w:cs="Times New Roman"/>
          <w:b/>
          <w:bCs/>
          <w:color w:val="000000" w:themeColor="text1"/>
          <w:sz w:val="28"/>
          <w:szCs w:val="28"/>
        </w:rPr>
        <w:t xml:space="preserve"> definition</w:t>
      </w:r>
    </w:p>
    <w:p w14:paraId="46A47920" w14:textId="5E083B55" w:rsidR="00942A5F" w:rsidRDefault="00DA63AB" w:rsidP="005568DE">
      <w:pPr>
        <w:jc w:val="both"/>
        <w:rPr>
          <w:rFonts w:ascii="Times New Roman" w:hAnsi="Times New Roman" w:cs="Times New Roman"/>
          <w:sz w:val="24"/>
          <w:szCs w:val="24"/>
        </w:rPr>
      </w:pPr>
      <w:r w:rsidRPr="008533DC">
        <w:rPr>
          <w:rFonts w:ascii="Times New Roman" w:hAnsi="Times New Roman" w:cs="Times New Roman"/>
          <w:sz w:val="24"/>
          <w:szCs w:val="24"/>
        </w:rPr>
        <w:t xml:space="preserve">The </w:t>
      </w:r>
      <w:proofErr w:type="spellStart"/>
      <w:r w:rsidRPr="008533DC">
        <w:rPr>
          <w:rFonts w:ascii="Times New Roman" w:hAnsi="Times New Roman" w:cs="Times New Roman"/>
          <w:sz w:val="24"/>
          <w:szCs w:val="24"/>
        </w:rPr>
        <w:t>PCORnet’s</w:t>
      </w:r>
      <w:proofErr w:type="spellEnd"/>
      <w:r w:rsidRPr="008533DC">
        <w:rPr>
          <w:rFonts w:ascii="Times New Roman" w:hAnsi="Times New Roman" w:cs="Times New Roman"/>
          <w:sz w:val="24"/>
          <w:szCs w:val="24"/>
        </w:rPr>
        <w:t xml:space="preserve"> Long COVID definition for adult</w:t>
      </w:r>
      <w:r w:rsidR="00942A5F">
        <w:rPr>
          <w:rFonts w:ascii="Times New Roman" w:hAnsi="Times New Roman" w:cs="Times New Roman"/>
          <w:sz w:val="24"/>
          <w:szCs w:val="24"/>
        </w:rPr>
        <w:t>s</w:t>
      </w:r>
      <w:r w:rsidRPr="008533DC">
        <w:rPr>
          <w:rFonts w:ascii="Times New Roman" w:hAnsi="Times New Roman" w:cs="Times New Roman"/>
          <w:sz w:val="24"/>
          <w:szCs w:val="24"/>
        </w:rPr>
        <w:t xml:space="preserve"> is rules-based by leveraging ICD</w:t>
      </w:r>
      <w:r w:rsidR="009F1170">
        <w:rPr>
          <w:rFonts w:ascii="Times New Roman" w:hAnsi="Times New Roman" w:cs="Times New Roman"/>
          <w:sz w:val="24"/>
          <w:szCs w:val="24"/>
        </w:rPr>
        <w:t>-10</w:t>
      </w:r>
      <w:r w:rsidRPr="008533DC">
        <w:rPr>
          <w:rFonts w:ascii="Times New Roman" w:hAnsi="Times New Roman" w:cs="Times New Roman"/>
          <w:sz w:val="24"/>
          <w:szCs w:val="24"/>
        </w:rPr>
        <w:t xml:space="preserve"> codes covering 2</w:t>
      </w:r>
      <w:r w:rsidR="006D29A1">
        <w:rPr>
          <w:rFonts w:ascii="Times New Roman" w:hAnsi="Times New Roman" w:cs="Times New Roman"/>
          <w:sz w:val="24"/>
          <w:szCs w:val="24"/>
        </w:rPr>
        <w:t>4</w:t>
      </w:r>
      <w:r w:rsidRPr="008533DC">
        <w:rPr>
          <w:rFonts w:ascii="Times New Roman" w:hAnsi="Times New Roman" w:cs="Times New Roman"/>
          <w:sz w:val="24"/>
          <w:szCs w:val="24"/>
        </w:rPr>
        <w:t xml:space="preserve"> clinical symptoms, including</w:t>
      </w:r>
      <w:r w:rsidR="00942A5F">
        <w:rPr>
          <w:rFonts w:ascii="Times New Roman" w:hAnsi="Times New Roman" w:cs="Times New Roman"/>
          <w:sz w:val="24"/>
          <w:szCs w:val="24"/>
        </w:rPr>
        <w:t>:</w:t>
      </w:r>
      <w:r w:rsidRPr="008533DC">
        <w:rPr>
          <w:rFonts w:ascii="Times New Roman" w:hAnsi="Times New Roman" w:cs="Times New Roman"/>
          <w:sz w:val="24"/>
          <w:szCs w:val="24"/>
        </w:rPr>
        <w:t xml:space="preserve">  </w:t>
      </w:r>
    </w:p>
    <w:p w14:paraId="3EEEC499"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sleep wake disorders, </w:t>
      </w:r>
    </w:p>
    <w:p w14:paraId="6EBAC1C8"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cognitive problems, </w:t>
      </w:r>
    </w:p>
    <w:p w14:paraId="1A68C3B6"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headache, </w:t>
      </w:r>
    </w:p>
    <w:p w14:paraId="2415129A"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encephalopathy, </w:t>
      </w:r>
    </w:p>
    <w:p w14:paraId="7F6110E2"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dementia, </w:t>
      </w:r>
    </w:p>
    <w:p w14:paraId="44C4D805"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hair loss, </w:t>
      </w:r>
    </w:p>
    <w:p w14:paraId="1FF0B7B0"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pulmonary fibrosis/edema/inflammation, </w:t>
      </w:r>
    </w:p>
    <w:p w14:paraId="68442A34"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acute pharyngitis, </w:t>
      </w:r>
    </w:p>
    <w:p w14:paraId="75B87732"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dyspnea (or shortness of breath), </w:t>
      </w:r>
    </w:p>
    <w:p w14:paraId="1CD2BD90"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Pr>
          <w:rFonts w:ascii="Times New Roman" w:hAnsi="Times New Roman" w:cs="Times New Roman"/>
          <w:sz w:val="24"/>
          <w:szCs w:val="24"/>
        </w:rPr>
        <w:t>dysrhythmia,</w:t>
      </w:r>
    </w:p>
    <w:p w14:paraId="16C05166"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chest pain, </w:t>
      </w:r>
    </w:p>
    <w:p w14:paraId="69828029"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thromboembolism, </w:t>
      </w:r>
    </w:p>
    <w:p w14:paraId="785EA855"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pulmonary embolism, </w:t>
      </w:r>
    </w:p>
    <w:p w14:paraId="3A3E5BC0" w14:textId="43756774" w:rsidR="00942A5F" w:rsidRDefault="00DA63AB"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anemia</w:t>
      </w:r>
      <w:r w:rsidR="009F1170">
        <w:rPr>
          <w:rFonts w:ascii="Times New Roman" w:hAnsi="Times New Roman" w:cs="Times New Roman"/>
          <w:sz w:val="24"/>
          <w:szCs w:val="24"/>
        </w:rPr>
        <w:t>,</w:t>
      </w:r>
    </w:p>
    <w:p w14:paraId="2D8DF15C" w14:textId="7B184C4D" w:rsidR="009F1170" w:rsidRPr="009F1170"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edema, </w:t>
      </w:r>
    </w:p>
    <w:p w14:paraId="5B324E8B" w14:textId="77777777" w:rsidR="00942A5F" w:rsidRPr="00942A5F" w:rsidRDefault="00DA63AB"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diabetes mellitus, </w:t>
      </w:r>
    </w:p>
    <w:p w14:paraId="69BD20B1" w14:textId="77777777" w:rsidR="00942A5F" w:rsidRPr="00942A5F" w:rsidRDefault="00DA63AB"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malnutrition, </w:t>
      </w:r>
    </w:p>
    <w:p w14:paraId="6B1CDBC8" w14:textId="77777777" w:rsidR="00942A5F" w:rsidRPr="00942A5F" w:rsidRDefault="00DA63AB"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abdominal pain, </w:t>
      </w:r>
    </w:p>
    <w:p w14:paraId="230E416B" w14:textId="77777777" w:rsidR="00942A5F" w:rsidRPr="00942A5F" w:rsidRDefault="00DA63AB"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constipation, </w:t>
      </w:r>
    </w:p>
    <w:p w14:paraId="4591C6A1" w14:textId="77777777" w:rsidR="00942A5F" w:rsidRPr="00942A5F" w:rsidRDefault="00DA63AB"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joint pain, </w:t>
      </w:r>
    </w:p>
    <w:p w14:paraId="591D19BE" w14:textId="77777777" w:rsidR="00942A5F" w:rsidRPr="00942A5F" w:rsidRDefault="00DA63AB"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fever, </w:t>
      </w:r>
    </w:p>
    <w:p w14:paraId="36F20C37" w14:textId="77777777" w:rsidR="00942A5F" w:rsidRDefault="00DA63AB"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malaise and fatigue</w:t>
      </w:r>
    </w:p>
    <w:p w14:paraId="181AAB7D" w14:textId="77777777" w:rsidR="009F1170" w:rsidRPr="00942A5F" w:rsidRDefault="009F1170" w:rsidP="005568DE">
      <w:pPr>
        <w:pStyle w:val="ListParagraph"/>
        <w:numPr>
          <w:ilvl w:val="0"/>
          <w:numId w:val="9"/>
        </w:numPr>
        <w:jc w:val="both"/>
        <w:rPr>
          <w:rFonts w:ascii="Times New Roman" w:hAnsi="Times New Roman" w:cs="Times New Roman"/>
          <w:sz w:val="24"/>
          <w:szCs w:val="24"/>
        </w:rPr>
      </w:pPr>
      <w:r w:rsidRPr="00942A5F">
        <w:rPr>
          <w:rFonts w:ascii="Times New Roman" w:hAnsi="Times New Roman" w:cs="Times New Roman"/>
          <w:sz w:val="24"/>
          <w:szCs w:val="24"/>
        </w:rPr>
        <w:t xml:space="preserve">smell and taste, </w:t>
      </w:r>
    </w:p>
    <w:p w14:paraId="751740B7" w14:textId="4BD211B3" w:rsidR="009F1170" w:rsidRPr="009F1170" w:rsidRDefault="009F1170" w:rsidP="005568DE">
      <w:pPr>
        <w:pStyle w:val="ListParagraph"/>
        <w:numPr>
          <w:ilvl w:val="0"/>
          <w:numId w:val="9"/>
        </w:numPr>
        <w:jc w:val="both"/>
        <w:rPr>
          <w:rFonts w:ascii="Times New Roman" w:hAnsi="Times New Roman" w:cs="Times New Roman"/>
          <w:sz w:val="24"/>
          <w:szCs w:val="24"/>
        </w:rPr>
      </w:pPr>
      <w:bookmarkStart w:id="0" w:name="_Hlk163125107"/>
      <w:r>
        <w:rPr>
          <w:rFonts w:ascii="Times New Roman" w:hAnsi="Times New Roman" w:cs="Times New Roman"/>
          <w:sz w:val="24"/>
          <w:szCs w:val="24"/>
        </w:rPr>
        <w:t xml:space="preserve">ICD-10 codes </w:t>
      </w:r>
      <w:r w:rsidRPr="00942A5F">
        <w:rPr>
          <w:rFonts w:ascii="Times New Roman" w:hAnsi="Times New Roman" w:cs="Times New Roman"/>
          <w:sz w:val="24"/>
          <w:szCs w:val="24"/>
        </w:rPr>
        <w:t>U09</w:t>
      </w:r>
      <w:r>
        <w:rPr>
          <w:rFonts w:ascii="Times New Roman" w:hAnsi="Times New Roman" w:cs="Times New Roman"/>
          <w:sz w:val="24"/>
          <w:szCs w:val="24"/>
        </w:rPr>
        <w:t>.</w:t>
      </w:r>
      <w:r w:rsidRPr="00942A5F">
        <w:rPr>
          <w:rFonts w:ascii="Times New Roman" w:hAnsi="Times New Roman" w:cs="Times New Roman"/>
          <w:sz w:val="24"/>
          <w:szCs w:val="24"/>
        </w:rPr>
        <w:t>9/B94</w:t>
      </w:r>
      <w:r>
        <w:rPr>
          <w:rFonts w:ascii="Times New Roman" w:hAnsi="Times New Roman" w:cs="Times New Roman"/>
          <w:sz w:val="24"/>
          <w:szCs w:val="24"/>
        </w:rPr>
        <w:t>.</w:t>
      </w:r>
      <w:r w:rsidRPr="00942A5F">
        <w:rPr>
          <w:rFonts w:ascii="Times New Roman" w:hAnsi="Times New Roman" w:cs="Times New Roman"/>
          <w:sz w:val="24"/>
          <w:szCs w:val="24"/>
        </w:rPr>
        <w:t>8</w:t>
      </w:r>
      <w:r>
        <w:rPr>
          <w:rFonts w:ascii="Times New Roman" w:hAnsi="Times New Roman" w:cs="Times New Roman"/>
          <w:sz w:val="24"/>
          <w:szCs w:val="24"/>
        </w:rPr>
        <w:t xml:space="preserve"> (representing </w:t>
      </w:r>
      <w:r w:rsidRPr="00942A5F">
        <w:rPr>
          <w:rFonts w:ascii="Times New Roman" w:hAnsi="Times New Roman" w:cs="Times New Roman"/>
          <w:sz w:val="24"/>
          <w:szCs w:val="24"/>
        </w:rPr>
        <w:t>Post COVID-19 condition, unspecified</w:t>
      </w:r>
      <w:r>
        <w:rPr>
          <w:rFonts w:ascii="Times New Roman" w:hAnsi="Times New Roman" w:cs="Times New Roman"/>
          <w:sz w:val="24"/>
          <w:szCs w:val="24"/>
        </w:rPr>
        <w:t>)</w:t>
      </w:r>
      <w:r w:rsidRPr="00942A5F">
        <w:rPr>
          <w:rFonts w:ascii="Times New Roman" w:hAnsi="Times New Roman" w:cs="Times New Roman"/>
          <w:sz w:val="24"/>
          <w:szCs w:val="24"/>
        </w:rPr>
        <w:t xml:space="preserve">, </w:t>
      </w:r>
    </w:p>
    <w:bookmarkEnd w:id="0"/>
    <w:p w14:paraId="68778B56" w14:textId="639F51D5" w:rsidR="00633058" w:rsidRDefault="009F1170" w:rsidP="005568DE">
      <w:pPr>
        <w:jc w:val="both"/>
        <w:rPr>
          <w:rFonts w:ascii="Times New Roman" w:hAnsi="Times New Roman" w:cs="Times New Roman"/>
          <w:sz w:val="24"/>
          <w:szCs w:val="24"/>
        </w:rPr>
      </w:pPr>
      <w:r>
        <w:rPr>
          <w:rFonts w:ascii="Times New Roman" w:hAnsi="Times New Roman" w:cs="Times New Roman"/>
          <w:sz w:val="24"/>
          <w:szCs w:val="24"/>
        </w:rPr>
        <w:t>based on prior works.</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{"citationID":"2FCwXpVe","properties":{"formattedCitation":"\\super 1\\uc0\\u8211{}3\\nosupersub{}","plainCitation":"1–3","noteIndex":0},"citationItems":[{"id":6166,"uris":["http://zotero.org/users/5859538/items/MPWJBFF5"],"itemData":{"id":6166,"type":"article-journal","abstract":"The post-acute sequelae of SARS-CoV-2 infection (PASC) refers to a broad spectrum of symptoms and signs that are persistent, exacerbated or newly incident in the period after acute SARS-CoV-2 infection. Most studies have examined these conditions individually without providing evidence on co-occurring conditions. In this study, we leveraged the electronic health record data of two large cohorts, INSIGHT and OneFlorida+, from the national Patient-Centered Clinical Research Network. We created a development cohort from INSIGHT and a validation cohort from OneFlorida+ including 20,881 and 13,724 patients, respectively, who were SARS-CoV-2 infected, and we investigated their newly incident diagnoses 30–180 days after a documented SARS-CoV-2 infection. Through machine learning analysis of over 137 symptoms and conditions, we identified four reproducible PASC subphenotypes, dominated by cardiac and renal (including 33.75% and 25.43% of the patients in the development and validation cohorts); respiratory, sleep and anxiety (32.75% and 38.48%); musculoskeletal and nervous system (23.37% and 23.35%); and digestive and respiratory system (10.14% and 12.74%) sequelae. These subphenotypes were associated with distinct patient demographics, underlying conditions before SARS-CoV-2 infection and acute infection phase severity. Our study provides insights into the heterogeneity of PASC and may inform stratified decision-making in the management of PASC conditions.","container-title":"Nature Medicine","DOI":"10.1038/s41591-022-02116-3","ISSN":"1546-170X","journalAbbreviation":"Nat Med","language":"en","license":"2022 The Author(s)","note":"publisher: Nature Publishing Group","page":"1-10","source":"www.nature.com","title":"Data-driven identification of post-acute SARS-CoV-2 infection subphenotypes","author":[{"family":"Zhang","given":"Hao"},{"family":"Zang","given":"Chengxi"},{"family":"Xu","given":"Zhenxing"},{"family":"Zhang","given":"Yongkang"},{"family":"Xu","given":"Jie"},{"family":"Bian","given":"Jiang"},{"family":"Morozyuk","given":"Dmitry"},{"family":"Khullar","given":"Dhruv"},{"family":"Zhang","given":"Yiye"},{"family":"Nordvig","given":"Anna S."},{"family":"Schenck","given":"Edward J."},{"family":"Shenkman","given":"Elizabeth A."},{"family":"Rothman","given":"Russell L."},{"family":"Block","given":"Jason P."},{"family":"Lyman","given":"Kristin"},{"family":"Weiner","given":"Mark G."},{"family":"Carton","given":"Thomas W."},{"family":"Wang","given":"Fei"},{"family":"Kaushal","given":"Rainu"}],"issued":{"date-parts":[["2022",12,1]]}}},{"id":7612,"uris":["http://zotero.org/users/5859538/items/68REZARH"],"itemData":{"id":7612,"type":"article-journal","abstract":"Recent studies have investigated post-acute sequelae of SARS-CoV-2 infection (PASC, or long COVID) using real-world patient data such as electronic health records (EHR). Prior studies have typically been conducted on patient cohorts with specific patient populations which makes their generalizability unclear. This study aims to characterize PASC using the EHR data warehouses from two large Patient-Centered Clinical Research Networks (PCORnet), INSIGHT and OneFlorida+, which include 11 million patients in New York City (NYC) area and 16.8 million patients in Florida respectively. With a high-throughput screening pipeline based on propensity score and inverse probability of treatment weighting, we identified a broad list of diagnoses and medications which exhibited significantly higher incidence risk for patients 30–180 days after the laboratory-confirmed SARS-CoV-2 infection compared to non-infected patients. We identified more PASC diagnoses in NYC than in Florida regarding our screening criteria, and conditions including dementia, hair loss, pressure ulcers, pulmonary fibrosis, dyspnea, pulmonary embolism, chest pain, abnormal heartbeat, malaise, and fatigue, were replicated across both cohorts. Our analyses highlight potentially heterogeneous risks of PASC in different populations.","container-title":"Nature Communications","DOI":"10.1038/s41467-023-37653-z","ISSN":"2041-1723","issue":"1","journalAbbreviation":"Nat Commun","language":"en","license":"2023 The Author(s)","note":"number: 1\npublisher: Nature Publishing Group","page":"1948","source":"www.nature.com","title":"Data-driven analysis to understand long COVID using electronic health records from the RECOVER initiative","volume":"14","author":[{"family":"Zang","given":"Chengxi"},{"family":"Zhang","given":"Yongkang"},{"family":"Xu","given":"Jie"},{"family":"Bian","given":"Jiang"},{"family":"Morozyuk","given":"Dmitry"},{"family":"Schenck","given":"Edward J."},{"family":"Khullar","given":"Dhruv"},{"family":"Nordvig","given":"Anna S."},{"family":"Shenkman","given":"Elizabeth A."},{"family":"Rothman","given":"Russell L."},{"family":"Block","given":"Jason P."},{"family":"Lyman","given":"Kristin"},{"family":"Weiner","given":"Mark G."},{"family":"Carton","given":"Thomas W."},{"family":"Wang","given":"Fei"},{"family":"Kaushal","given":"Rainu"}],"issued":{"date-parts":[["2023",4,7]]}}},{"id":8089,"uris":["http://zotero.org/users/5859538/items/YNTT7DCV"],"itemData":{"id":8089,"type":"article-journal","abstract":"SARS-CoV-2 infection is associated with persistent, relapsing, or new symptoms or other health effects occurring after acute infection, termed postacute sequelae of SARS-CoV-2 infection (PASC), also known as long COVID. Characterizing PASC requires analysis of prospectively and uniformly collected data from diverse uninfected and infected individuals.To develop a definition of PASC using self-reported symptoms and describe PASC frequencies across cohorts, vaccination status, and number of infections.Prospective observational cohort study of adults with and without SARS-CoV-2 infection at 85 enrolling sites (hospitals, health centers, community organizations) located in 33 states plus Washington, DC, and Puerto Rico. Participants who were enrolled in the RECOVER adult cohort before April 10, 2023, completed a symptom survey 6 months or more after acute symptom onset or test date. Selection included population-based, volunteer, and convenience sampling.SARS-CoV-2 infection.PASC and 44 participant-reported symptoms (with severity thresholds).A total of 9764 participants (89% SARS-CoV-2 infected; 71% female; 16% Hispanic/Latino; 15% non-Hispanic Black; median age, 47 years [IQR, 35-60]) met selection criteria. Adjusted odds ratios were 1.5 or greater (infected vs uninfected participants) for 37 symptoms. Symptoms contributing to PASC score included postexertional malaise, fatigue, brain fog, dizziness, gastrointestinal symptoms, palpitations, changes in sexual desire or capacity, loss of or change in smell or taste, thirst, chronic cough, chest pain, and abnormal movements. Among 2231 participants first infected on or after December 1, 2021, and enrolled within 30 days of infection, 224 (10% [95% CI, 8.8%-11%]) were PASC positive at 6 months.A definition of PASC was developed based on symptoms in a prospective cohort study. As a first step to providing a framework for other investigations, iterative refinement that further incorporates other clinical features is needed to support actionable definitions of PASC.","container-title":"JAMA","DOI":"10.1001/jama.2023.8823","ISSN":"0098-7484","journalAbbreviation":"JAMA","source":"Silverchair","title":"Development of a Definition of Postacute Sequelae of SARS-CoV-2 Infection","URL":"https://doi.org/10.1001/jama.2023.8823","author":[{"family":"Thaweethai","given":"Tanayott"},{"family":"Jolley","given":"Sarah E."},{"family":"Karlson","given":"Elizabeth W."},{"family":"Levitan","given":"Emily B."},{"family":"Levy","given":"Bruce"},{"family":"McComsey","given":"Grace A."},{"family":"McCorkell","given":"Lisa"},{"family":"Nadkarni","given":"Girish N."},{"family":"Parthasarathy","given":"Sairam"},{"family":"Singh","given":"Upinder"},{"family":"Walker","given":"Tiffany A."},{"family":"Selvaggi","given":"Caitlin A."},{"family":"Shinnick","given":"Daniel J."},{"family":"Schulte","given":"Carolin C. M."},{"family":"Atchley-Challenner","given":"Rachel"},{"family":"Horwitz","given":"Leora I."},{"family":"Foulkes","given":"Andrea S."},{"literal":"RECOVER Consortium Authors"},{"literal":"RECOVER Consortium"}],"accessed":{"date-parts":[["2023",5,25]]},"issued":{"date-parts":[["2023",5,25]]}}}],"schema":"https://github.com/citation-style-language/schema/raw/master/csl-citation.json"} </w:instrText>
      </w:r>
      <w:r>
        <w:rPr>
          <w:rFonts w:ascii="Times New Roman" w:hAnsi="Times New Roman" w:cs="Times New Roman"/>
          <w:sz w:val="24"/>
          <w:szCs w:val="24"/>
        </w:rPr>
        <w:fldChar w:fldCharType="separate"/>
      </w:r>
      <w:r w:rsidRPr="009F1170">
        <w:rPr>
          <w:rFonts w:ascii="Times New Roman" w:hAnsi="Times New Roman" w:cs="Times New Roman"/>
          <w:kern w:val="0"/>
          <w:sz w:val="24"/>
          <w:szCs w:val="24"/>
          <w:vertAlign w:val="superscript"/>
        </w:rPr>
        <w:t>1–3</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00DA63AB" w:rsidRPr="008533DC">
        <w:rPr>
          <w:rFonts w:ascii="Times New Roman" w:hAnsi="Times New Roman" w:cs="Times New Roman"/>
          <w:sz w:val="24"/>
          <w:szCs w:val="24"/>
        </w:rPr>
        <w:t>The incident post-acute sequelae of SARS-CoV-2 (PASC</w:t>
      </w:r>
      <w:r w:rsidR="00451642">
        <w:rPr>
          <w:rFonts w:ascii="Times New Roman" w:hAnsi="Times New Roman" w:cs="Times New Roman"/>
          <w:sz w:val="24"/>
          <w:szCs w:val="24"/>
        </w:rPr>
        <w:t>, or Long COVID</w:t>
      </w:r>
      <w:r w:rsidR="00DA63AB" w:rsidRPr="008533DC">
        <w:rPr>
          <w:rFonts w:ascii="Times New Roman" w:hAnsi="Times New Roman" w:cs="Times New Roman"/>
          <w:sz w:val="24"/>
          <w:szCs w:val="24"/>
        </w:rPr>
        <w:t>) symptoms from the list above w</w:t>
      </w:r>
      <w:r>
        <w:rPr>
          <w:rFonts w:ascii="Times New Roman" w:hAnsi="Times New Roman" w:cs="Times New Roman"/>
          <w:sz w:val="24"/>
          <w:szCs w:val="24"/>
        </w:rPr>
        <w:t>ere</w:t>
      </w:r>
      <w:r w:rsidR="00DA63AB" w:rsidRPr="008533DC">
        <w:rPr>
          <w:rFonts w:ascii="Times New Roman" w:hAnsi="Times New Roman" w:cs="Times New Roman"/>
          <w:sz w:val="24"/>
          <w:szCs w:val="24"/>
        </w:rPr>
        <w:t xml:space="preserve"> observed during the post-acute phase (30 to 180 days after the index date), while absent during the baseline period (7 days to 3 years preceding the index date). Individuals </w:t>
      </w:r>
      <w:r w:rsidR="00302AB4">
        <w:rPr>
          <w:rFonts w:ascii="Times New Roman" w:hAnsi="Times New Roman" w:cs="Times New Roman"/>
          <w:sz w:val="24"/>
          <w:szCs w:val="24"/>
        </w:rPr>
        <w:t xml:space="preserve">were </w:t>
      </w:r>
      <w:r w:rsidR="00DA63AB" w:rsidRPr="008533DC">
        <w:rPr>
          <w:rFonts w:ascii="Times New Roman" w:hAnsi="Times New Roman" w:cs="Times New Roman"/>
          <w:sz w:val="24"/>
          <w:szCs w:val="24"/>
        </w:rPr>
        <w:t>classified as having incident PASC</w:t>
      </w:r>
      <w:r w:rsidR="00CE77E0">
        <w:rPr>
          <w:rFonts w:ascii="Times New Roman" w:hAnsi="Times New Roman" w:cs="Times New Roman"/>
          <w:sz w:val="24"/>
          <w:szCs w:val="24"/>
        </w:rPr>
        <w:t>/Long COVID</w:t>
      </w:r>
      <w:r w:rsidR="00DA63AB" w:rsidRPr="008533DC">
        <w:rPr>
          <w:rFonts w:ascii="Times New Roman" w:hAnsi="Times New Roman" w:cs="Times New Roman"/>
          <w:sz w:val="24"/>
          <w:szCs w:val="24"/>
        </w:rPr>
        <w:t xml:space="preserve"> when he/she exhibited at least one incident symptom during the post-acute phase.</w:t>
      </w:r>
      <w:r w:rsidR="00633058">
        <w:rPr>
          <w:rFonts w:ascii="Times New Roman" w:hAnsi="Times New Roman" w:cs="Times New Roman"/>
          <w:sz w:val="24"/>
          <w:szCs w:val="24"/>
        </w:rPr>
        <w:t xml:space="preserve"> </w:t>
      </w:r>
      <w:r>
        <w:rPr>
          <w:rFonts w:ascii="Times New Roman" w:hAnsi="Times New Roman" w:cs="Times New Roman"/>
          <w:sz w:val="24"/>
          <w:szCs w:val="24"/>
        </w:rPr>
        <w:t>See the detailed ICD-10 list for each condition in the supplementary materials.</w:t>
      </w:r>
    </w:p>
    <w:p w14:paraId="4BE6F098" w14:textId="3C8E0028" w:rsidR="009F1170" w:rsidRDefault="009F1170" w:rsidP="005568DE">
      <w:pPr>
        <w:jc w:val="both"/>
        <w:rPr>
          <w:rFonts w:ascii="Times New Roman" w:hAnsi="Times New Roman" w:cs="Times New Roman"/>
          <w:sz w:val="24"/>
          <w:szCs w:val="24"/>
        </w:rPr>
      </w:pPr>
      <w:r>
        <w:rPr>
          <w:rFonts w:ascii="Times New Roman" w:hAnsi="Times New Roman" w:cs="Times New Roman"/>
          <w:sz w:val="24"/>
          <w:szCs w:val="24"/>
        </w:rPr>
        <w:t xml:space="preserve">Our secondary definition of </w:t>
      </w:r>
      <w:r w:rsidR="0012682C">
        <w:rPr>
          <w:rFonts w:ascii="Times New Roman" w:hAnsi="Times New Roman" w:cs="Times New Roman"/>
          <w:sz w:val="24"/>
          <w:szCs w:val="24"/>
        </w:rPr>
        <w:t xml:space="preserve"> </w:t>
      </w:r>
      <w:r>
        <w:rPr>
          <w:rFonts w:ascii="Times New Roman" w:hAnsi="Times New Roman" w:cs="Times New Roman"/>
          <w:sz w:val="24"/>
          <w:szCs w:val="24"/>
        </w:rPr>
        <w:t>Long COVID used in sensitivity analysis focused on fatigue, cognitive, and respiratory symptom clusters,</w:t>
      </w:r>
      <w:r w:rsidR="004F2AD1" w:rsidRPr="004F2AD1">
        <w:rPr>
          <w:rFonts w:ascii="Times New Roman" w:hAnsi="Times New Roman" w:cs="Times New Roman"/>
          <w:sz w:val="24"/>
          <w:szCs w:val="24"/>
        </w:rPr>
        <w:t xml:space="preserve"> </w:t>
      </w:r>
      <w:r w:rsidR="004F2AD1">
        <w:rPr>
          <w:rFonts w:ascii="Times New Roman" w:hAnsi="Times New Roman" w:cs="Times New Roman"/>
          <w:sz w:val="24"/>
          <w:szCs w:val="24"/>
        </w:rPr>
        <w:fldChar w:fldCharType="begin"/>
      </w:r>
      <w:r w:rsidR="004F2AD1">
        <w:rPr>
          <w:rFonts w:ascii="Times New Roman" w:hAnsi="Times New Roman" w:cs="Times New Roman"/>
          <w:sz w:val="24"/>
          <w:szCs w:val="24"/>
        </w:rPr>
        <w:instrText xml:space="preserve"> ADDIN ZOTERO_ITEM CSL_CITATION {"citationID":"RkoiKmzZ","properties":{"formattedCitation":"\\super 4\\nosupersub{}","plainCitation":"4","noteIndex":0},"citationItems":[{"id":5865,"uris":["http://zotero.org/users/5859538/items/NG6BX3SE"],"itemData":{"id":5865,"type":"article-journal","abstract":"Some individuals experience persistent symptoms after initial symptomatic SARS-CoV-2 infection (often referred to as Long COVID).To estimate the proportion of males and females with COVID-19, younger or older than 20 years of age, who had Long COVID symptoms in 2020 and 2021 and their Long COVID symptom duration.Bayesian meta-regression and pooling of 54 studies and 2 medical record databases with data for 1.2 million individuals (from 22 countries) who had symptomatic SARS-CoV-2 infection. Of the 54 studies, 44 were published and 10 were collaborating cohorts (conducted in Austria, the Faroe Islands, Germany, Iran, Italy, the Netherlands, Russia, Sweden, Switzerland, and the US). The participant data were derived from the 44 published studies (10 501 hospitalized individuals and 42 891 nonhospitalized individuals), the 10 collaborating cohort studies (10 526 and 1906), and the 2 US electronic medical record databases (250 928 and 846 046). Data collection spanned March 2020 to January 2022.Symptomatic SARS-CoV-2 infection.Proportion of individuals with at least 1 of the 3 self-reported Long COVID symptom clusters (persistent fatigue with bodily pain or mood swings; cognitive problems; or ongoing respiratory problems) 3 months after SARS-CoV-2 infection in 2020 and 2021, estimated separately for hospitalized and nonhospitalized individuals aged 20 years or older by sex and for both sexes of nonhospitalized individuals younger than 20 years of age.A total of 1.2 million individuals who had symptomatic SARS-CoV-2 infection were included (mean age, 4-66 years; males, 26%-88%). In the modeled estimates, 6.2% (95% uncertainty interval [UI], 2.4%-13.3%) of individuals who had symptomatic SARS-CoV-2 infection experienced at least 1 of the 3 Long COVID symptom clusters in 2020 and 2021, including 3.2% (95% UI, 0.6%-10.0%) for persistent fatigue with bodily pain or mood swings, 3.7% (95% UI, 0.9%-9.6%) for ongoing respiratory problems, and 2.2% (95% UI, 0.3%-7.6%) for cognitive problems after adjusting for health status before COVID-19, comprising an estimated 51.0% (95% UI, 16.9%-92.4%), 60.4% (95% UI, 18.9%-89.1%), and 35.4% (95% UI, 9.4%-75.1%), respectively, of Long COVID cases. The Long COVID symptom clusters were more common in women aged 20 years or older (10.6% [95% UI, 4.3%-22.2%]) 3 months after symptomatic SARS-CoV-2 infection than in men aged 20 years or older (5.4% [95% UI, 2.2%-11.7%]). Both sexes younger than 20 years of age were estimated to be affected in 2.8% (95% UI, 0.9%-7.0%) of symptomatic SARS-CoV-2 infections. The estimated mean Long COVID symptom cluster duration was 9.0 months (95% UI, 7.0-12.0 months) among hospitalized individuals and 4.0 months (95% UI, 3.6-4.6 months) among nonhospitalized individuals. Among individuals with Long COVID symptoms 3 months after symptomatic SARS-CoV-2 infection, an estimated 15.1% (95% UI, 10.3%-21.1%) continued to experience symptoms at 12 months.This study presents modeled estimates of the proportion of individuals with at least 1 of 3 self-reported Long COVID symptom clusters (persistent fatigue with bodily pain or mood swings; cognitive problems; or ongoing respiratory problems) 3 months after symptomatic SARS-CoV-2 infection.","container-title":"JAMA","DOI":"10.1001/jama.2022.18931","ISSN":"0098-7484","journalAbbreviation":"JAMA","source":"Silverchair","title":"Estimated Global Proportions of Individuals With Persistent Fatigue, Cognitive, and Respiratory Symptom Clusters Following Symptomatic COVID-19 in 2020 and 2021","URL":"https://doi.org/10.1001/jama.2022.18931","author":[{"literal":"Global Burden of Disease Long COVID Collaborators"}],"accessed":{"date-parts":[["2022",10,11]]},"issued":{"date-parts":[["2022",10,10]]}}}],"schema":"https://github.com/citation-style-language/schema/raw/master/csl-citation.json"} </w:instrText>
      </w:r>
      <w:r w:rsidR="004F2AD1">
        <w:rPr>
          <w:rFonts w:ascii="Times New Roman" w:hAnsi="Times New Roman" w:cs="Times New Roman"/>
          <w:sz w:val="24"/>
          <w:szCs w:val="24"/>
        </w:rPr>
        <w:fldChar w:fldCharType="separate"/>
      </w:r>
      <w:r w:rsidR="004F2AD1" w:rsidRPr="009F1170">
        <w:rPr>
          <w:rFonts w:ascii="Times New Roman" w:hAnsi="Times New Roman" w:cs="Times New Roman"/>
          <w:kern w:val="0"/>
          <w:sz w:val="24"/>
          <w:szCs w:val="24"/>
          <w:vertAlign w:val="superscript"/>
        </w:rPr>
        <w:t>4</w:t>
      </w:r>
      <w:r w:rsidR="004F2AD1">
        <w:rPr>
          <w:rFonts w:ascii="Times New Roman" w:hAnsi="Times New Roman" w:cs="Times New Roman"/>
          <w:sz w:val="24"/>
          <w:szCs w:val="24"/>
        </w:rPr>
        <w:fldChar w:fldCharType="end"/>
      </w:r>
      <w:r w:rsidR="004F2AD1">
        <w:rPr>
          <w:rFonts w:ascii="Times New Roman" w:hAnsi="Times New Roman" w:cs="Times New Roman"/>
          <w:sz w:val="24"/>
          <w:szCs w:val="24"/>
        </w:rPr>
        <w:t xml:space="preserve"> </w:t>
      </w:r>
      <w:r>
        <w:rPr>
          <w:rFonts w:ascii="Times New Roman" w:hAnsi="Times New Roman" w:cs="Times New Roman"/>
          <w:sz w:val="24"/>
          <w:szCs w:val="24"/>
        </w:rPr>
        <w:t xml:space="preserve"> also leveraging ICD-10 codes</w:t>
      </w:r>
      <w:r w:rsidR="004F2AD1">
        <w:rPr>
          <w:rFonts w:ascii="Times New Roman" w:hAnsi="Times New Roman" w:cs="Times New Roman"/>
          <w:sz w:val="24"/>
          <w:szCs w:val="24"/>
        </w:rPr>
        <w:t xml:space="preserve"> (</w:t>
      </w:r>
      <w:proofErr w:type="spellStart"/>
      <w:r w:rsidR="004F2AD1">
        <w:rPr>
          <w:rFonts w:ascii="Times New Roman" w:hAnsi="Times New Roman" w:cs="Times New Roman"/>
          <w:sz w:val="24"/>
          <w:szCs w:val="24"/>
        </w:rPr>
        <w:t>eTable</w:t>
      </w:r>
      <w:proofErr w:type="spellEnd"/>
      <w:r w:rsidR="004F2AD1">
        <w:rPr>
          <w:rFonts w:ascii="Times New Roman" w:hAnsi="Times New Roman" w:cs="Times New Roman"/>
          <w:sz w:val="24"/>
          <w:szCs w:val="24"/>
        </w:rPr>
        <w:t xml:space="preserve"> 2 in Ref</w:t>
      </w:r>
      <w:r w:rsidR="004F2AD1">
        <w:rPr>
          <w:rFonts w:ascii="Times New Roman" w:hAnsi="Times New Roman" w:cs="Times New Roman"/>
          <w:sz w:val="24"/>
          <w:szCs w:val="24"/>
        </w:rPr>
        <w:fldChar w:fldCharType="begin"/>
      </w:r>
      <w:r w:rsidR="004F2AD1">
        <w:rPr>
          <w:rFonts w:ascii="Times New Roman" w:hAnsi="Times New Roman" w:cs="Times New Roman"/>
          <w:sz w:val="24"/>
          <w:szCs w:val="24"/>
        </w:rPr>
        <w:instrText xml:space="preserve"> ADDIN ZOTERO_ITEM CSL_CITATION {"citationID":"WJQvu7rw","properties":{"formattedCitation":"\\super 4\\nosupersub{}","plainCitation":"4","noteIndex":0},"citationItems":[{"id":5865,"uris":["http://zotero.org/users/5859538/items/NG6BX3SE"],"itemData":{"id":5865,"type":"article-journal","abstract":"Some individuals experience persistent symptoms after initial symptomatic SARS-CoV-2 infection (often referred to as Long COVID).To estimate the proportion of males and females with COVID-19, younger or older than 20 years of age, who had Long COVID symptoms in 2020 and 2021 and their Long COVID symptom duration.Bayesian meta-regression and pooling of 54 studies and 2 medical record databases with data for 1.2 million individuals (from 22 countries) who had symptomatic SARS-CoV-2 infection. Of the 54 studies, 44 were published and 10 were collaborating cohorts (conducted in Austria, the Faroe Islands, Germany, Iran, Italy, the Netherlands, Russia, Sweden, Switzerland, and the US). The participant data were derived from the 44 published studies (10 501 hospitalized individuals and 42 891 nonhospitalized individuals), the 10 collaborating cohort studies (10 526 and 1906), and the 2 US electronic medical record databases (250 928 and 846 046). Data collection spanned March 2020 to January 2022.Symptomatic SARS-CoV-2 infection.Proportion of individuals with at least 1 of the 3 self-reported Long COVID symptom clusters (persistent fatigue with bodily pain or mood swings; cognitive problems; or ongoing respiratory problems) 3 months after SARS-CoV-2 infection in 2020 and 2021, estimated separately for hospitalized and nonhospitalized individuals aged 20 years or older by sex and for both sexes of nonhospitalized individuals younger than 20 years of age.A total of 1.2 million individuals who had symptomatic SARS-CoV-2 infection were included (mean age, 4-66 years; males, 26%-88%). In the modeled estimates, 6.2% (95% uncertainty interval [UI], 2.4%-13.3%) of individuals who had symptomatic SARS-CoV-2 infection experienced at least 1 of the 3 Long COVID symptom clusters in 2020 and 2021, including 3.2% (95% UI, 0.6%-10.0%) for persistent fatigue with bodily pain or mood swings, 3.7% (95% UI, 0.9%-9.6%) for ongoing respiratory problems, and 2.2% (95% UI, 0.3%-7.6%) for cognitive problems after adjusting for health status before COVID-19, comprising an estimated 51.0% (95% UI, 16.9%-92.4%), 60.4% (95% UI, 18.9%-89.1%), and 35.4% (95% UI, 9.4%-75.1%), respectively, of Long COVID cases. The Long COVID symptom clusters were more common in women aged 20 years or older (10.6% [95% UI, 4.3%-22.2%]) 3 months after symptomatic SARS-CoV-2 infection than in men aged 20 years or older (5.4% [95% UI, 2.2%-11.7%]). Both sexes younger than 20 years of age were estimated to be affected in 2.8% (95% UI, 0.9%-7.0%) of symptomatic SARS-CoV-2 infections. The estimated mean Long COVID symptom cluster duration was 9.0 months (95% UI, 7.0-12.0 months) among hospitalized individuals and 4.0 months (95% UI, 3.6-4.6 months) among nonhospitalized individuals. Among individuals with Long COVID symptoms 3 months after symptomatic SARS-CoV-2 infection, an estimated 15.1% (95% UI, 10.3%-21.1%) continued to experience symptoms at 12 months.This study presents modeled estimates of the proportion of individuals with at least 1 of 3 self-reported Long COVID symptom clusters (persistent fatigue with bodily pain or mood swings; cognitive problems; or ongoing respiratory problems) 3 months after symptomatic SARS-CoV-2 infection.","container-title":"JAMA","DOI":"10.1001/jama.2022.18931","ISSN":"0098-7484","journalAbbreviation":"JAMA","source":"Silverchair","title":"Estimated Global Proportions of Individuals With Persistent Fatigue, Cognitive, and Respiratory Symptom Clusters Following Symptomatic COVID-19 in 2020 and 2021","URL":"https://doi.org/10.1001/jama.2022.18931","author":[{"literal":"Global Burden of Disease Long COVID Collaborators"}],"accessed":{"date-parts":[["2022",10,11]]},"issued":{"date-parts":[["2022",10,10]]}}}],"schema":"https://github.com/citation-style-language/schema/raw/master/csl-citation.json"} </w:instrText>
      </w:r>
      <w:r w:rsidR="004F2AD1">
        <w:rPr>
          <w:rFonts w:ascii="Times New Roman" w:hAnsi="Times New Roman" w:cs="Times New Roman"/>
          <w:sz w:val="24"/>
          <w:szCs w:val="24"/>
        </w:rPr>
        <w:fldChar w:fldCharType="separate"/>
      </w:r>
      <w:r w:rsidR="004F2AD1" w:rsidRPr="004F2AD1">
        <w:rPr>
          <w:rFonts w:ascii="Times New Roman" w:hAnsi="Times New Roman" w:cs="Times New Roman"/>
          <w:kern w:val="0"/>
          <w:sz w:val="24"/>
          <w:szCs w:val="24"/>
          <w:vertAlign w:val="superscript"/>
        </w:rPr>
        <w:t>4</w:t>
      </w:r>
      <w:r w:rsidR="004F2AD1">
        <w:rPr>
          <w:rFonts w:ascii="Times New Roman" w:hAnsi="Times New Roman" w:cs="Times New Roman"/>
          <w:sz w:val="24"/>
          <w:szCs w:val="24"/>
        </w:rPr>
        <w:fldChar w:fldCharType="end"/>
      </w:r>
      <w:r w:rsidR="004F2AD1">
        <w:rPr>
          <w:rFonts w:ascii="Times New Roman" w:hAnsi="Times New Roman" w:cs="Times New Roman"/>
          <w:sz w:val="24"/>
          <w:szCs w:val="24"/>
        </w:rPr>
        <w:t xml:space="preserve"> Supplemental Online Content)</w:t>
      </w:r>
      <w:r>
        <w:rPr>
          <w:rFonts w:ascii="Times New Roman" w:hAnsi="Times New Roman" w:cs="Times New Roman"/>
          <w:sz w:val="24"/>
          <w:szCs w:val="24"/>
        </w:rPr>
        <w:t xml:space="preserve">. </w:t>
      </w:r>
    </w:p>
    <w:p w14:paraId="05DC2A86" w14:textId="77777777" w:rsidR="009F1170" w:rsidRDefault="009F1170" w:rsidP="004A7842">
      <w:pPr>
        <w:rPr>
          <w:rFonts w:ascii="Times New Roman" w:hAnsi="Times New Roman" w:cs="Times New Roman"/>
          <w:sz w:val="24"/>
          <w:szCs w:val="24"/>
        </w:rPr>
      </w:pPr>
    </w:p>
    <w:p w14:paraId="1F167829" w14:textId="5285C143" w:rsidR="00EF44B8" w:rsidRPr="003741C4" w:rsidRDefault="00B42F7D" w:rsidP="00F14790">
      <w:pPr>
        <w:pStyle w:val="Heading1"/>
        <w:spacing w:after="240" w:line="240" w:lineRule="auto"/>
        <w:jc w:val="both"/>
        <w:rPr>
          <w:rFonts w:ascii="Times New Roman" w:hAnsi="Times New Roman" w:cs="Times New Roman"/>
          <w:color w:val="000000" w:themeColor="text1"/>
          <w:sz w:val="28"/>
          <w:szCs w:val="28"/>
        </w:rPr>
      </w:pPr>
      <w:r w:rsidRPr="003741C4">
        <w:rPr>
          <w:rFonts w:ascii="Times New Roman" w:hAnsi="Times New Roman" w:cs="Times New Roman"/>
          <w:b/>
          <w:bCs/>
          <w:color w:val="000000" w:themeColor="text1"/>
          <w:sz w:val="28"/>
          <w:szCs w:val="28"/>
        </w:rPr>
        <w:lastRenderedPageBreak/>
        <w:t>Figure</w:t>
      </w:r>
      <w:r w:rsidR="00802B49" w:rsidRPr="003741C4">
        <w:rPr>
          <w:rFonts w:ascii="Times New Roman" w:hAnsi="Times New Roman" w:cs="Times New Roman"/>
          <w:b/>
          <w:bCs/>
          <w:color w:val="000000" w:themeColor="text1"/>
          <w:sz w:val="28"/>
          <w:szCs w:val="28"/>
        </w:rPr>
        <w:t xml:space="preserve"> S1. </w:t>
      </w:r>
      <w:r w:rsidRPr="003741C4">
        <w:rPr>
          <w:rFonts w:ascii="Times New Roman" w:hAnsi="Times New Roman" w:cs="Times New Roman"/>
          <w:b/>
          <w:bCs/>
          <w:color w:val="000000" w:themeColor="text1"/>
          <w:sz w:val="28"/>
          <w:szCs w:val="28"/>
        </w:rPr>
        <w:t>Covariate balance plot before versus after balancing</w:t>
      </w:r>
      <w:r w:rsidR="00201897">
        <w:rPr>
          <w:rFonts w:ascii="Times New Roman" w:hAnsi="Times New Roman" w:cs="Times New Roman"/>
          <w:b/>
          <w:bCs/>
          <w:color w:val="000000" w:themeColor="text1"/>
          <w:sz w:val="28"/>
          <w:szCs w:val="28"/>
        </w:rPr>
        <w:t xml:space="preserve"> from</w:t>
      </w:r>
      <w:r w:rsidR="00D3477D" w:rsidRPr="003741C4">
        <w:rPr>
          <w:rFonts w:ascii="Times New Roman" w:hAnsi="Times New Roman" w:cs="Times New Roman"/>
          <w:b/>
          <w:bCs/>
          <w:color w:val="000000" w:themeColor="text1"/>
          <w:sz w:val="28"/>
          <w:szCs w:val="28"/>
        </w:rPr>
        <w:t xml:space="preserve"> the Paxlovid-exposed group versus the non-exposed group from the adult SARS-CoV-2 infected patients who were at risk of developing severe COVID-19 illness, during the period from March 1, 2022, to February 1, 2023. </w:t>
      </w:r>
      <w:r w:rsidR="00201897">
        <w:rPr>
          <w:rFonts w:ascii="Times New Roman" w:hAnsi="Times New Roman" w:cs="Times New Roman"/>
          <w:color w:val="000000" w:themeColor="text1"/>
          <w:sz w:val="28"/>
          <w:szCs w:val="28"/>
        </w:rPr>
        <w:t>No</w:t>
      </w:r>
      <w:r w:rsidR="00784816" w:rsidRPr="003741C4">
        <w:rPr>
          <w:rFonts w:ascii="Times New Roman" w:hAnsi="Times New Roman" w:cs="Times New Roman"/>
          <w:color w:val="000000" w:themeColor="text1"/>
          <w:sz w:val="28"/>
          <w:szCs w:val="28"/>
        </w:rPr>
        <w:t xml:space="preserve"> significant difference was assumed if the </w:t>
      </w:r>
      <w:r w:rsidR="00201897" w:rsidRPr="00201897">
        <w:rPr>
          <w:rFonts w:ascii="Times New Roman" w:hAnsi="Times New Roman" w:cs="Times New Roman"/>
          <w:color w:val="000000" w:themeColor="text1"/>
          <w:sz w:val="28"/>
          <w:szCs w:val="28"/>
        </w:rPr>
        <w:t>standardized mean difference (SMD)</w:t>
      </w:r>
      <w:r w:rsidR="00201897">
        <w:rPr>
          <w:rFonts w:ascii="Times New Roman" w:hAnsi="Times New Roman" w:cs="Times New Roman"/>
          <w:color w:val="000000" w:themeColor="text1"/>
          <w:sz w:val="28"/>
          <w:szCs w:val="28"/>
        </w:rPr>
        <w:t xml:space="preserve"> </w:t>
      </w:r>
      <w:r w:rsidR="00784816" w:rsidRPr="003741C4">
        <w:rPr>
          <w:rFonts w:ascii="Times New Roman" w:hAnsi="Times New Roman" w:cs="Times New Roman"/>
          <w:color w:val="000000" w:themeColor="text1"/>
          <w:sz w:val="28"/>
          <w:szCs w:val="28"/>
        </w:rPr>
        <w:t>w</w:t>
      </w:r>
      <w:r w:rsidR="004722A4">
        <w:rPr>
          <w:rFonts w:ascii="Times New Roman" w:hAnsi="Times New Roman" w:cs="Times New Roman"/>
          <w:color w:val="000000" w:themeColor="text1"/>
          <w:sz w:val="28"/>
          <w:szCs w:val="28"/>
        </w:rPr>
        <w:t>as</w:t>
      </w:r>
      <w:r w:rsidR="008A43D7">
        <w:rPr>
          <w:rFonts w:ascii="Times New Roman" w:hAnsi="Times New Roman" w:cs="Times New Roman"/>
          <w:color w:val="000000" w:themeColor="text1"/>
          <w:sz w:val="28"/>
          <w:szCs w:val="28"/>
        </w:rPr>
        <w:t xml:space="preserve"> </w:t>
      </w:r>
      <w:r w:rsidR="00201897">
        <w:rPr>
          <w:rFonts w:ascii="Times New Roman" w:hAnsi="Times New Roman" w:cs="Times New Roman"/>
          <w:color w:val="000000" w:themeColor="text1"/>
          <w:sz w:val="28"/>
          <w:szCs w:val="28"/>
        </w:rPr>
        <w:t>within</w:t>
      </w:r>
      <w:r w:rsidR="00784816" w:rsidRPr="003741C4">
        <w:rPr>
          <w:rFonts w:ascii="Times New Roman" w:hAnsi="Times New Roman" w:cs="Times New Roman"/>
          <w:color w:val="000000" w:themeColor="text1"/>
          <w:sz w:val="28"/>
          <w:szCs w:val="28"/>
        </w:rPr>
        <w:t xml:space="preserve"> ±0.</w:t>
      </w:r>
      <w:r w:rsidR="00EF0A14" w:rsidRPr="003741C4">
        <w:rPr>
          <w:rFonts w:ascii="Times New Roman" w:hAnsi="Times New Roman" w:cs="Times New Roman"/>
          <w:color w:val="000000" w:themeColor="text1"/>
          <w:sz w:val="28"/>
          <w:szCs w:val="28"/>
        </w:rPr>
        <w:t>1</w:t>
      </w:r>
      <w:r w:rsidR="00423AA5" w:rsidRPr="003741C4">
        <w:rPr>
          <w:rFonts w:ascii="Times New Roman" w:hAnsi="Times New Roman" w:cs="Times New Roman"/>
          <w:color w:val="000000" w:themeColor="text1"/>
          <w:sz w:val="28"/>
          <w:szCs w:val="28"/>
        </w:rPr>
        <w:t>.</w:t>
      </w:r>
      <w:r w:rsidR="00201897">
        <w:rPr>
          <w:rFonts w:ascii="Times New Roman" w:hAnsi="Times New Roman" w:cs="Times New Roman"/>
          <w:color w:val="000000" w:themeColor="text1"/>
          <w:sz w:val="28"/>
          <w:szCs w:val="28"/>
        </w:rPr>
        <w:t xml:space="preserve"> </w:t>
      </w:r>
    </w:p>
    <w:p w14:paraId="44333AB8" w14:textId="59F7C870" w:rsidR="00EF44B8" w:rsidRPr="0068141D" w:rsidRDefault="004B2A3A" w:rsidP="0068141D">
      <w:pPr>
        <w:jc w:val="center"/>
        <w:rPr>
          <w:rFonts w:ascii="Times New Roman" w:hAnsi="Times New Roman" w:cs="Times New Roman"/>
          <w:color w:val="000000" w:themeColor="text1"/>
          <w:sz w:val="28"/>
          <w:szCs w:val="28"/>
        </w:rPr>
      </w:pPr>
      <w:r>
        <w:rPr>
          <w:noProof/>
        </w:rPr>
        <w:drawing>
          <wp:inline distT="0" distB="0" distL="0" distR="0" wp14:anchorId="51BDB57F" wp14:editId="4855D6A2">
            <wp:extent cx="4972050" cy="697680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88852" cy="7000381"/>
                    </a:xfrm>
                    <a:prstGeom prst="rect">
                      <a:avLst/>
                    </a:prstGeom>
                    <a:noFill/>
                    <a:ln>
                      <a:noFill/>
                    </a:ln>
                  </pic:spPr>
                </pic:pic>
              </a:graphicData>
            </a:graphic>
          </wp:inline>
        </w:drawing>
      </w:r>
    </w:p>
    <w:p w14:paraId="4C3CCF95" w14:textId="16EFE69B" w:rsidR="005541B3" w:rsidRDefault="00DA173F" w:rsidP="00F14790">
      <w:pPr>
        <w:pStyle w:val="Heading1"/>
        <w:spacing w:after="240" w:line="240" w:lineRule="auto"/>
        <w:jc w:val="both"/>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lastRenderedPageBreak/>
        <w:t>Figure</w:t>
      </w:r>
      <w:r w:rsidRPr="005A1D2F">
        <w:rPr>
          <w:rFonts w:ascii="Times New Roman" w:hAnsi="Times New Roman" w:cs="Times New Roman"/>
          <w:b/>
          <w:bCs/>
          <w:color w:val="000000" w:themeColor="text1"/>
          <w:sz w:val="28"/>
          <w:szCs w:val="28"/>
        </w:rPr>
        <w:t xml:space="preserve"> S</w:t>
      </w:r>
      <w:r w:rsidR="00513918">
        <w:rPr>
          <w:rFonts w:ascii="Times New Roman" w:hAnsi="Times New Roman" w:cs="Times New Roman"/>
          <w:b/>
          <w:bCs/>
          <w:color w:val="000000" w:themeColor="text1"/>
          <w:sz w:val="28"/>
          <w:szCs w:val="28"/>
        </w:rPr>
        <w:t>2</w:t>
      </w:r>
      <w:r w:rsidRPr="005A1D2F">
        <w:rPr>
          <w:rFonts w:ascii="Times New Roman" w:hAnsi="Times New Roman" w:cs="Times New Roman"/>
          <w:b/>
          <w:bCs/>
          <w:color w:val="000000" w:themeColor="text1"/>
          <w:sz w:val="28"/>
          <w:szCs w:val="28"/>
        </w:rPr>
        <w:t xml:space="preserve">. </w:t>
      </w:r>
      <w:r w:rsidR="005541B3" w:rsidRPr="003741C4">
        <w:rPr>
          <w:rFonts w:ascii="Times New Roman" w:hAnsi="Times New Roman" w:cs="Times New Roman"/>
          <w:b/>
          <w:bCs/>
          <w:color w:val="000000" w:themeColor="text1"/>
          <w:sz w:val="28"/>
          <w:szCs w:val="28"/>
        </w:rPr>
        <w:t>Covariate balance plot before versus after balancing</w:t>
      </w:r>
      <w:r w:rsidR="005541B3">
        <w:rPr>
          <w:rFonts w:ascii="Times New Roman" w:hAnsi="Times New Roman" w:cs="Times New Roman"/>
          <w:b/>
          <w:bCs/>
          <w:color w:val="000000" w:themeColor="text1"/>
          <w:sz w:val="28"/>
          <w:szCs w:val="28"/>
        </w:rPr>
        <w:t xml:space="preserve"> from</w:t>
      </w:r>
      <w:r w:rsidR="005541B3" w:rsidRPr="003741C4">
        <w:rPr>
          <w:rFonts w:ascii="Times New Roman" w:hAnsi="Times New Roman" w:cs="Times New Roman"/>
          <w:b/>
          <w:bCs/>
          <w:color w:val="000000" w:themeColor="text1"/>
          <w:sz w:val="28"/>
          <w:szCs w:val="28"/>
        </w:rPr>
        <w:t xml:space="preserve"> the Paxlovid-exposed group versus the non-exposed group from the adult SARS-CoV-2 infected patients who were </w:t>
      </w:r>
      <m:oMath>
        <m:r>
          <m:rPr>
            <m:sty m:val="bi"/>
          </m:rPr>
          <w:rPr>
            <w:rFonts w:ascii="Cambria Math" w:hAnsi="Cambria Math" w:cs="Times New Roman"/>
            <w:color w:val="000000" w:themeColor="text1"/>
            <w:sz w:val="28"/>
            <w:szCs w:val="28"/>
          </w:rPr>
          <m:t>≤</m:t>
        </m:r>
      </m:oMath>
      <w:r w:rsidR="005541B3">
        <w:rPr>
          <w:rFonts w:ascii="Times New Roman" w:hAnsi="Times New Roman" w:cs="Times New Roman"/>
          <w:b/>
          <w:bCs/>
          <w:color w:val="000000" w:themeColor="text1"/>
          <w:sz w:val="28"/>
          <w:szCs w:val="28"/>
        </w:rPr>
        <w:t xml:space="preserve"> 50 years old and had no documented risk factors of </w:t>
      </w:r>
      <w:r w:rsidR="005541B3" w:rsidRPr="003741C4">
        <w:rPr>
          <w:rFonts w:ascii="Times New Roman" w:hAnsi="Times New Roman" w:cs="Times New Roman"/>
          <w:b/>
          <w:bCs/>
          <w:color w:val="000000" w:themeColor="text1"/>
          <w:sz w:val="28"/>
          <w:szCs w:val="28"/>
        </w:rPr>
        <w:t xml:space="preserve">developing severe COVID-19 illness, during the period from March 1, 2022, to February 1, 2023. </w:t>
      </w:r>
      <w:r w:rsidR="005541B3">
        <w:rPr>
          <w:rFonts w:ascii="Times New Roman" w:hAnsi="Times New Roman" w:cs="Times New Roman"/>
          <w:color w:val="000000" w:themeColor="text1"/>
          <w:sz w:val="28"/>
          <w:szCs w:val="28"/>
        </w:rPr>
        <w:t>No</w:t>
      </w:r>
      <w:r w:rsidR="005541B3" w:rsidRPr="003741C4">
        <w:rPr>
          <w:rFonts w:ascii="Times New Roman" w:hAnsi="Times New Roman" w:cs="Times New Roman"/>
          <w:color w:val="000000" w:themeColor="text1"/>
          <w:sz w:val="28"/>
          <w:szCs w:val="28"/>
        </w:rPr>
        <w:t xml:space="preserve"> significant difference was assumed if the </w:t>
      </w:r>
      <w:r w:rsidR="005541B3" w:rsidRPr="00201897">
        <w:rPr>
          <w:rFonts w:ascii="Times New Roman" w:hAnsi="Times New Roman" w:cs="Times New Roman"/>
          <w:color w:val="000000" w:themeColor="text1"/>
          <w:sz w:val="28"/>
          <w:szCs w:val="28"/>
        </w:rPr>
        <w:t>standardized mean difference (SMD)</w:t>
      </w:r>
      <w:r w:rsidR="005541B3">
        <w:rPr>
          <w:rFonts w:ascii="Times New Roman" w:hAnsi="Times New Roman" w:cs="Times New Roman"/>
          <w:color w:val="000000" w:themeColor="text1"/>
          <w:sz w:val="28"/>
          <w:szCs w:val="28"/>
        </w:rPr>
        <w:t xml:space="preserve"> </w:t>
      </w:r>
      <w:r w:rsidR="005541B3" w:rsidRPr="003741C4">
        <w:rPr>
          <w:rFonts w:ascii="Times New Roman" w:hAnsi="Times New Roman" w:cs="Times New Roman"/>
          <w:color w:val="000000" w:themeColor="text1"/>
          <w:sz w:val="28"/>
          <w:szCs w:val="28"/>
        </w:rPr>
        <w:t>w</w:t>
      </w:r>
      <w:r w:rsidR="005541B3">
        <w:rPr>
          <w:rFonts w:ascii="Times New Roman" w:hAnsi="Times New Roman" w:cs="Times New Roman"/>
          <w:color w:val="000000" w:themeColor="text1"/>
          <w:sz w:val="28"/>
          <w:szCs w:val="28"/>
        </w:rPr>
        <w:t>as within</w:t>
      </w:r>
      <w:r w:rsidR="005541B3" w:rsidRPr="003741C4">
        <w:rPr>
          <w:rFonts w:ascii="Times New Roman" w:hAnsi="Times New Roman" w:cs="Times New Roman"/>
          <w:color w:val="000000" w:themeColor="text1"/>
          <w:sz w:val="28"/>
          <w:szCs w:val="28"/>
        </w:rPr>
        <w:t xml:space="preserve"> ±0.1.</w:t>
      </w:r>
    </w:p>
    <w:p w14:paraId="5DF9705C" w14:textId="683AE186" w:rsidR="00513918" w:rsidRDefault="00DA173F" w:rsidP="00C75E07">
      <w:pPr>
        <w:jc w:val="center"/>
      </w:pPr>
      <w:r>
        <w:rPr>
          <w:noProof/>
        </w:rPr>
        <w:drawing>
          <wp:inline distT="0" distB="0" distL="0" distR="0" wp14:anchorId="50BCAA3A" wp14:editId="22C70B64">
            <wp:extent cx="4819503" cy="676275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27642" cy="6774170"/>
                    </a:xfrm>
                    <a:prstGeom prst="rect">
                      <a:avLst/>
                    </a:prstGeom>
                    <a:noFill/>
                    <a:ln>
                      <a:noFill/>
                    </a:ln>
                  </pic:spPr>
                </pic:pic>
              </a:graphicData>
            </a:graphic>
          </wp:inline>
        </w:drawing>
      </w:r>
    </w:p>
    <w:p w14:paraId="5E72E317" w14:textId="120BF848" w:rsidR="00CC4C26" w:rsidRPr="007430A1" w:rsidRDefault="00CC4C26" w:rsidP="003817C8">
      <w:pPr>
        <w:pStyle w:val="Heading1"/>
        <w:spacing w:after="240" w:line="240" w:lineRule="auto"/>
        <w:jc w:val="both"/>
        <w:rPr>
          <w:rFonts w:ascii="Times New Roman" w:hAnsi="Times New Roman" w:cs="Times New Roman"/>
          <w:color w:val="000000" w:themeColor="text1"/>
          <w:sz w:val="28"/>
          <w:szCs w:val="28"/>
        </w:rPr>
      </w:pPr>
      <w:r w:rsidRPr="003741C4">
        <w:rPr>
          <w:rFonts w:ascii="Times New Roman" w:hAnsi="Times New Roman" w:cs="Times New Roman"/>
          <w:b/>
          <w:bCs/>
          <w:color w:val="000000" w:themeColor="text1"/>
          <w:sz w:val="28"/>
          <w:szCs w:val="28"/>
        </w:rPr>
        <w:lastRenderedPageBreak/>
        <w:t>Figure S</w:t>
      </w:r>
      <w:r w:rsidR="00C164EE">
        <w:rPr>
          <w:rFonts w:ascii="Times New Roman" w:hAnsi="Times New Roman" w:cs="Times New Roman"/>
          <w:b/>
          <w:bCs/>
          <w:color w:val="000000" w:themeColor="text1"/>
          <w:sz w:val="28"/>
          <w:szCs w:val="28"/>
        </w:rPr>
        <w:t>3</w:t>
      </w:r>
      <w:r w:rsidRPr="003741C4">
        <w:rPr>
          <w:rFonts w:ascii="Times New Roman" w:hAnsi="Times New Roman" w:cs="Times New Roman"/>
          <w:b/>
          <w:bCs/>
          <w:color w:val="000000" w:themeColor="text1"/>
          <w:sz w:val="28"/>
          <w:szCs w:val="28"/>
        </w:rPr>
        <w:t xml:space="preserve">. </w:t>
      </w:r>
      <w:r w:rsidR="00C164EE">
        <w:rPr>
          <w:rFonts w:ascii="Times New Roman" w:hAnsi="Times New Roman" w:cs="Times New Roman"/>
          <w:b/>
          <w:bCs/>
          <w:color w:val="000000" w:themeColor="text1"/>
          <w:sz w:val="28"/>
          <w:szCs w:val="28"/>
        </w:rPr>
        <w:t>Negative outcome control</w:t>
      </w:r>
      <w:r w:rsidR="0088291A">
        <w:rPr>
          <w:rFonts w:ascii="Times New Roman" w:hAnsi="Times New Roman" w:cs="Times New Roman"/>
          <w:b/>
          <w:bCs/>
          <w:color w:val="000000" w:themeColor="text1"/>
          <w:sz w:val="28"/>
          <w:szCs w:val="28"/>
        </w:rPr>
        <w:t xml:space="preserve"> 1</w:t>
      </w:r>
      <w:r w:rsidR="00C164EE">
        <w:rPr>
          <w:rFonts w:ascii="Times New Roman" w:hAnsi="Times New Roman" w:cs="Times New Roman"/>
          <w:b/>
          <w:bCs/>
          <w:color w:val="000000" w:themeColor="text1"/>
          <w:sz w:val="28"/>
          <w:szCs w:val="28"/>
        </w:rPr>
        <w:t>. The cumulative</w:t>
      </w:r>
      <w:r w:rsidR="00A7434C">
        <w:rPr>
          <w:rFonts w:ascii="Times New Roman" w:hAnsi="Times New Roman" w:cs="Times New Roman"/>
          <w:b/>
          <w:bCs/>
          <w:color w:val="000000" w:themeColor="text1"/>
          <w:sz w:val="28"/>
          <w:szCs w:val="28"/>
        </w:rPr>
        <w:t xml:space="preserve"> incidence of incident benign neoplasms in the post-acute phase among </w:t>
      </w:r>
      <w:r w:rsidRPr="003741C4">
        <w:rPr>
          <w:rFonts w:ascii="Times New Roman" w:hAnsi="Times New Roman" w:cs="Times New Roman"/>
          <w:b/>
          <w:bCs/>
          <w:color w:val="000000" w:themeColor="text1"/>
          <w:sz w:val="28"/>
          <w:szCs w:val="28"/>
        </w:rPr>
        <w:t xml:space="preserve">the Paxlovid-exposed group versus the non-exposed group from the adult SARS-CoV-2 infected patients who were at risk of developing severe COVID-19 illness, during the period from March 1, 2022, to February 1, 2023. </w:t>
      </w:r>
      <w:r w:rsidR="005D11A4" w:rsidRPr="007430A1">
        <w:rPr>
          <w:rFonts w:ascii="Times New Roman" w:hAnsi="Times New Roman" w:cs="Times New Roman"/>
          <w:color w:val="000000" w:themeColor="text1"/>
          <w:sz w:val="28"/>
          <w:szCs w:val="28"/>
        </w:rPr>
        <w:t xml:space="preserve">The absolute difference between cumulative incidences and the hazard ratio were computed </w:t>
      </w:r>
      <w:r w:rsidR="007430A1">
        <w:rPr>
          <w:rFonts w:ascii="Times New Roman" w:hAnsi="Times New Roman" w:cs="Times New Roman"/>
          <w:color w:val="000000" w:themeColor="text1"/>
          <w:sz w:val="28"/>
          <w:szCs w:val="28"/>
        </w:rPr>
        <w:t>on</w:t>
      </w:r>
      <w:r w:rsidR="005D11A4" w:rsidRPr="007430A1">
        <w:rPr>
          <w:rFonts w:ascii="Times New Roman" w:hAnsi="Times New Roman" w:cs="Times New Roman"/>
          <w:color w:val="000000" w:themeColor="text1"/>
          <w:sz w:val="28"/>
          <w:szCs w:val="28"/>
        </w:rPr>
        <w:t xml:space="preserve"> day</w:t>
      </w:r>
      <w:r w:rsidR="007430A1">
        <w:rPr>
          <w:rFonts w:ascii="Times New Roman" w:hAnsi="Times New Roman" w:cs="Times New Roman"/>
          <w:color w:val="000000" w:themeColor="text1"/>
          <w:sz w:val="28"/>
          <w:szCs w:val="28"/>
        </w:rPr>
        <w:t xml:space="preserve"> 180</w:t>
      </w:r>
      <w:r w:rsidR="005D11A4" w:rsidRPr="007430A1">
        <w:rPr>
          <w:rFonts w:ascii="Times New Roman" w:hAnsi="Times New Roman" w:cs="Times New Roman"/>
          <w:color w:val="000000" w:themeColor="text1"/>
          <w:sz w:val="28"/>
          <w:szCs w:val="28"/>
        </w:rPr>
        <w:t xml:space="preserve"> after the infection</w:t>
      </w:r>
      <w:r w:rsidR="007430A1">
        <w:rPr>
          <w:rFonts w:ascii="Times New Roman" w:hAnsi="Times New Roman" w:cs="Times New Roman"/>
          <w:color w:val="000000" w:themeColor="text1"/>
          <w:sz w:val="28"/>
          <w:szCs w:val="28"/>
        </w:rPr>
        <w:t>.</w:t>
      </w:r>
    </w:p>
    <w:p w14:paraId="2C0BED0F" w14:textId="466676CB" w:rsidR="00F74AF6" w:rsidRDefault="00F74AF6" w:rsidP="00E13D33">
      <w:pPr>
        <w:jc w:val="center"/>
      </w:pPr>
      <w:r>
        <w:rPr>
          <w:noProof/>
        </w:rPr>
        <w:drawing>
          <wp:inline distT="0" distB="0" distL="0" distR="0" wp14:anchorId="36685CE8" wp14:editId="73137EE4">
            <wp:extent cx="5400675" cy="31051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675" cy="3105150"/>
                    </a:xfrm>
                    <a:prstGeom prst="rect">
                      <a:avLst/>
                    </a:prstGeom>
                    <a:noFill/>
                    <a:ln>
                      <a:noFill/>
                    </a:ln>
                  </pic:spPr>
                </pic:pic>
              </a:graphicData>
            </a:graphic>
          </wp:inline>
        </w:drawing>
      </w:r>
    </w:p>
    <w:p w14:paraId="5AB7ADAA" w14:textId="77777777" w:rsidR="0088291A" w:rsidRDefault="0088291A" w:rsidP="00E13D33">
      <w:pPr>
        <w:jc w:val="center"/>
      </w:pPr>
    </w:p>
    <w:p w14:paraId="37909671" w14:textId="5FEBBEEE" w:rsidR="0088291A" w:rsidRDefault="0088291A">
      <w:r>
        <w:br w:type="page"/>
      </w:r>
    </w:p>
    <w:p w14:paraId="12F8F620" w14:textId="42FFDC48" w:rsidR="0088291A" w:rsidRDefault="0088291A" w:rsidP="00F14790">
      <w:pPr>
        <w:pStyle w:val="Heading1"/>
        <w:spacing w:after="240" w:line="240" w:lineRule="auto"/>
        <w:jc w:val="both"/>
        <w:rPr>
          <w:rFonts w:ascii="Times New Roman" w:hAnsi="Times New Roman" w:cs="Times New Roman"/>
          <w:color w:val="000000" w:themeColor="text1"/>
          <w:sz w:val="28"/>
          <w:szCs w:val="28"/>
        </w:rPr>
      </w:pPr>
      <w:r w:rsidRPr="003741C4">
        <w:rPr>
          <w:rFonts w:ascii="Times New Roman" w:hAnsi="Times New Roman" w:cs="Times New Roman"/>
          <w:b/>
          <w:bCs/>
          <w:color w:val="000000" w:themeColor="text1"/>
          <w:sz w:val="28"/>
          <w:szCs w:val="28"/>
        </w:rPr>
        <w:lastRenderedPageBreak/>
        <w:t>Figure S</w:t>
      </w:r>
      <w:r w:rsidR="008064FB">
        <w:rPr>
          <w:rFonts w:ascii="Times New Roman" w:hAnsi="Times New Roman" w:cs="Times New Roman"/>
          <w:b/>
          <w:bCs/>
          <w:color w:val="000000" w:themeColor="text1"/>
          <w:sz w:val="28"/>
          <w:szCs w:val="28"/>
        </w:rPr>
        <w:t>4</w:t>
      </w:r>
      <w:r w:rsidRPr="003741C4">
        <w:rPr>
          <w:rFonts w:ascii="Times New Roman" w:hAnsi="Times New Roman" w:cs="Times New Roman"/>
          <w:b/>
          <w:bCs/>
          <w:color w:val="000000" w:themeColor="text1"/>
          <w:sz w:val="28"/>
          <w:szCs w:val="28"/>
        </w:rPr>
        <w:t xml:space="preserve">. </w:t>
      </w:r>
      <w:r>
        <w:rPr>
          <w:rFonts w:ascii="Times New Roman" w:hAnsi="Times New Roman" w:cs="Times New Roman"/>
          <w:b/>
          <w:bCs/>
          <w:color w:val="000000" w:themeColor="text1"/>
          <w:sz w:val="28"/>
          <w:szCs w:val="28"/>
        </w:rPr>
        <w:t xml:space="preserve">Negative outcome control </w:t>
      </w:r>
      <w:r w:rsidR="008064FB">
        <w:rPr>
          <w:rFonts w:ascii="Times New Roman" w:hAnsi="Times New Roman" w:cs="Times New Roman"/>
          <w:b/>
          <w:bCs/>
          <w:color w:val="000000" w:themeColor="text1"/>
          <w:sz w:val="28"/>
          <w:szCs w:val="28"/>
        </w:rPr>
        <w:t>2</w:t>
      </w:r>
      <w:r>
        <w:rPr>
          <w:rFonts w:ascii="Times New Roman" w:hAnsi="Times New Roman" w:cs="Times New Roman"/>
          <w:b/>
          <w:bCs/>
          <w:color w:val="000000" w:themeColor="text1"/>
          <w:sz w:val="28"/>
          <w:szCs w:val="28"/>
        </w:rPr>
        <w:t xml:space="preserve">. The cumulative incidence of incident </w:t>
      </w:r>
      <w:r w:rsidR="008064FB">
        <w:rPr>
          <w:rFonts w:ascii="Times New Roman" w:hAnsi="Times New Roman" w:cs="Times New Roman"/>
          <w:b/>
          <w:bCs/>
          <w:color w:val="000000" w:themeColor="text1"/>
          <w:sz w:val="28"/>
          <w:szCs w:val="28"/>
        </w:rPr>
        <w:t>skin cancer</w:t>
      </w:r>
      <w:r>
        <w:rPr>
          <w:rFonts w:ascii="Times New Roman" w:hAnsi="Times New Roman" w:cs="Times New Roman"/>
          <w:b/>
          <w:bCs/>
          <w:color w:val="000000" w:themeColor="text1"/>
          <w:sz w:val="28"/>
          <w:szCs w:val="28"/>
        </w:rPr>
        <w:t xml:space="preserve"> in the post-acute phase among </w:t>
      </w:r>
      <w:r w:rsidRPr="003741C4">
        <w:rPr>
          <w:rFonts w:ascii="Times New Roman" w:hAnsi="Times New Roman" w:cs="Times New Roman"/>
          <w:b/>
          <w:bCs/>
          <w:color w:val="000000" w:themeColor="text1"/>
          <w:sz w:val="28"/>
          <w:szCs w:val="28"/>
        </w:rPr>
        <w:t xml:space="preserve">the Paxlovid-exposed group versus the non-exposed group from the adult SARS-CoV-2 infected patients who were at risk of developing severe COVID-19 illness, during the period from March 1, 2022, to February 1, 2023. </w:t>
      </w:r>
      <w:r w:rsidRPr="007430A1">
        <w:rPr>
          <w:rFonts w:ascii="Times New Roman" w:hAnsi="Times New Roman" w:cs="Times New Roman"/>
          <w:color w:val="000000" w:themeColor="text1"/>
          <w:sz w:val="28"/>
          <w:szCs w:val="28"/>
        </w:rPr>
        <w:t xml:space="preserve">The absolute difference between cumulative incidences and the hazard ratio were computed </w:t>
      </w:r>
      <w:r>
        <w:rPr>
          <w:rFonts w:ascii="Times New Roman" w:hAnsi="Times New Roman" w:cs="Times New Roman"/>
          <w:color w:val="000000" w:themeColor="text1"/>
          <w:sz w:val="28"/>
          <w:szCs w:val="28"/>
        </w:rPr>
        <w:t>on</w:t>
      </w:r>
      <w:r w:rsidRPr="007430A1">
        <w:rPr>
          <w:rFonts w:ascii="Times New Roman" w:hAnsi="Times New Roman" w:cs="Times New Roman"/>
          <w:color w:val="000000" w:themeColor="text1"/>
          <w:sz w:val="28"/>
          <w:szCs w:val="28"/>
        </w:rPr>
        <w:t xml:space="preserve"> day</w:t>
      </w:r>
      <w:r>
        <w:rPr>
          <w:rFonts w:ascii="Times New Roman" w:hAnsi="Times New Roman" w:cs="Times New Roman"/>
          <w:color w:val="000000" w:themeColor="text1"/>
          <w:sz w:val="28"/>
          <w:szCs w:val="28"/>
        </w:rPr>
        <w:t xml:space="preserve"> 180</w:t>
      </w:r>
      <w:r w:rsidRPr="007430A1">
        <w:rPr>
          <w:rFonts w:ascii="Times New Roman" w:hAnsi="Times New Roman" w:cs="Times New Roman"/>
          <w:color w:val="000000" w:themeColor="text1"/>
          <w:sz w:val="28"/>
          <w:szCs w:val="28"/>
        </w:rPr>
        <w:t xml:space="preserve"> after the infection</w:t>
      </w:r>
      <w:r>
        <w:rPr>
          <w:rFonts w:ascii="Times New Roman" w:hAnsi="Times New Roman" w:cs="Times New Roman"/>
          <w:color w:val="000000" w:themeColor="text1"/>
          <w:sz w:val="28"/>
          <w:szCs w:val="28"/>
        </w:rPr>
        <w:t>.</w:t>
      </w:r>
    </w:p>
    <w:p w14:paraId="6365BAFF" w14:textId="538E2E05" w:rsidR="00513918" w:rsidRDefault="00A73A95" w:rsidP="00E13D33">
      <w:pPr>
        <w:jc w:val="center"/>
      </w:pPr>
      <w:r>
        <w:rPr>
          <w:noProof/>
        </w:rPr>
        <w:drawing>
          <wp:inline distT="0" distB="0" distL="0" distR="0" wp14:anchorId="55B072DB" wp14:editId="625A96BE">
            <wp:extent cx="5400675" cy="31051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675" cy="3105150"/>
                    </a:xfrm>
                    <a:prstGeom prst="rect">
                      <a:avLst/>
                    </a:prstGeom>
                    <a:noFill/>
                    <a:ln>
                      <a:noFill/>
                    </a:ln>
                  </pic:spPr>
                </pic:pic>
              </a:graphicData>
            </a:graphic>
          </wp:inline>
        </w:drawing>
      </w:r>
    </w:p>
    <w:p w14:paraId="42490969" w14:textId="5E8ABFEB" w:rsidR="002238E7" w:rsidRDefault="002238E7" w:rsidP="00E13D33">
      <w:pPr>
        <w:jc w:val="center"/>
      </w:pPr>
      <w:r>
        <w:br w:type="page"/>
      </w:r>
    </w:p>
    <w:p w14:paraId="4BEC8BCB" w14:textId="6F1B67F7" w:rsidR="002238E7" w:rsidRDefault="002238E7" w:rsidP="002238E7">
      <w:pPr>
        <w:pStyle w:val="Heading1"/>
        <w:spacing w:after="240" w:line="240" w:lineRule="auto"/>
        <w:jc w:val="both"/>
        <w:rPr>
          <w:rFonts w:ascii="Times New Roman" w:hAnsi="Times New Roman" w:cs="Times New Roman"/>
          <w:color w:val="000000" w:themeColor="text1"/>
          <w:sz w:val="28"/>
          <w:szCs w:val="28"/>
        </w:rPr>
      </w:pPr>
      <w:r w:rsidRPr="003741C4">
        <w:rPr>
          <w:rFonts w:ascii="Times New Roman" w:hAnsi="Times New Roman" w:cs="Times New Roman"/>
          <w:b/>
          <w:bCs/>
          <w:color w:val="000000" w:themeColor="text1"/>
          <w:sz w:val="28"/>
          <w:szCs w:val="28"/>
        </w:rPr>
        <w:lastRenderedPageBreak/>
        <w:t>Figure S</w:t>
      </w:r>
      <w:r>
        <w:rPr>
          <w:rFonts w:ascii="Times New Roman" w:hAnsi="Times New Roman" w:cs="Times New Roman"/>
          <w:b/>
          <w:bCs/>
          <w:color w:val="000000" w:themeColor="text1"/>
          <w:sz w:val="28"/>
          <w:szCs w:val="28"/>
        </w:rPr>
        <w:t>5</w:t>
      </w:r>
      <w:r w:rsidRPr="003741C4">
        <w:rPr>
          <w:rFonts w:ascii="Times New Roman" w:hAnsi="Times New Roman" w:cs="Times New Roman"/>
          <w:b/>
          <w:bCs/>
          <w:color w:val="000000" w:themeColor="text1"/>
          <w:sz w:val="28"/>
          <w:szCs w:val="28"/>
        </w:rPr>
        <w:t xml:space="preserve">. </w:t>
      </w:r>
      <w:r w:rsidR="001D5002" w:rsidRPr="001D5002">
        <w:rPr>
          <w:rFonts w:ascii="Times New Roman" w:hAnsi="Times New Roman" w:cs="Times New Roman"/>
          <w:b/>
          <w:bCs/>
          <w:color w:val="000000" w:themeColor="text1"/>
          <w:sz w:val="28"/>
          <w:szCs w:val="28"/>
        </w:rPr>
        <w:t xml:space="preserve">Absolute </w:t>
      </w:r>
      <w:proofErr w:type="gramStart"/>
      <w:r w:rsidR="001D5002" w:rsidRPr="001D5002">
        <w:rPr>
          <w:rFonts w:ascii="Times New Roman" w:hAnsi="Times New Roman" w:cs="Times New Roman"/>
          <w:b/>
          <w:bCs/>
          <w:color w:val="000000" w:themeColor="text1"/>
          <w:sz w:val="28"/>
          <w:szCs w:val="28"/>
        </w:rPr>
        <w:t>Risk,  Risk</w:t>
      </w:r>
      <w:proofErr w:type="gramEnd"/>
      <w:r w:rsidR="001D5002" w:rsidRPr="001D5002">
        <w:rPr>
          <w:rFonts w:ascii="Times New Roman" w:hAnsi="Times New Roman" w:cs="Times New Roman"/>
          <w:b/>
          <w:bCs/>
          <w:color w:val="000000" w:themeColor="text1"/>
          <w:sz w:val="28"/>
          <w:szCs w:val="28"/>
        </w:rPr>
        <w:t xml:space="preserve"> Ratio, Risk Difference</w:t>
      </w:r>
      <w:r w:rsidR="001D5002">
        <w:rPr>
          <w:rFonts w:ascii="Times New Roman" w:hAnsi="Times New Roman" w:cs="Times New Roman"/>
          <w:b/>
          <w:bCs/>
          <w:color w:val="000000" w:themeColor="text1"/>
          <w:sz w:val="28"/>
          <w:szCs w:val="28"/>
        </w:rPr>
        <w:t xml:space="preserve">, and </w:t>
      </w:r>
      <w:r w:rsidR="00A43FE9">
        <w:rPr>
          <w:rFonts w:ascii="Times New Roman" w:hAnsi="Times New Roman" w:cs="Times New Roman"/>
          <w:b/>
          <w:bCs/>
          <w:color w:val="000000" w:themeColor="text1"/>
          <w:sz w:val="28"/>
          <w:szCs w:val="28"/>
        </w:rPr>
        <w:t xml:space="preserve">associated </w:t>
      </w:r>
      <w:r w:rsidR="001D5002">
        <w:rPr>
          <w:rFonts w:ascii="Times New Roman" w:hAnsi="Times New Roman" w:cs="Times New Roman"/>
          <w:b/>
          <w:bCs/>
          <w:color w:val="000000" w:themeColor="text1"/>
          <w:sz w:val="28"/>
          <w:szCs w:val="28"/>
        </w:rPr>
        <w:t>P-Values</w:t>
      </w:r>
      <w:r w:rsidR="001D5002" w:rsidRPr="001D5002">
        <w:rPr>
          <w:rFonts w:ascii="Times New Roman" w:hAnsi="Times New Roman" w:cs="Times New Roman"/>
          <w:b/>
          <w:bCs/>
          <w:color w:val="000000" w:themeColor="text1"/>
          <w:sz w:val="28"/>
          <w:szCs w:val="28"/>
        </w:rPr>
        <w:t xml:space="preserve"> of Long COVID in the Paxlovid group versus the Non-treated group at 180 days after the infection. </w:t>
      </w:r>
      <w:r w:rsidR="001D5002" w:rsidRPr="001D5002">
        <w:rPr>
          <w:rFonts w:ascii="Times New Roman" w:hAnsi="Times New Roman" w:cs="Times New Roman"/>
          <w:color w:val="000000" w:themeColor="text1"/>
          <w:sz w:val="28"/>
          <w:szCs w:val="28"/>
        </w:rPr>
        <w:t>Outcomes were ascertained 30 days after the first documented SARS-CoV-2 infection evidence until the end of the follow-up. The absolute risk, risk ratio, and risk difference were captured by the cumulative incidence (CIF), hazard ratio (HR), and the difference of cumulative incidence per 100 persons (DIFF/100), estimated at 180 days after the infection index date, respectively. Shaded areas represent pointwise 95% Confidence Intervals (95% CI).</w:t>
      </w:r>
      <w:r w:rsidR="00A57D56">
        <w:rPr>
          <w:rFonts w:ascii="Times New Roman" w:hAnsi="Times New Roman" w:cs="Times New Roman"/>
          <w:color w:val="000000" w:themeColor="text1"/>
          <w:sz w:val="28"/>
          <w:szCs w:val="28"/>
        </w:rPr>
        <w:t xml:space="preserve"> </w:t>
      </w:r>
      <w:r w:rsidR="00A57D56" w:rsidRPr="00A57D56">
        <w:rPr>
          <w:rFonts w:ascii="Times New Roman" w:hAnsi="Times New Roman" w:cs="Times New Roman"/>
          <w:color w:val="000000" w:themeColor="text1"/>
          <w:sz w:val="28"/>
          <w:szCs w:val="28"/>
        </w:rPr>
        <w:t xml:space="preserve">The </w:t>
      </w:r>
      <w:r w:rsidR="00A57D56">
        <w:rPr>
          <w:rFonts w:ascii="Times New Roman" w:hAnsi="Times New Roman" w:cs="Times New Roman"/>
          <w:color w:val="000000" w:themeColor="text1"/>
          <w:sz w:val="28"/>
          <w:szCs w:val="28"/>
        </w:rPr>
        <w:t>hazard ratio</w:t>
      </w:r>
      <w:r w:rsidR="00A57D56" w:rsidRPr="00A57D56">
        <w:rPr>
          <w:rFonts w:ascii="Times New Roman" w:hAnsi="Times New Roman" w:cs="Times New Roman"/>
          <w:color w:val="000000" w:themeColor="text1"/>
          <w:sz w:val="28"/>
          <w:szCs w:val="28"/>
        </w:rPr>
        <w:t xml:space="preserve"> and its P-value were calculated by the Cox proportional hazard model and the Wald Chi-Square test.</w:t>
      </w:r>
      <w:r w:rsidR="00A57D56">
        <w:rPr>
          <w:rFonts w:ascii="Times New Roman" w:hAnsi="Times New Roman" w:cs="Times New Roman"/>
          <w:color w:val="000000" w:themeColor="text1"/>
          <w:sz w:val="28"/>
          <w:szCs w:val="28"/>
        </w:rPr>
        <w:t xml:space="preserve"> The difference in cumulative incidence was tested at 180 days using a transformed survival function and a</w:t>
      </w:r>
      <w:r w:rsidR="00A57D56" w:rsidRPr="00A57D56">
        <w:rPr>
          <w:rFonts w:ascii="Times New Roman" w:hAnsi="Times New Roman" w:cs="Times New Roman"/>
          <w:color w:val="000000" w:themeColor="text1"/>
          <w:sz w:val="28"/>
          <w:szCs w:val="28"/>
        </w:rPr>
        <w:t xml:space="preserve"> chi-square test</w:t>
      </w:r>
      <w:r w:rsidR="00A57D56">
        <w:rPr>
          <w:rFonts w:ascii="Times New Roman" w:hAnsi="Times New Roman" w:cs="Times New Roman"/>
          <w:color w:val="000000" w:themeColor="text1"/>
          <w:sz w:val="28"/>
          <w:szCs w:val="28"/>
        </w:rPr>
        <w:t xml:space="preserve"> described in </w:t>
      </w:r>
      <w:r w:rsidR="00A57D56">
        <w:rPr>
          <w:rFonts w:ascii="Times New Roman" w:hAnsi="Times New Roman" w:cs="Times New Roman"/>
          <w:color w:val="000000" w:themeColor="text1"/>
          <w:sz w:val="28"/>
          <w:szCs w:val="28"/>
        </w:rPr>
        <w:fldChar w:fldCharType="begin"/>
      </w:r>
      <w:r w:rsidR="009F1170">
        <w:rPr>
          <w:rFonts w:ascii="Times New Roman" w:hAnsi="Times New Roman" w:cs="Times New Roman"/>
          <w:color w:val="000000" w:themeColor="text1"/>
          <w:sz w:val="28"/>
          <w:szCs w:val="28"/>
        </w:rPr>
        <w:instrText xml:space="preserve"> ADDIN ZOTERO_ITEM CSL_CITATION {"citationID":"l08UWAuw","properties":{"formattedCitation":"\\super 5\\nosupersub{}","plainCitation":"5","noteIndex":0},"citationItems":[{"id":10054,"uris":["http://zotero.org/users/5859538/items/HTV7TTVW"],"itemData":{"id":10054,"type":"article-journal","abstract":"A common problem encountered in many medical applications is the comparison of survival curves. Often, rather than comparison of the entire survival curves, interest is focused on the comparison at a fixed point in time. In most cases, the naive test based on a difference in the estimates of survival is used for this comparison. In this note, we examine the performance of alternatives to the naive test. These include tests based on a number of transformations of the survival function and a test based on a generalized linear model for pseudo-observations. The type I errors and power of these tests for a variety of sample sizes are compared by a Monte Carlo study. We also discuss how these tests may be extended to situations where the data are stratified. The pseudo-value approach is also applicable in more detailed regression analysis of the survival probability at a fixed point in time. The methods are illustrated on a study comparing survival for autologous and allogeneic bone marrow transplants. Copyright © 2007 John Wiley &amp; Sons, Ltd.","container-title":"Statistics in Medicine","DOI":"10.1002/sim.2864","ISSN":"1097-0258","issue":"24","language":"en","license":"Copyright © 2007 John Wiley &amp; Sons, Ltd.","note":"_eprint: https://onlinelibrary.wiley.com/doi/pdf/10.1002/sim.2864","page":"4505-4519","source":"Wiley Online Library","title":"Analyzing survival curves at a fixed point in time","volume":"26","author":[{"family":"Klein","given":"John P."},{"family":"Logan","given":"Brent"},{"family":"Harhoff","given":"Mette"},{"family":"Andersen","given":"Per Kragh"}],"issued":{"date-parts":[["2007"]]}}}],"schema":"https://github.com/citation-style-language/schema/raw/master/csl-citation.json"} </w:instrText>
      </w:r>
      <w:r w:rsidR="00A57D56">
        <w:rPr>
          <w:rFonts w:ascii="Times New Roman" w:hAnsi="Times New Roman" w:cs="Times New Roman"/>
          <w:color w:val="000000" w:themeColor="text1"/>
          <w:sz w:val="28"/>
          <w:szCs w:val="28"/>
        </w:rPr>
        <w:fldChar w:fldCharType="separate"/>
      </w:r>
      <w:r w:rsidR="009F1170" w:rsidRPr="009F1170">
        <w:rPr>
          <w:rFonts w:ascii="Times New Roman" w:hAnsi="Times New Roman" w:cs="Times New Roman"/>
          <w:kern w:val="0"/>
          <w:sz w:val="28"/>
          <w:szCs w:val="24"/>
          <w:vertAlign w:val="superscript"/>
        </w:rPr>
        <w:t>5</w:t>
      </w:r>
      <w:r w:rsidR="00A57D56">
        <w:rPr>
          <w:rFonts w:ascii="Times New Roman" w:hAnsi="Times New Roman" w:cs="Times New Roman"/>
          <w:color w:val="000000" w:themeColor="text1"/>
          <w:sz w:val="28"/>
          <w:szCs w:val="28"/>
        </w:rPr>
        <w:fldChar w:fldCharType="end"/>
      </w:r>
      <w:r w:rsidR="00A57D56">
        <w:rPr>
          <w:rFonts w:ascii="Times New Roman" w:hAnsi="Times New Roman" w:cs="Times New Roman"/>
          <w:color w:val="000000" w:themeColor="text1"/>
          <w:sz w:val="28"/>
          <w:szCs w:val="28"/>
        </w:rPr>
        <w:t>.</w:t>
      </w:r>
    </w:p>
    <w:p w14:paraId="0BF1879F" w14:textId="77777777" w:rsidR="002238E7" w:rsidRDefault="002238E7" w:rsidP="00E13D33">
      <w:pPr>
        <w:jc w:val="center"/>
      </w:pPr>
    </w:p>
    <w:p w14:paraId="29EFBE1C" w14:textId="77777777" w:rsidR="00431764" w:rsidRDefault="00431764" w:rsidP="00E13D33">
      <w:pPr>
        <w:jc w:val="center"/>
        <w:sectPr w:rsidR="00431764">
          <w:pgSz w:w="12240" w:h="15840"/>
          <w:pgMar w:top="1440" w:right="1440" w:bottom="1440" w:left="1440" w:header="720" w:footer="720" w:gutter="0"/>
          <w:cols w:space="720"/>
          <w:docGrid w:linePitch="360"/>
        </w:sectPr>
      </w:pPr>
    </w:p>
    <w:p w14:paraId="15BE85CC" w14:textId="77777777" w:rsidR="002238E7" w:rsidRDefault="002238E7" w:rsidP="00E13D33">
      <w:pPr>
        <w:jc w:val="center"/>
      </w:pPr>
      <w:r>
        <w:lastRenderedPageBreak/>
        <w:br/>
      </w:r>
      <w:r>
        <w:rPr>
          <w:noProof/>
        </w:rPr>
        <w:drawing>
          <wp:inline distT="0" distB="0" distL="0" distR="0" wp14:anchorId="598E6F86" wp14:editId="12131DB5">
            <wp:extent cx="8229600" cy="49917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229600" cy="4991735"/>
                    </a:xfrm>
                    <a:prstGeom prst="rect">
                      <a:avLst/>
                    </a:prstGeom>
                    <a:noFill/>
                    <a:ln>
                      <a:noFill/>
                    </a:ln>
                  </pic:spPr>
                </pic:pic>
              </a:graphicData>
            </a:graphic>
          </wp:inline>
        </w:drawing>
      </w:r>
    </w:p>
    <w:p w14:paraId="08EDFBE8" w14:textId="77777777" w:rsidR="00473377" w:rsidRDefault="00473377" w:rsidP="00E13D33">
      <w:pPr>
        <w:jc w:val="center"/>
      </w:pPr>
      <w:r>
        <w:br w:type="page"/>
      </w:r>
    </w:p>
    <w:p w14:paraId="2CE5B12C" w14:textId="37E7737D" w:rsidR="00473377" w:rsidRPr="00E024C1" w:rsidRDefault="00473377" w:rsidP="00473377">
      <w:pPr>
        <w:pStyle w:val="Heading1"/>
        <w:spacing w:after="240" w:line="240" w:lineRule="auto"/>
        <w:jc w:val="both"/>
        <w:rPr>
          <w:rFonts w:ascii="Times New Roman" w:hAnsi="Times New Roman" w:cs="Times New Roman"/>
          <w:color w:val="000000" w:themeColor="text1"/>
          <w:sz w:val="28"/>
          <w:szCs w:val="28"/>
        </w:rPr>
      </w:pPr>
      <w:r w:rsidRPr="003741C4">
        <w:rPr>
          <w:rFonts w:ascii="Times New Roman" w:hAnsi="Times New Roman" w:cs="Times New Roman"/>
          <w:b/>
          <w:bCs/>
          <w:color w:val="000000" w:themeColor="text1"/>
          <w:sz w:val="28"/>
          <w:szCs w:val="28"/>
        </w:rPr>
        <w:lastRenderedPageBreak/>
        <w:t>Figure S</w:t>
      </w:r>
      <w:r>
        <w:rPr>
          <w:rFonts w:ascii="Times New Roman" w:hAnsi="Times New Roman" w:cs="Times New Roman"/>
          <w:b/>
          <w:bCs/>
          <w:color w:val="000000" w:themeColor="text1"/>
          <w:sz w:val="28"/>
          <w:szCs w:val="28"/>
        </w:rPr>
        <w:t>6</w:t>
      </w:r>
      <w:r w:rsidRPr="003741C4">
        <w:rPr>
          <w:rFonts w:ascii="Times New Roman" w:hAnsi="Times New Roman" w:cs="Times New Roman"/>
          <w:b/>
          <w:bCs/>
          <w:color w:val="000000" w:themeColor="text1"/>
          <w:sz w:val="28"/>
          <w:szCs w:val="28"/>
        </w:rPr>
        <w:t xml:space="preserve">. </w:t>
      </w:r>
      <w:r w:rsidR="00E024C1" w:rsidRPr="00E024C1">
        <w:rPr>
          <w:rFonts w:ascii="Times New Roman" w:hAnsi="Times New Roman" w:cs="Times New Roman"/>
          <w:b/>
          <w:bCs/>
          <w:color w:val="000000" w:themeColor="text1"/>
          <w:sz w:val="28"/>
          <w:szCs w:val="28"/>
        </w:rPr>
        <w:t xml:space="preserve">Absolute Risk, Risk Ratio, and Risk Difference of </w:t>
      </w:r>
      <w:r w:rsidR="00E024C1">
        <w:rPr>
          <w:rFonts w:ascii="Times New Roman" w:hAnsi="Times New Roman" w:cs="Times New Roman"/>
          <w:b/>
          <w:bCs/>
          <w:color w:val="000000" w:themeColor="text1"/>
          <w:sz w:val="28"/>
          <w:szCs w:val="28"/>
        </w:rPr>
        <w:t xml:space="preserve">documented </w:t>
      </w:r>
      <w:r w:rsidR="00BA3245">
        <w:rPr>
          <w:rFonts w:ascii="Times New Roman" w:hAnsi="Times New Roman" w:cs="Times New Roman"/>
          <w:b/>
          <w:bCs/>
          <w:color w:val="000000" w:themeColor="text1"/>
          <w:sz w:val="28"/>
          <w:szCs w:val="28"/>
        </w:rPr>
        <w:t>P</w:t>
      </w:r>
      <w:r w:rsidR="00E024C1">
        <w:rPr>
          <w:rFonts w:ascii="Times New Roman" w:hAnsi="Times New Roman" w:cs="Times New Roman"/>
          <w:b/>
          <w:bCs/>
          <w:color w:val="000000" w:themeColor="text1"/>
          <w:sz w:val="28"/>
          <w:szCs w:val="28"/>
        </w:rPr>
        <w:t xml:space="preserve">ost-acute </w:t>
      </w:r>
      <w:r w:rsidR="00BA3245">
        <w:rPr>
          <w:rFonts w:ascii="Times New Roman" w:hAnsi="Times New Roman" w:cs="Times New Roman"/>
          <w:b/>
          <w:bCs/>
          <w:color w:val="000000" w:themeColor="text1"/>
          <w:sz w:val="28"/>
          <w:szCs w:val="28"/>
        </w:rPr>
        <w:t>D</w:t>
      </w:r>
      <w:r w:rsidR="00E024C1">
        <w:rPr>
          <w:rFonts w:ascii="Times New Roman" w:hAnsi="Times New Roman" w:cs="Times New Roman"/>
          <w:b/>
          <w:bCs/>
          <w:color w:val="000000" w:themeColor="text1"/>
          <w:sz w:val="28"/>
          <w:szCs w:val="28"/>
        </w:rPr>
        <w:t>eath</w:t>
      </w:r>
      <w:r w:rsidR="00E024C1" w:rsidRPr="00E024C1">
        <w:rPr>
          <w:rFonts w:ascii="Times New Roman" w:hAnsi="Times New Roman" w:cs="Times New Roman"/>
          <w:b/>
          <w:bCs/>
          <w:color w:val="000000" w:themeColor="text1"/>
          <w:sz w:val="28"/>
          <w:szCs w:val="28"/>
        </w:rPr>
        <w:t xml:space="preserve"> in different subgroups stratified by sex, race, age, coexisting conditions, infection time, and rural-urban areas, and </w:t>
      </w:r>
      <w:r w:rsidR="0071170B">
        <w:rPr>
          <w:rFonts w:ascii="Times New Roman" w:hAnsi="Times New Roman" w:cs="Times New Roman"/>
          <w:b/>
          <w:bCs/>
          <w:color w:val="000000" w:themeColor="text1"/>
          <w:sz w:val="28"/>
          <w:szCs w:val="28"/>
        </w:rPr>
        <w:t xml:space="preserve">in VA-like </w:t>
      </w:r>
      <w:r w:rsidR="00E024C1" w:rsidRPr="00E024C1">
        <w:rPr>
          <w:rFonts w:ascii="Times New Roman" w:hAnsi="Times New Roman" w:cs="Times New Roman"/>
          <w:b/>
          <w:bCs/>
          <w:color w:val="000000" w:themeColor="text1"/>
          <w:sz w:val="28"/>
          <w:szCs w:val="28"/>
        </w:rPr>
        <w:t xml:space="preserve">cohort. </w:t>
      </w:r>
      <w:r w:rsidR="00E024C1" w:rsidRPr="00E024C1">
        <w:rPr>
          <w:rFonts w:ascii="Times New Roman" w:hAnsi="Times New Roman" w:cs="Times New Roman"/>
          <w:color w:val="000000" w:themeColor="text1"/>
          <w:sz w:val="28"/>
          <w:szCs w:val="28"/>
        </w:rPr>
        <w:t>The absolute risk, risk ratio, and risk difference were captured by the cumulative incidence (CIF), hazard ratio (HR), and the difference of cumulative incidence per 100 persons (DIFF/100), estimated at 180 days after the infection index date, respectively. Shaded areas represent pointwise 95% Confidence Intervals (95% CI).</w:t>
      </w:r>
      <w:r w:rsidR="0071170B">
        <w:rPr>
          <w:rFonts w:ascii="Times New Roman" w:hAnsi="Times New Roman" w:cs="Times New Roman"/>
          <w:color w:val="000000" w:themeColor="text1"/>
          <w:sz w:val="28"/>
          <w:szCs w:val="28"/>
        </w:rPr>
        <w:t xml:space="preserve"> </w:t>
      </w:r>
      <w:r w:rsidR="0071170B" w:rsidRPr="0071170B">
        <w:rPr>
          <w:rFonts w:ascii="Times New Roman" w:hAnsi="Times New Roman" w:cs="Times New Roman"/>
          <w:color w:val="000000" w:themeColor="text1"/>
          <w:sz w:val="28"/>
          <w:szCs w:val="28"/>
        </w:rPr>
        <w:t>in patients without documented risk factors or risk characteristics.</w:t>
      </w:r>
    </w:p>
    <w:p w14:paraId="3139E947" w14:textId="338ED0D3" w:rsidR="002238E7" w:rsidRDefault="002238E7" w:rsidP="00E13D33">
      <w:pPr>
        <w:jc w:val="center"/>
      </w:pPr>
      <w:r>
        <w:br w:type="page"/>
      </w:r>
    </w:p>
    <w:p w14:paraId="0A7C37FB" w14:textId="77777777" w:rsidR="00196B40" w:rsidRDefault="00196B40" w:rsidP="00E13D33">
      <w:pPr>
        <w:jc w:val="center"/>
      </w:pPr>
      <w:r>
        <w:rPr>
          <w:noProof/>
        </w:rPr>
        <w:lastRenderedPageBreak/>
        <w:drawing>
          <wp:inline distT="0" distB="0" distL="0" distR="0" wp14:anchorId="7EE8B11D" wp14:editId="03B46C7F">
            <wp:extent cx="8229600" cy="481520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229600" cy="4815205"/>
                    </a:xfrm>
                    <a:prstGeom prst="rect">
                      <a:avLst/>
                    </a:prstGeom>
                    <a:noFill/>
                    <a:ln>
                      <a:noFill/>
                    </a:ln>
                  </pic:spPr>
                </pic:pic>
              </a:graphicData>
            </a:graphic>
          </wp:inline>
        </w:drawing>
      </w:r>
    </w:p>
    <w:p w14:paraId="2916E08B" w14:textId="77777777" w:rsidR="002238E7" w:rsidRDefault="002238E7" w:rsidP="00E13D33">
      <w:pPr>
        <w:jc w:val="center"/>
      </w:pPr>
    </w:p>
    <w:p w14:paraId="6FDC4821" w14:textId="6204DC9F" w:rsidR="00473377" w:rsidRDefault="00473377" w:rsidP="00E13D33">
      <w:pPr>
        <w:jc w:val="center"/>
      </w:pPr>
      <w:r>
        <w:br w:type="page"/>
      </w:r>
    </w:p>
    <w:p w14:paraId="1C163B74" w14:textId="482707B3" w:rsidR="00473377" w:rsidRDefault="00473377" w:rsidP="00473377">
      <w:pPr>
        <w:pStyle w:val="Heading1"/>
        <w:spacing w:after="240" w:line="240" w:lineRule="auto"/>
        <w:jc w:val="both"/>
        <w:rPr>
          <w:rFonts w:ascii="Times New Roman" w:hAnsi="Times New Roman" w:cs="Times New Roman"/>
          <w:color w:val="000000" w:themeColor="text1"/>
          <w:sz w:val="28"/>
          <w:szCs w:val="28"/>
        </w:rPr>
      </w:pPr>
      <w:r w:rsidRPr="003741C4">
        <w:rPr>
          <w:rFonts w:ascii="Times New Roman" w:hAnsi="Times New Roman" w:cs="Times New Roman"/>
          <w:b/>
          <w:bCs/>
          <w:color w:val="000000" w:themeColor="text1"/>
          <w:sz w:val="28"/>
          <w:szCs w:val="28"/>
        </w:rPr>
        <w:lastRenderedPageBreak/>
        <w:t>Figure S</w:t>
      </w:r>
      <w:r>
        <w:rPr>
          <w:rFonts w:ascii="Times New Roman" w:hAnsi="Times New Roman" w:cs="Times New Roman"/>
          <w:b/>
          <w:bCs/>
          <w:color w:val="000000" w:themeColor="text1"/>
          <w:sz w:val="28"/>
          <w:szCs w:val="28"/>
        </w:rPr>
        <w:t>7</w:t>
      </w:r>
      <w:r w:rsidRPr="003741C4">
        <w:rPr>
          <w:rFonts w:ascii="Times New Roman" w:hAnsi="Times New Roman" w:cs="Times New Roman"/>
          <w:b/>
          <w:bCs/>
          <w:color w:val="000000" w:themeColor="text1"/>
          <w:sz w:val="28"/>
          <w:szCs w:val="28"/>
        </w:rPr>
        <w:t xml:space="preserve">. </w:t>
      </w:r>
      <w:r w:rsidR="002A1719" w:rsidRPr="002A1719">
        <w:rPr>
          <w:rFonts w:ascii="Times New Roman" w:hAnsi="Times New Roman" w:cs="Times New Roman"/>
          <w:b/>
          <w:bCs/>
          <w:color w:val="000000" w:themeColor="text1"/>
          <w:sz w:val="28"/>
          <w:szCs w:val="28"/>
        </w:rPr>
        <w:t xml:space="preserve">Absolute Risk, Risk Ratio, and Risk Difference of </w:t>
      </w:r>
      <w:r w:rsidR="00BA3245">
        <w:rPr>
          <w:rFonts w:ascii="Times New Roman" w:hAnsi="Times New Roman" w:cs="Times New Roman"/>
          <w:b/>
          <w:bCs/>
          <w:color w:val="000000" w:themeColor="text1"/>
          <w:sz w:val="28"/>
          <w:szCs w:val="28"/>
        </w:rPr>
        <w:t>P</w:t>
      </w:r>
      <w:r w:rsidR="002A1719">
        <w:rPr>
          <w:rFonts w:ascii="Times New Roman" w:hAnsi="Times New Roman" w:cs="Times New Roman"/>
          <w:b/>
          <w:bCs/>
          <w:color w:val="000000" w:themeColor="text1"/>
          <w:sz w:val="28"/>
          <w:szCs w:val="28"/>
        </w:rPr>
        <w:t xml:space="preserve">ost-acute </w:t>
      </w:r>
      <w:r w:rsidR="00BA3245">
        <w:rPr>
          <w:rFonts w:ascii="Times New Roman" w:hAnsi="Times New Roman" w:cs="Times New Roman"/>
          <w:b/>
          <w:bCs/>
          <w:color w:val="000000" w:themeColor="text1"/>
          <w:sz w:val="28"/>
          <w:szCs w:val="28"/>
        </w:rPr>
        <w:t>H</w:t>
      </w:r>
      <w:r w:rsidR="002A1719">
        <w:rPr>
          <w:rFonts w:ascii="Times New Roman" w:hAnsi="Times New Roman" w:cs="Times New Roman"/>
          <w:b/>
          <w:bCs/>
          <w:color w:val="000000" w:themeColor="text1"/>
          <w:sz w:val="28"/>
          <w:szCs w:val="28"/>
        </w:rPr>
        <w:t>ospitalization</w:t>
      </w:r>
      <w:r w:rsidR="002A1719" w:rsidRPr="002A1719">
        <w:rPr>
          <w:rFonts w:ascii="Times New Roman" w:hAnsi="Times New Roman" w:cs="Times New Roman"/>
          <w:b/>
          <w:bCs/>
          <w:color w:val="000000" w:themeColor="text1"/>
          <w:sz w:val="28"/>
          <w:szCs w:val="28"/>
        </w:rPr>
        <w:t xml:space="preserve"> in different subgroups stratified by sex, race, age, coexisting conditions, infection time, and rural-urban areas, in patients without documented risk factors or risk characteristics</w:t>
      </w:r>
      <w:r w:rsidR="0025286D">
        <w:rPr>
          <w:rFonts w:ascii="Times New Roman" w:hAnsi="Times New Roman" w:cs="Times New Roman"/>
          <w:b/>
          <w:bCs/>
          <w:color w:val="000000" w:themeColor="text1"/>
          <w:sz w:val="28"/>
          <w:szCs w:val="28"/>
        </w:rPr>
        <w:t>, and in VA-like cohort</w:t>
      </w:r>
      <w:r w:rsidR="002A1719" w:rsidRPr="002A1719">
        <w:rPr>
          <w:rFonts w:ascii="Times New Roman" w:hAnsi="Times New Roman" w:cs="Times New Roman"/>
          <w:b/>
          <w:bCs/>
          <w:color w:val="000000" w:themeColor="text1"/>
          <w:sz w:val="28"/>
          <w:szCs w:val="28"/>
        </w:rPr>
        <w:t xml:space="preserve">. </w:t>
      </w:r>
      <w:r w:rsidR="002A1719" w:rsidRPr="002A1719">
        <w:rPr>
          <w:rFonts w:ascii="Times New Roman" w:hAnsi="Times New Roman" w:cs="Times New Roman"/>
          <w:color w:val="000000" w:themeColor="text1"/>
          <w:sz w:val="28"/>
          <w:szCs w:val="28"/>
        </w:rPr>
        <w:t>The absolute risk, risk ratio, and risk difference were captured by the cumulative incidence (CIF), hazard ratio (HR), and the difference of cumulative incidence per 100 persons (DIFF/100), estimated at 180 days after the infection index date, respectively. Shaded areas represent pointwise 95% Confidence Intervals (95% CI).</w:t>
      </w:r>
    </w:p>
    <w:p w14:paraId="6F90ABA8" w14:textId="77777777" w:rsidR="00196B40" w:rsidRDefault="00196B40" w:rsidP="00E13D33">
      <w:pPr>
        <w:jc w:val="center"/>
      </w:pPr>
    </w:p>
    <w:p w14:paraId="3B97AA52" w14:textId="77777777" w:rsidR="00196B40" w:rsidRDefault="00196B40" w:rsidP="00E13D33">
      <w:pPr>
        <w:jc w:val="center"/>
      </w:pPr>
      <w:r>
        <w:br w:type="page"/>
      </w:r>
    </w:p>
    <w:p w14:paraId="4C17FC8F" w14:textId="77777777" w:rsidR="007E5AB6" w:rsidRDefault="00196B40" w:rsidP="00E13D33">
      <w:pPr>
        <w:jc w:val="center"/>
      </w:pPr>
      <w:r>
        <w:rPr>
          <w:noProof/>
        </w:rPr>
        <w:lastRenderedPageBreak/>
        <w:drawing>
          <wp:inline distT="0" distB="0" distL="0" distR="0" wp14:anchorId="5836F051" wp14:editId="7D3209F1">
            <wp:extent cx="8229600" cy="4765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229600" cy="4765675"/>
                    </a:xfrm>
                    <a:prstGeom prst="rect">
                      <a:avLst/>
                    </a:prstGeom>
                    <a:noFill/>
                    <a:ln>
                      <a:noFill/>
                    </a:ln>
                  </pic:spPr>
                </pic:pic>
              </a:graphicData>
            </a:graphic>
          </wp:inline>
        </w:drawing>
      </w:r>
    </w:p>
    <w:p w14:paraId="33EEA870" w14:textId="77777777" w:rsidR="00270B16" w:rsidRDefault="00270B16" w:rsidP="00E13D33">
      <w:pPr>
        <w:jc w:val="center"/>
      </w:pPr>
      <w:r>
        <w:br w:type="page"/>
      </w:r>
    </w:p>
    <w:p w14:paraId="18E09EDF" w14:textId="66092AAF" w:rsidR="007E5AB6" w:rsidRPr="00051B84" w:rsidRDefault="00270B16" w:rsidP="00640B90">
      <w:pPr>
        <w:pStyle w:val="Heading1"/>
        <w:spacing w:after="240" w:line="240" w:lineRule="auto"/>
        <w:jc w:val="both"/>
        <w:rPr>
          <w:rFonts w:ascii="Times New Roman" w:hAnsi="Times New Roman" w:cs="Times New Roman"/>
          <w:color w:val="000000" w:themeColor="text1"/>
          <w:sz w:val="28"/>
          <w:szCs w:val="28"/>
        </w:rPr>
      </w:pPr>
      <w:r w:rsidRPr="003741C4">
        <w:rPr>
          <w:rFonts w:ascii="Times New Roman" w:hAnsi="Times New Roman" w:cs="Times New Roman"/>
          <w:b/>
          <w:bCs/>
          <w:color w:val="000000" w:themeColor="text1"/>
          <w:sz w:val="28"/>
          <w:szCs w:val="28"/>
        </w:rPr>
        <w:lastRenderedPageBreak/>
        <w:t>Figure S</w:t>
      </w:r>
      <w:r w:rsidR="001C5FCF">
        <w:rPr>
          <w:rFonts w:ascii="Times New Roman" w:hAnsi="Times New Roman" w:cs="Times New Roman"/>
          <w:b/>
          <w:bCs/>
          <w:color w:val="000000" w:themeColor="text1"/>
          <w:sz w:val="28"/>
          <w:szCs w:val="28"/>
        </w:rPr>
        <w:t>8</w:t>
      </w:r>
      <w:r w:rsidRPr="003741C4">
        <w:rPr>
          <w:rFonts w:ascii="Times New Roman" w:hAnsi="Times New Roman" w:cs="Times New Roman"/>
          <w:b/>
          <w:bCs/>
          <w:color w:val="000000" w:themeColor="text1"/>
          <w:sz w:val="28"/>
          <w:szCs w:val="28"/>
        </w:rPr>
        <w:t xml:space="preserve">. </w:t>
      </w:r>
      <w:r w:rsidR="00640B90" w:rsidRPr="002A1719">
        <w:rPr>
          <w:rFonts w:ascii="Times New Roman" w:hAnsi="Times New Roman" w:cs="Times New Roman"/>
          <w:b/>
          <w:bCs/>
          <w:color w:val="000000" w:themeColor="text1"/>
          <w:sz w:val="28"/>
          <w:szCs w:val="28"/>
        </w:rPr>
        <w:t xml:space="preserve">Absolute Risk, Risk Ratio, and Risk Difference of </w:t>
      </w:r>
      <w:r w:rsidR="00640B90">
        <w:rPr>
          <w:rFonts w:ascii="Times New Roman" w:hAnsi="Times New Roman" w:cs="Times New Roman"/>
          <w:b/>
          <w:bCs/>
          <w:color w:val="000000" w:themeColor="text1"/>
          <w:sz w:val="28"/>
          <w:szCs w:val="28"/>
        </w:rPr>
        <w:t>Post-acute Fatigue, Cognitive, and Respiratory condition cluster</w:t>
      </w:r>
      <w:r w:rsidR="00640B90" w:rsidRPr="002A1719">
        <w:rPr>
          <w:rFonts w:ascii="Times New Roman" w:hAnsi="Times New Roman" w:cs="Times New Roman"/>
          <w:b/>
          <w:bCs/>
          <w:color w:val="000000" w:themeColor="text1"/>
          <w:sz w:val="28"/>
          <w:szCs w:val="28"/>
        </w:rPr>
        <w:t xml:space="preserve"> in different subgroups stratified by sex, race, age, coexisting conditions, infection time, and rural-urban areas, in patients without documented risk factors or risk characteristics</w:t>
      </w:r>
      <w:r w:rsidR="00640B90">
        <w:rPr>
          <w:rFonts w:ascii="Times New Roman" w:hAnsi="Times New Roman" w:cs="Times New Roman"/>
          <w:b/>
          <w:bCs/>
          <w:color w:val="000000" w:themeColor="text1"/>
          <w:sz w:val="28"/>
          <w:szCs w:val="28"/>
        </w:rPr>
        <w:t>, and in VA-like cohort</w:t>
      </w:r>
      <w:r w:rsidR="00640B90" w:rsidRPr="002A1719">
        <w:rPr>
          <w:rFonts w:ascii="Times New Roman" w:hAnsi="Times New Roman" w:cs="Times New Roman"/>
          <w:b/>
          <w:bCs/>
          <w:color w:val="000000" w:themeColor="text1"/>
          <w:sz w:val="28"/>
          <w:szCs w:val="28"/>
        </w:rPr>
        <w:t xml:space="preserve">. </w:t>
      </w:r>
      <w:r w:rsidR="00640B90" w:rsidRPr="002A1719">
        <w:rPr>
          <w:rFonts w:ascii="Times New Roman" w:hAnsi="Times New Roman" w:cs="Times New Roman"/>
          <w:color w:val="000000" w:themeColor="text1"/>
          <w:sz w:val="28"/>
          <w:szCs w:val="28"/>
        </w:rPr>
        <w:t>The absolute risk, risk ratio, and risk difference were captured by the cumulative incidence (CIF), hazard ratio (HR), and the difference of cumulative incidence per 100 persons (DIFF/100), estimated at 180 days after the infection index date, respectively. Shaded areas represent pointwise 95% Confidence Intervals (95% CI).</w:t>
      </w:r>
      <w:r w:rsidR="007E5AB6">
        <w:br w:type="page"/>
      </w:r>
    </w:p>
    <w:p w14:paraId="21DFE46F" w14:textId="1D39190C" w:rsidR="00431764" w:rsidRDefault="007E5AB6" w:rsidP="00E13D33">
      <w:pPr>
        <w:jc w:val="center"/>
      </w:pPr>
      <w:r>
        <w:rPr>
          <w:noProof/>
        </w:rPr>
        <w:lastRenderedPageBreak/>
        <w:drawing>
          <wp:inline distT="0" distB="0" distL="0" distR="0" wp14:anchorId="72DA9C11" wp14:editId="71A10A10">
            <wp:extent cx="8229600" cy="477393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229600" cy="4773930"/>
                    </a:xfrm>
                    <a:prstGeom prst="rect">
                      <a:avLst/>
                    </a:prstGeom>
                    <a:noFill/>
                    <a:ln>
                      <a:noFill/>
                    </a:ln>
                  </pic:spPr>
                </pic:pic>
              </a:graphicData>
            </a:graphic>
          </wp:inline>
        </w:drawing>
      </w:r>
      <w:r w:rsidR="00431764">
        <w:br w:type="page"/>
      </w:r>
    </w:p>
    <w:p w14:paraId="1C4FAFD0" w14:textId="77777777" w:rsidR="00431764" w:rsidRDefault="00431764" w:rsidP="00F44FA7">
      <w:pPr>
        <w:sectPr w:rsidR="00431764" w:rsidSect="00431764">
          <w:pgSz w:w="15840" w:h="12240" w:orient="landscape"/>
          <w:pgMar w:top="1440" w:right="1440" w:bottom="1440" w:left="1440" w:header="720" w:footer="720" w:gutter="0"/>
          <w:cols w:space="720"/>
          <w:docGrid w:linePitch="360"/>
        </w:sectPr>
      </w:pPr>
    </w:p>
    <w:p w14:paraId="307D4FBB" w14:textId="6BB19B16" w:rsidR="008F7F01" w:rsidRPr="005A1D2F" w:rsidRDefault="005B313F" w:rsidP="00E72BAF">
      <w:pPr>
        <w:pStyle w:val="Heading1"/>
        <w:spacing w:line="480" w:lineRule="auto"/>
        <w:rPr>
          <w:rFonts w:ascii="Times New Roman" w:hAnsi="Times New Roman" w:cs="Times New Roman"/>
          <w:b/>
          <w:bCs/>
          <w:color w:val="000000" w:themeColor="text1"/>
          <w:sz w:val="28"/>
          <w:szCs w:val="28"/>
        </w:rPr>
      </w:pPr>
      <w:r w:rsidRPr="005A1D2F">
        <w:rPr>
          <w:rFonts w:ascii="Times New Roman" w:hAnsi="Times New Roman" w:cs="Times New Roman"/>
          <w:b/>
          <w:bCs/>
          <w:color w:val="000000" w:themeColor="text1"/>
          <w:sz w:val="28"/>
          <w:szCs w:val="28"/>
        </w:rPr>
        <w:lastRenderedPageBreak/>
        <w:t xml:space="preserve">Table S1. </w:t>
      </w:r>
      <w:r w:rsidR="008F7F01" w:rsidRPr="005A1D2F">
        <w:rPr>
          <w:rFonts w:ascii="Times New Roman" w:hAnsi="Times New Roman" w:cs="Times New Roman"/>
          <w:b/>
          <w:bCs/>
          <w:color w:val="000000" w:themeColor="text1"/>
          <w:sz w:val="28"/>
          <w:szCs w:val="28"/>
        </w:rPr>
        <w:t>Protocol</w:t>
      </w:r>
      <w:r w:rsidRPr="005A1D2F">
        <w:rPr>
          <w:rFonts w:ascii="Times New Roman" w:hAnsi="Times New Roman" w:cs="Times New Roman"/>
          <w:b/>
          <w:bCs/>
          <w:color w:val="000000" w:themeColor="text1"/>
          <w:sz w:val="28"/>
          <w:szCs w:val="28"/>
        </w:rPr>
        <w:t xml:space="preserve"> of</w:t>
      </w:r>
      <w:r w:rsidR="00B82951">
        <w:rPr>
          <w:rFonts w:ascii="Times New Roman" w:hAnsi="Times New Roman" w:cs="Times New Roman"/>
          <w:b/>
          <w:bCs/>
          <w:color w:val="000000" w:themeColor="text1"/>
          <w:sz w:val="28"/>
          <w:szCs w:val="28"/>
        </w:rPr>
        <w:t xml:space="preserve"> the</w:t>
      </w:r>
      <w:r w:rsidRPr="005A1D2F">
        <w:rPr>
          <w:rFonts w:ascii="Times New Roman" w:hAnsi="Times New Roman" w:cs="Times New Roman"/>
          <w:b/>
          <w:bCs/>
          <w:color w:val="000000" w:themeColor="text1"/>
          <w:sz w:val="28"/>
          <w:szCs w:val="28"/>
        </w:rPr>
        <w:t xml:space="preserve"> target trial and its emulation</w:t>
      </w:r>
    </w:p>
    <w:tbl>
      <w:tblPr>
        <w:tblW w:w="0" w:type="auto"/>
        <w:tblLayout w:type="fixed"/>
        <w:tblLook w:val="04A0" w:firstRow="1" w:lastRow="0" w:firstColumn="1" w:lastColumn="0" w:noHBand="0" w:noVBand="1"/>
      </w:tblPr>
      <w:tblGrid>
        <w:gridCol w:w="1435"/>
        <w:gridCol w:w="3957"/>
        <w:gridCol w:w="3958"/>
      </w:tblGrid>
      <w:tr w:rsidR="00B71511" w:rsidRPr="00B71511" w14:paraId="2813EEEB" w14:textId="77777777" w:rsidTr="00427C41">
        <w:trPr>
          <w:trHeight w:val="300"/>
        </w:trPr>
        <w:tc>
          <w:tcPr>
            <w:tcW w:w="9350" w:type="dxa"/>
            <w:gridSpan w:val="3"/>
            <w:tcBorders>
              <w:top w:val="single" w:sz="4" w:space="0" w:color="auto"/>
              <w:left w:val="single" w:sz="4" w:space="0" w:color="auto"/>
              <w:bottom w:val="single" w:sz="4" w:space="0" w:color="auto"/>
              <w:right w:val="single" w:sz="4" w:space="0" w:color="auto"/>
            </w:tcBorders>
            <w:shd w:val="clear" w:color="auto" w:fill="auto"/>
            <w:hideMark/>
          </w:tcPr>
          <w:p w14:paraId="6EB16F9E" w14:textId="4A4D08CC" w:rsidR="00B71511" w:rsidRPr="00B71511" w:rsidRDefault="00B71511" w:rsidP="00BB5A63">
            <w:pPr>
              <w:spacing w:line="240" w:lineRule="auto"/>
              <w:jc w:val="both"/>
              <w:rPr>
                <w:rFonts w:ascii="Times New Roman" w:eastAsia="Times New Roman" w:hAnsi="Times New Roman" w:cs="Times New Roman"/>
                <w:color w:val="000000"/>
                <w:kern w:val="0"/>
                <w:sz w:val="24"/>
                <w:szCs w:val="24"/>
                <w14:ligatures w14:val="none"/>
              </w:rPr>
            </w:pPr>
            <w:r w:rsidRPr="00B71511">
              <w:rPr>
                <w:rFonts w:ascii="Times New Roman" w:eastAsia="Times New Roman" w:hAnsi="Times New Roman" w:cs="Times New Roman"/>
                <w:b/>
                <w:bCs/>
                <w:color w:val="000000"/>
                <w:kern w:val="0"/>
                <w:sz w:val="24"/>
                <w:szCs w:val="24"/>
                <w14:ligatures w14:val="none"/>
              </w:rPr>
              <w:t xml:space="preserve">Table </w:t>
            </w:r>
            <w:r w:rsidR="004D0400" w:rsidRPr="000053F4">
              <w:rPr>
                <w:rFonts w:ascii="Times New Roman" w:eastAsia="Times New Roman" w:hAnsi="Times New Roman" w:cs="Times New Roman"/>
                <w:b/>
                <w:bCs/>
                <w:color w:val="000000"/>
                <w:kern w:val="0"/>
                <w:sz w:val="24"/>
                <w:szCs w:val="24"/>
                <w14:ligatures w14:val="none"/>
              </w:rPr>
              <w:t>S1.</w:t>
            </w:r>
            <w:r w:rsidR="004D0400" w:rsidRPr="000053F4">
              <w:rPr>
                <w:rFonts w:ascii="Times New Roman" w:eastAsia="Times New Roman" w:hAnsi="Times New Roman" w:cs="Times New Roman"/>
                <w:color w:val="000000"/>
                <w:kern w:val="0"/>
                <w:sz w:val="24"/>
                <w:szCs w:val="24"/>
                <w14:ligatures w14:val="none"/>
              </w:rPr>
              <w:t xml:space="preserve"> </w:t>
            </w:r>
            <w:r w:rsidR="00FD23A3" w:rsidRPr="000053F4">
              <w:rPr>
                <w:rFonts w:ascii="Times New Roman" w:eastAsia="Times New Roman" w:hAnsi="Times New Roman" w:cs="Times New Roman"/>
                <w:color w:val="000000"/>
                <w:kern w:val="0"/>
                <w:sz w:val="24"/>
                <w:szCs w:val="24"/>
                <w14:ligatures w14:val="none"/>
              </w:rPr>
              <w:t xml:space="preserve">Protocol specifications of a target trial and its emulation to evaluate the effectiveness of the acute prescription of Paxlovid on the </w:t>
            </w:r>
            <w:r w:rsidR="0081458C">
              <w:rPr>
                <w:rFonts w:ascii="Times New Roman" w:eastAsia="Times New Roman" w:hAnsi="Times New Roman" w:cs="Times New Roman"/>
                <w:color w:val="000000"/>
                <w:kern w:val="0"/>
                <w:sz w:val="24"/>
                <w:szCs w:val="24"/>
                <w14:ligatures w14:val="none"/>
              </w:rPr>
              <w:t xml:space="preserve">Long </w:t>
            </w:r>
            <w:proofErr w:type="spellStart"/>
            <w:proofErr w:type="gramStart"/>
            <w:r w:rsidR="0081458C">
              <w:rPr>
                <w:rFonts w:ascii="Times New Roman" w:eastAsia="Times New Roman" w:hAnsi="Times New Roman" w:cs="Times New Roman"/>
                <w:color w:val="000000"/>
                <w:kern w:val="0"/>
                <w:sz w:val="24"/>
                <w:szCs w:val="24"/>
                <w14:ligatures w14:val="none"/>
              </w:rPr>
              <w:t>COVID</w:t>
            </w:r>
            <w:r w:rsidR="00FD23A3" w:rsidRPr="000053F4">
              <w:rPr>
                <w:rFonts w:ascii="Times New Roman" w:eastAsia="Times New Roman" w:hAnsi="Times New Roman" w:cs="Times New Roman"/>
                <w:color w:val="000000"/>
                <w:kern w:val="0"/>
                <w:sz w:val="24"/>
                <w:szCs w:val="24"/>
                <w14:ligatures w14:val="none"/>
              </w:rPr>
              <w:t>,</w:t>
            </w:r>
            <w:r w:rsidR="009B764A" w:rsidRPr="009B764A">
              <w:rPr>
                <w:rFonts w:ascii="Times New Roman" w:eastAsia="Times New Roman" w:hAnsi="Times New Roman" w:cs="Times New Roman"/>
                <w:color w:val="000000"/>
                <w:kern w:val="0"/>
                <w:sz w:val="24"/>
                <w:szCs w:val="24"/>
                <w:vertAlign w:val="superscript"/>
                <w14:ligatures w14:val="none"/>
              </w:rPr>
              <w:t>a</w:t>
            </w:r>
            <w:proofErr w:type="spellEnd"/>
            <w:proofErr w:type="gramEnd"/>
            <w:r w:rsidR="00FD23A3" w:rsidRPr="000053F4">
              <w:rPr>
                <w:rFonts w:ascii="Times New Roman" w:eastAsia="Times New Roman" w:hAnsi="Times New Roman" w:cs="Times New Roman"/>
                <w:color w:val="000000"/>
                <w:kern w:val="0"/>
                <w:sz w:val="24"/>
                <w:szCs w:val="24"/>
                <w14:ligatures w14:val="none"/>
              </w:rPr>
              <w:t xml:space="preserve"> </w:t>
            </w:r>
            <w:r w:rsidR="00BB5A63">
              <w:rPr>
                <w:rFonts w:ascii="Times New Roman" w:eastAsia="Times New Roman" w:hAnsi="Times New Roman" w:cs="Times New Roman"/>
                <w:color w:val="000000"/>
                <w:kern w:val="0"/>
                <w:sz w:val="24"/>
                <w:szCs w:val="24"/>
                <w14:ligatures w14:val="none"/>
              </w:rPr>
              <w:t xml:space="preserve">using observational data from </w:t>
            </w:r>
            <w:proofErr w:type="spellStart"/>
            <w:r w:rsidR="00BB5A63">
              <w:rPr>
                <w:rFonts w:ascii="Times New Roman" w:eastAsia="Times New Roman" w:hAnsi="Times New Roman" w:cs="Times New Roman"/>
                <w:color w:val="000000"/>
                <w:kern w:val="0"/>
                <w:sz w:val="24"/>
                <w:szCs w:val="24"/>
                <w14:ligatures w14:val="none"/>
              </w:rPr>
              <w:t>PCORNet</w:t>
            </w:r>
            <w:proofErr w:type="spellEnd"/>
            <w:r w:rsidR="00BB5A63">
              <w:rPr>
                <w:rFonts w:ascii="Times New Roman" w:eastAsia="Times New Roman" w:hAnsi="Times New Roman" w:cs="Times New Roman"/>
                <w:color w:val="000000"/>
                <w:kern w:val="0"/>
                <w:sz w:val="24"/>
                <w:szCs w:val="24"/>
                <w14:ligatures w14:val="none"/>
              </w:rPr>
              <w:t xml:space="preserve"> Recover Databases,</w:t>
            </w:r>
            <w:r w:rsidR="00BB5A63" w:rsidRPr="000053F4">
              <w:rPr>
                <w:rFonts w:ascii="Times New Roman" w:eastAsia="Times New Roman" w:hAnsi="Times New Roman" w:cs="Times New Roman"/>
                <w:color w:val="000000"/>
                <w:kern w:val="0"/>
                <w:sz w:val="24"/>
                <w:szCs w:val="24"/>
                <w14:ligatures w14:val="none"/>
              </w:rPr>
              <w:t xml:space="preserve"> </w:t>
            </w:r>
            <w:r w:rsidR="00FD23A3" w:rsidRPr="000053F4">
              <w:rPr>
                <w:rFonts w:ascii="Times New Roman" w:eastAsia="Times New Roman" w:hAnsi="Times New Roman" w:cs="Times New Roman"/>
                <w:color w:val="000000"/>
                <w:kern w:val="0"/>
                <w:sz w:val="24"/>
                <w:szCs w:val="24"/>
                <w14:ligatures w14:val="none"/>
              </w:rPr>
              <w:t>during the period from March 1, 2022, to February 1, 2023</w:t>
            </w:r>
          </w:p>
        </w:tc>
      </w:tr>
      <w:tr w:rsidR="00427C41" w:rsidRPr="00B71511" w14:paraId="1C2C878C" w14:textId="77777777" w:rsidTr="006A790F">
        <w:trPr>
          <w:trHeight w:val="799"/>
        </w:trPr>
        <w:tc>
          <w:tcPr>
            <w:tcW w:w="1435" w:type="dxa"/>
            <w:tcBorders>
              <w:top w:val="single" w:sz="4" w:space="0" w:color="auto"/>
              <w:left w:val="single" w:sz="4" w:space="0" w:color="auto"/>
              <w:bottom w:val="single" w:sz="4" w:space="0" w:color="auto"/>
              <w:right w:val="single" w:sz="4" w:space="0" w:color="auto"/>
            </w:tcBorders>
            <w:shd w:val="clear" w:color="auto" w:fill="auto"/>
            <w:noWrap/>
            <w:hideMark/>
          </w:tcPr>
          <w:p w14:paraId="301001E7" w14:textId="77777777" w:rsidR="00B71511" w:rsidRDefault="004C4D4A" w:rsidP="00B06DDD">
            <w:pPr>
              <w:spacing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Protocol</w:t>
            </w:r>
          </w:p>
          <w:p w14:paraId="1FC18437" w14:textId="45D0E505" w:rsidR="004C4D4A" w:rsidRPr="00B71511" w:rsidRDefault="004C4D4A" w:rsidP="00B06DDD">
            <w:pPr>
              <w:spacing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component</w:t>
            </w:r>
          </w:p>
        </w:tc>
        <w:tc>
          <w:tcPr>
            <w:tcW w:w="3957" w:type="dxa"/>
            <w:tcBorders>
              <w:top w:val="single" w:sz="4" w:space="0" w:color="auto"/>
              <w:left w:val="single" w:sz="4" w:space="0" w:color="auto"/>
              <w:bottom w:val="single" w:sz="4" w:space="0" w:color="auto"/>
              <w:right w:val="single" w:sz="4" w:space="0" w:color="auto"/>
            </w:tcBorders>
            <w:shd w:val="clear" w:color="auto" w:fill="auto"/>
            <w:noWrap/>
            <w:hideMark/>
          </w:tcPr>
          <w:p w14:paraId="5DF9F976" w14:textId="60C0D6BE" w:rsidR="00B71511" w:rsidRPr="00B71511" w:rsidRDefault="00B36450" w:rsidP="00B06DDD">
            <w:pPr>
              <w:spacing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Target trial</w:t>
            </w:r>
          </w:p>
        </w:tc>
        <w:tc>
          <w:tcPr>
            <w:tcW w:w="3958" w:type="dxa"/>
            <w:tcBorders>
              <w:top w:val="single" w:sz="4" w:space="0" w:color="auto"/>
              <w:left w:val="single" w:sz="4" w:space="0" w:color="auto"/>
              <w:bottom w:val="single" w:sz="4" w:space="0" w:color="auto"/>
              <w:right w:val="single" w:sz="4" w:space="0" w:color="auto"/>
            </w:tcBorders>
            <w:shd w:val="clear" w:color="auto" w:fill="auto"/>
            <w:noWrap/>
            <w:hideMark/>
          </w:tcPr>
          <w:p w14:paraId="59E408A5" w14:textId="4BC1D118" w:rsidR="00B71511" w:rsidRPr="00B71511" w:rsidRDefault="00B36450" w:rsidP="00B06DDD">
            <w:pPr>
              <w:spacing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Emulation</w:t>
            </w:r>
          </w:p>
        </w:tc>
      </w:tr>
      <w:tr w:rsidR="00427C41" w:rsidRPr="00B71511" w14:paraId="341CA9A7" w14:textId="77777777" w:rsidTr="006A790F">
        <w:trPr>
          <w:trHeight w:val="799"/>
        </w:trPr>
        <w:tc>
          <w:tcPr>
            <w:tcW w:w="1435" w:type="dxa"/>
            <w:tcBorders>
              <w:top w:val="single" w:sz="4" w:space="0" w:color="auto"/>
              <w:left w:val="single" w:sz="4" w:space="0" w:color="auto"/>
              <w:bottom w:val="single" w:sz="4" w:space="0" w:color="auto"/>
              <w:right w:val="single" w:sz="4" w:space="0" w:color="auto"/>
            </w:tcBorders>
            <w:shd w:val="clear" w:color="auto" w:fill="auto"/>
            <w:noWrap/>
            <w:hideMark/>
          </w:tcPr>
          <w:p w14:paraId="7358C505" w14:textId="68481A8F" w:rsidR="00B71511" w:rsidRPr="00B71511" w:rsidRDefault="00427C41" w:rsidP="00A77A13">
            <w:p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Eligibility criteria</w:t>
            </w:r>
          </w:p>
        </w:tc>
        <w:tc>
          <w:tcPr>
            <w:tcW w:w="3957" w:type="dxa"/>
            <w:tcBorders>
              <w:top w:val="single" w:sz="4" w:space="0" w:color="auto"/>
              <w:left w:val="single" w:sz="4" w:space="0" w:color="auto"/>
              <w:bottom w:val="single" w:sz="4" w:space="0" w:color="auto"/>
              <w:right w:val="single" w:sz="4" w:space="0" w:color="auto"/>
            </w:tcBorders>
            <w:shd w:val="clear" w:color="auto" w:fill="auto"/>
            <w:noWrap/>
            <w:hideMark/>
          </w:tcPr>
          <w:p w14:paraId="38652833" w14:textId="7DBF9405" w:rsidR="00B355F7" w:rsidRPr="00B355F7" w:rsidRDefault="00B355F7" w:rsidP="009A54B8">
            <w:p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Inclusion criteria</w:t>
            </w:r>
            <w:r w:rsidR="002C7E25">
              <w:rPr>
                <w:rFonts w:ascii="Times New Roman" w:eastAsia="Times New Roman" w:hAnsi="Times New Roman" w:cs="Times New Roman"/>
                <w:color w:val="000000"/>
                <w:kern w:val="0"/>
                <w:sz w:val="24"/>
                <w:szCs w:val="24"/>
                <w14:ligatures w14:val="none"/>
              </w:rPr>
              <w:t>:</w:t>
            </w:r>
          </w:p>
          <w:p w14:paraId="5938E247" w14:textId="1D53F184" w:rsidR="000A79CD" w:rsidRDefault="00794318"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sidRPr="005B3A6C">
              <w:rPr>
                <w:rFonts w:ascii="Times New Roman" w:eastAsia="Times New Roman" w:hAnsi="Times New Roman" w:cs="Times New Roman" w:hint="eastAsia"/>
                <w:color w:val="000000"/>
                <w:kern w:val="0"/>
                <w:sz w:val="24"/>
                <w:szCs w:val="24"/>
                <w14:ligatures w14:val="none"/>
              </w:rPr>
              <w:t xml:space="preserve">Aged ≥18 years </w:t>
            </w:r>
            <w:r w:rsidR="00EB01C7">
              <w:rPr>
                <w:rFonts w:ascii="Times New Roman" w:eastAsia="Times New Roman" w:hAnsi="Times New Roman" w:cs="Times New Roman"/>
                <w:color w:val="000000"/>
                <w:kern w:val="0"/>
                <w:sz w:val="24"/>
                <w:szCs w:val="24"/>
                <w14:ligatures w14:val="none"/>
              </w:rPr>
              <w:t xml:space="preserve">at the first confirmed SARS-CoV-2 infection </w:t>
            </w:r>
            <w:r w:rsidRPr="005B3A6C">
              <w:rPr>
                <w:rFonts w:ascii="Times New Roman" w:eastAsia="Times New Roman" w:hAnsi="Times New Roman" w:cs="Times New Roman" w:hint="eastAsia"/>
                <w:color w:val="000000"/>
                <w:kern w:val="0"/>
                <w:sz w:val="24"/>
                <w:szCs w:val="24"/>
                <w14:ligatures w14:val="none"/>
              </w:rPr>
              <w:t xml:space="preserve">between </w:t>
            </w:r>
            <w:r w:rsidR="00EB01C7">
              <w:rPr>
                <w:rFonts w:ascii="Times New Roman" w:eastAsia="Times New Roman" w:hAnsi="Times New Roman" w:cs="Times New Roman"/>
                <w:color w:val="000000"/>
                <w:kern w:val="0"/>
                <w:sz w:val="24"/>
                <w:szCs w:val="24"/>
                <w14:ligatures w14:val="none"/>
              </w:rPr>
              <w:t>March</w:t>
            </w:r>
            <w:r w:rsidRPr="005B3A6C">
              <w:rPr>
                <w:rFonts w:ascii="Times New Roman" w:eastAsia="Times New Roman" w:hAnsi="Times New Roman" w:cs="Times New Roman" w:hint="eastAsia"/>
                <w:color w:val="000000"/>
                <w:kern w:val="0"/>
                <w:sz w:val="24"/>
                <w:szCs w:val="24"/>
                <w14:ligatures w14:val="none"/>
              </w:rPr>
              <w:t xml:space="preserve"> </w:t>
            </w:r>
            <w:r w:rsidR="00EB01C7">
              <w:rPr>
                <w:rFonts w:ascii="Times New Roman" w:eastAsia="Times New Roman" w:hAnsi="Times New Roman" w:cs="Times New Roman"/>
                <w:color w:val="000000"/>
                <w:kern w:val="0"/>
                <w:sz w:val="24"/>
                <w:szCs w:val="24"/>
                <w14:ligatures w14:val="none"/>
              </w:rPr>
              <w:t>1</w:t>
            </w:r>
            <w:r w:rsidRPr="005B3A6C">
              <w:rPr>
                <w:rFonts w:ascii="Times New Roman" w:eastAsia="Times New Roman" w:hAnsi="Times New Roman" w:cs="Times New Roman" w:hint="eastAsia"/>
                <w:color w:val="000000"/>
                <w:kern w:val="0"/>
                <w:sz w:val="24"/>
                <w:szCs w:val="24"/>
                <w14:ligatures w14:val="none"/>
              </w:rPr>
              <w:t>, 202</w:t>
            </w:r>
            <w:r w:rsidR="00EB01C7">
              <w:rPr>
                <w:rFonts w:ascii="Times New Roman" w:eastAsia="Times New Roman" w:hAnsi="Times New Roman" w:cs="Times New Roman"/>
                <w:color w:val="000000"/>
                <w:kern w:val="0"/>
                <w:sz w:val="24"/>
                <w:szCs w:val="24"/>
                <w14:ligatures w14:val="none"/>
              </w:rPr>
              <w:t>2</w:t>
            </w:r>
            <w:r w:rsidRPr="005B3A6C">
              <w:rPr>
                <w:rFonts w:ascii="Times New Roman" w:eastAsia="Times New Roman" w:hAnsi="Times New Roman" w:cs="Times New Roman" w:hint="eastAsia"/>
                <w:color w:val="000000"/>
                <w:kern w:val="0"/>
                <w:sz w:val="24"/>
                <w:szCs w:val="24"/>
                <w14:ligatures w14:val="none"/>
              </w:rPr>
              <w:t>,</w:t>
            </w:r>
            <w:r w:rsidR="00EB01C7">
              <w:rPr>
                <w:rFonts w:ascii="Times New Roman" w:eastAsia="Times New Roman" w:hAnsi="Times New Roman" w:cs="Times New Roman"/>
                <w:color w:val="000000"/>
                <w:kern w:val="0"/>
                <w:sz w:val="24"/>
                <w:szCs w:val="24"/>
                <w14:ligatures w14:val="none"/>
              </w:rPr>
              <w:t xml:space="preserve"> and February 28, 2023</w:t>
            </w:r>
          </w:p>
          <w:p w14:paraId="082A36AB" w14:textId="5693F2E2" w:rsidR="00745ECD" w:rsidRDefault="00745ECD"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Interactions with the healthcare system in the past 3 years to 7 days before the </w:t>
            </w:r>
            <w:r w:rsidR="003E3975">
              <w:rPr>
                <w:rFonts w:ascii="Times New Roman" w:eastAsia="Times New Roman" w:hAnsi="Times New Roman" w:cs="Times New Roman"/>
                <w:color w:val="000000"/>
                <w:kern w:val="0"/>
                <w:sz w:val="24"/>
                <w:szCs w:val="24"/>
                <w14:ligatures w14:val="none"/>
              </w:rPr>
              <w:t xml:space="preserve">first </w:t>
            </w:r>
            <w:r>
              <w:rPr>
                <w:rFonts w:ascii="Times New Roman" w:eastAsia="Times New Roman" w:hAnsi="Times New Roman" w:cs="Times New Roman"/>
                <w:color w:val="000000"/>
                <w:kern w:val="0"/>
                <w:sz w:val="24"/>
                <w:szCs w:val="24"/>
                <w14:ligatures w14:val="none"/>
              </w:rPr>
              <w:t>infection</w:t>
            </w:r>
          </w:p>
          <w:p w14:paraId="45D0A8EA" w14:textId="27A38565" w:rsidR="000028F7" w:rsidRDefault="000028F7"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proofErr w:type="gramStart"/>
            <w:r>
              <w:rPr>
                <w:rFonts w:ascii="Times New Roman" w:eastAsia="Times New Roman" w:hAnsi="Times New Roman" w:cs="Times New Roman"/>
                <w:color w:val="000000"/>
                <w:kern w:val="0"/>
                <w:sz w:val="24"/>
                <w:szCs w:val="24"/>
                <w14:ligatures w14:val="none"/>
              </w:rPr>
              <w:t>Either at</w:t>
            </w:r>
            <w:proofErr w:type="gramEnd"/>
            <w:r>
              <w:rPr>
                <w:rFonts w:ascii="Times New Roman" w:eastAsia="Times New Roman" w:hAnsi="Times New Roman" w:cs="Times New Roman"/>
                <w:color w:val="000000"/>
                <w:kern w:val="0"/>
                <w:sz w:val="24"/>
                <w:szCs w:val="24"/>
                <w14:ligatures w14:val="none"/>
              </w:rPr>
              <w:t xml:space="preserve"> increased risk for developing severe COVID-19 illness.</w:t>
            </w:r>
            <w:r w:rsidR="00007CB1">
              <w:rPr>
                <w:rFonts w:ascii="Times New Roman" w:eastAsia="Times New Roman" w:hAnsi="Times New Roman" w:cs="Times New Roman"/>
                <w:color w:val="000000"/>
                <w:kern w:val="0"/>
                <w:sz w:val="24"/>
                <w:szCs w:val="24"/>
                <w14:ligatures w14:val="none"/>
              </w:rPr>
              <w:t xml:space="preserve"> </w:t>
            </w:r>
            <w:r>
              <w:rPr>
                <w:rFonts w:ascii="Times New Roman" w:eastAsia="Times New Roman" w:hAnsi="Times New Roman" w:cs="Times New Roman"/>
                <w:color w:val="000000"/>
                <w:kern w:val="0"/>
                <w:sz w:val="24"/>
                <w:szCs w:val="24"/>
                <w14:ligatures w14:val="none"/>
              </w:rPr>
              <w:t xml:space="preserve">At-risk patients were identified by age </w:t>
            </w:r>
            <w:r w:rsidRPr="005B3A6C">
              <w:rPr>
                <w:rFonts w:ascii="Times New Roman" w:eastAsia="Times New Roman" w:hAnsi="Times New Roman" w:cs="Times New Roman" w:hint="eastAsia"/>
                <w:color w:val="000000"/>
                <w:kern w:val="0"/>
                <w:sz w:val="24"/>
                <w:szCs w:val="24"/>
                <w14:ligatures w14:val="none"/>
              </w:rPr>
              <w:t>≥</w:t>
            </w:r>
            <w:r>
              <w:rPr>
                <w:rFonts w:ascii="Times New Roman" w:eastAsia="Times New Roman" w:hAnsi="Times New Roman" w:cs="Times New Roman"/>
                <w:color w:val="000000"/>
                <w:kern w:val="0"/>
                <w:sz w:val="24"/>
                <w:szCs w:val="24"/>
                <w14:ligatures w14:val="none"/>
              </w:rPr>
              <w:t xml:space="preserve">50 </w:t>
            </w:r>
            <w:r w:rsidRPr="005B3A6C">
              <w:rPr>
                <w:rFonts w:ascii="Times New Roman" w:eastAsia="Times New Roman" w:hAnsi="Times New Roman" w:cs="Times New Roman" w:hint="eastAsia"/>
                <w:color w:val="000000"/>
                <w:kern w:val="0"/>
                <w:sz w:val="24"/>
                <w:szCs w:val="24"/>
                <w14:ligatures w14:val="none"/>
              </w:rPr>
              <w:t>years</w:t>
            </w:r>
            <w:r>
              <w:rPr>
                <w:rFonts w:ascii="Times New Roman" w:eastAsia="Times New Roman" w:hAnsi="Times New Roman" w:cs="Times New Roman"/>
                <w:color w:val="000000"/>
                <w:kern w:val="0"/>
                <w:sz w:val="24"/>
                <w:szCs w:val="24"/>
                <w14:ligatures w14:val="none"/>
              </w:rPr>
              <w:t xml:space="preserve"> or having </w:t>
            </w:r>
            <w:r w:rsidRPr="000028F7">
              <w:rPr>
                <w:rFonts w:ascii="Times New Roman" w:eastAsia="Times New Roman" w:hAnsi="Times New Roman" w:cs="Times New Roman"/>
                <w:color w:val="000000"/>
                <w:kern w:val="0"/>
                <w:sz w:val="24"/>
                <w:szCs w:val="24"/>
                <w14:ligatures w14:val="none"/>
              </w:rPr>
              <w:t xml:space="preserve">at least 1 underlying medical </w:t>
            </w:r>
            <w:proofErr w:type="spellStart"/>
            <w:r w:rsidRPr="000028F7">
              <w:rPr>
                <w:rFonts w:ascii="Times New Roman" w:eastAsia="Times New Roman" w:hAnsi="Times New Roman" w:cs="Times New Roman"/>
                <w:color w:val="000000"/>
                <w:kern w:val="0"/>
                <w:sz w:val="24"/>
                <w:szCs w:val="24"/>
                <w14:ligatures w14:val="none"/>
              </w:rPr>
              <w:t>condition</w:t>
            </w:r>
            <w:r w:rsidR="009B764A">
              <w:rPr>
                <w:rFonts w:ascii="Times New Roman" w:eastAsia="Times New Roman" w:hAnsi="Times New Roman" w:cs="Times New Roman"/>
                <w:color w:val="000000"/>
                <w:kern w:val="0"/>
                <w:sz w:val="24"/>
                <w:szCs w:val="24"/>
                <w:vertAlign w:val="superscript"/>
                <w14:ligatures w14:val="none"/>
              </w:rPr>
              <w:t>b</w:t>
            </w:r>
            <w:proofErr w:type="spellEnd"/>
            <w:r w:rsidRPr="000028F7">
              <w:rPr>
                <w:rFonts w:ascii="Times New Roman" w:eastAsia="Times New Roman" w:hAnsi="Times New Roman" w:cs="Times New Roman"/>
                <w:color w:val="000000"/>
                <w:kern w:val="0"/>
                <w:sz w:val="24"/>
                <w:szCs w:val="24"/>
                <w14:ligatures w14:val="none"/>
              </w:rPr>
              <w:t xml:space="preserve"> associated with an increased risk of developing severe illness from COVID-19</w:t>
            </w:r>
          </w:p>
          <w:p w14:paraId="5B8B9F49" w14:textId="311495B2" w:rsidR="00334EC5" w:rsidRPr="00334EC5" w:rsidRDefault="00334EC5" w:rsidP="009A54B8">
            <w:pPr>
              <w:spacing w:before="240"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Exclusion criteria</w:t>
            </w:r>
            <w:r w:rsidR="002C7E25">
              <w:rPr>
                <w:rFonts w:ascii="Times New Roman" w:eastAsia="Times New Roman" w:hAnsi="Times New Roman" w:cs="Times New Roman"/>
                <w:color w:val="000000"/>
                <w:kern w:val="0"/>
                <w:sz w:val="24"/>
                <w:szCs w:val="24"/>
                <w14:ligatures w14:val="none"/>
              </w:rPr>
              <w:t>:</w:t>
            </w:r>
          </w:p>
          <w:p w14:paraId="4FCFDA54" w14:textId="6F5E041A" w:rsidR="003E3975" w:rsidRDefault="006A17E0"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History of</w:t>
            </w:r>
            <w:r w:rsidR="00B96D7C">
              <w:rPr>
                <w:rFonts w:ascii="Times New Roman" w:eastAsia="Times New Roman" w:hAnsi="Times New Roman" w:cs="Times New Roman"/>
                <w:color w:val="000000"/>
                <w:kern w:val="0"/>
                <w:sz w:val="24"/>
                <w:szCs w:val="24"/>
                <w14:ligatures w14:val="none"/>
              </w:rPr>
              <w:t xml:space="preserve"> </w:t>
            </w:r>
            <w:r w:rsidR="000507CD">
              <w:rPr>
                <w:rFonts w:ascii="Times New Roman" w:eastAsia="Times New Roman" w:hAnsi="Times New Roman" w:cs="Times New Roman"/>
                <w:color w:val="000000"/>
                <w:kern w:val="0"/>
                <w:sz w:val="24"/>
                <w:szCs w:val="24"/>
                <w14:ligatures w14:val="none"/>
              </w:rPr>
              <w:t xml:space="preserve">Long COVID </w:t>
            </w:r>
            <w:r w:rsidR="009E63A5">
              <w:rPr>
                <w:rFonts w:ascii="Times New Roman" w:eastAsia="Times New Roman" w:hAnsi="Times New Roman" w:cs="Times New Roman"/>
                <w:color w:val="000000"/>
                <w:kern w:val="0"/>
                <w:sz w:val="24"/>
                <w:szCs w:val="24"/>
                <w14:ligatures w14:val="none"/>
              </w:rPr>
              <w:t>or s</w:t>
            </w:r>
            <w:r w:rsidR="009E63A5" w:rsidRPr="009E63A5">
              <w:rPr>
                <w:rFonts w:ascii="Times New Roman" w:eastAsia="Times New Roman" w:hAnsi="Times New Roman" w:cs="Times New Roman"/>
                <w:color w:val="000000"/>
                <w:kern w:val="0"/>
                <w:sz w:val="24"/>
                <w:szCs w:val="24"/>
                <w14:ligatures w14:val="none"/>
              </w:rPr>
              <w:t>equelae of other specified infectious and parasitic diseases</w:t>
            </w:r>
          </w:p>
          <w:p w14:paraId="0281DA72" w14:textId="438F5809" w:rsidR="00643496" w:rsidRDefault="004B4B88"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H</w:t>
            </w:r>
            <w:r w:rsidR="003E492E">
              <w:rPr>
                <w:rFonts w:ascii="Times New Roman" w:eastAsia="Times New Roman" w:hAnsi="Times New Roman" w:cs="Times New Roman"/>
                <w:color w:val="000000"/>
                <w:kern w:val="0"/>
                <w:sz w:val="24"/>
                <w:szCs w:val="24"/>
                <w14:ligatures w14:val="none"/>
              </w:rPr>
              <w:t xml:space="preserve">ospitalized at the infection </w:t>
            </w:r>
            <w:r>
              <w:rPr>
                <w:rFonts w:ascii="Times New Roman" w:eastAsia="Times New Roman" w:hAnsi="Times New Roman" w:cs="Times New Roman"/>
                <w:color w:val="000000"/>
                <w:kern w:val="0"/>
                <w:sz w:val="24"/>
                <w:szCs w:val="24"/>
                <w14:ligatures w14:val="none"/>
              </w:rPr>
              <w:t>or</w:t>
            </w:r>
            <w:r w:rsidR="003E492E">
              <w:rPr>
                <w:rFonts w:ascii="Times New Roman" w:eastAsia="Times New Roman" w:hAnsi="Times New Roman" w:cs="Times New Roman"/>
                <w:color w:val="000000"/>
                <w:kern w:val="0"/>
                <w:sz w:val="24"/>
                <w:szCs w:val="24"/>
                <w14:ligatures w14:val="none"/>
              </w:rPr>
              <w:t xml:space="preserve"> need for hospitalization for the medical treatment of COVID-19</w:t>
            </w:r>
          </w:p>
          <w:p w14:paraId="491147F2" w14:textId="3CBCFAB5" w:rsidR="00F75C8F" w:rsidRDefault="008C46D7"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Known medical history of</w:t>
            </w:r>
            <w:r w:rsidR="00C83394" w:rsidRPr="00C83394">
              <w:rPr>
                <w:rFonts w:ascii="Times New Roman" w:eastAsia="Times New Roman" w:hAnsi="Times New Roman" w:cs="Times New Roman"/>
                <w:color w:val="000000"/>
                <w:kern w:val="0"/>
                <w:sz w:val="24"/>
                <w:szCs w:val="24"/>
                <w14:ligatures w14:val="none"/>
              </w:rPr>
              <w:t xml:space="preserve"> severe liver </w:t>
            </w:r>
            <w:proofErr w:type="gramStart"/>
            <w:r w:rsidR="00C83394" w:rsidRPr="00C83394">
              <w:rPr>
                <w:rFonts w:ascii="Times New Roman" w:eastAsia="Times New Roman" w:hAnsi="Times New Roman" w:cs="Times New Roman"/>
                <w:color w:val="000000"/>
                <w:kern w:val="0"/>
                <w:sz w:val="24"/>
                <w:szCs w:val="24"/>
                <w14:ligatures w14:val="none"/>
              </w:rPr>
              <w:t>disease</w:t>
            </w:r>
            <w:proofErr w:type="gramEnd"/>
          </w:p>
          <w:p w14:paraId="207164F5" w14:textId="376264F6" w:rsidR="00F75C8F" w:rsidRDefault="006F74E9"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R</w:t>
            </w:r>
            <w:r w:rsidR="00C83394" w:rsidRPr="00C83394">
              <w:rPr>
                <w:rFonts w:ascii="Times New Roman" w:eastAsia="Times New Roman" w:hAnsi="Times New Roman" w:cs="Times New Roman"/>
                <w:color w:val="000000"/>
                <w:kern w:val="0"/>
                <w:sz w:val="24"/>
                <w:szCs w:val="24"/>
                <w14:ligatures w14:val="none"/>
              </w:rPr>
              <w:t>eceiving dialysis or hav</w:t>
            </w:r>
            <w:r w:rsidR="00F75C8F">
              <w:rPr>
                <w:rFonts w:ascii="Times New Roman" w:eastAsia="Times New Roman" w:hAnsi="Times New Roman" w:cs="Times New Roman"/>
                <w:color w:val="000000"/>
                <w:kern w:val="0"/>
                <w:sz w:val="24"/>
                <w:szCs w:val="24"/>
                <w14:ligatures w14:val="none"/>
              </w:rPr>
              <w:t>ing</w:t>
            </w:r>
            <w:r w:rsidR="00C83394" w:rsidRPr="00C83394">
              <w:rPr>
                <w:rFonts w:ascii="Times New Roman" w:eastAsia="Times New Roman" w:hAnsi="Times New Roman" w:cs="Times New Roman"/>
                <w:color w:val="000000"/>
                <w:kern w:val="0"/>
                <w:sz w:val="24"/>
                <w:szCs w:val="24"/>
                <w14:ligatures w14:val="none"/>
              </w:rPr>
              <w:t xml:space="preserve"> severe renal impairment</w:t>
            </w:r>
          </w:p>
          <w:p w14:paraId="49372736" w14:textId="3B5C2F0D" w:rsidR="004976F8" w:rsidRDefault="00A0015F"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Has received or is expected to receive </w:t>
            </w:r>
            <w:r w:rsidR="00C83394" w:rsidRPr="00C83394">
              <w:rPr>
                <w:rFonts w:ascii="Times New Roman" w:eastAsia="Times New Roman" w:hAnsi="Times New Roman" w:cs="Times New Roman"/>
                <w:color w:val="000000"/>
                <w:kern w:val="0"/>
                <w:sz w:val="24"/>
                <w:szCs w:val="24"/>
                <w14:ligatures w14:val="none"/>
              </w:rPr>
              <w:t>other COVID-19 treatment</w:t>
            </w:r>
            <w:r w:rsidR="00F75C8F">
              <w:rPr>
                <w:rFonts w:ascii="Times New Roman" w:eastAsia="Times New Roman" w:hAnsi="Times New Roman" w:cs="Times New Roman"/>
                <w:color w:val="000000"/>
                <w:kern w:val="0"/>
                <w:sz w:val="24"/>
                <w:szCs w:val="24"/>
                <w14:ligatures w14:val="none"/>
              </w:rPr>
              <w:t>s</w:t>
            </w:r>
            <w:r w:rsidR="00C83394" w:rsidRPr="00C83394">
              <w:rPr>
                <w:rFonts w:ascii="Times New Roman" w:eastAsia="Times New Roman" w:hAnsi="Times New Roman" w:cs="Times New Roman"/>
                <w:color w:val="000000"/>
                <w:kern w:val="0"/>
                <w:sz w:val="24"/>
                <w:szCs w:val="24"/>
                <w14:ligatures w14:val="none"/>
              </w:rPr>
              <w:t xml:space="preserve"> including antiviral, antibody, or convalescent plasma </w:t>
            </w:r>
            <w:proofErr w:type="gramStart"/>
            <w:r w:rsidR="00C83394" w:rsidRPr="00C83394">
              <w:rPr>
                <w:rFonts w:ascii="Times New Roman" w:eastAsia="Times New Roman" w:hAnsi="Times New Roman" w:cs="Times New Roman"/>
                <w:color w:val="000000"/>
                <w:kern w:val="0"/>
                <w:sz w:val="24"/>
                <w:szCs w:val="24"/>
                <w14:ligatures w14:val="none"/>
              </w:rPr>
              <w:t>treatments</w:t>
            </w:r>
            <w:proofErr w:type="gramEnd"/>
            <w:r w:rsidR="00C83394" w:rsidRPr="00C83394">
              <w:rPr>
                <w:rFonts w:ascii="Times New Roman" w:eastAsia="Times New Roman" w:hAnsi="Times New Roman" w:cs="Times New Roman"/>
                <w:color w:val="000000"/>
                <w:kern w:val="0"/>
                <w:sz w:val="24"/>
                <w:szCs w:val="24"/>
                <w14:ligatures w14:val="none"/>
              </w:rPr>
              <w:t xml:space="preserve"> </w:t>
            </w:r>
          </w:p>
          <w:p w14:paraId="537438D9" w14:textId="2E4297D9" w:rsidR="009B764A" w:rsidRPr="009B764A" w:rsidRDefault="005B630D" w:rsidP="009B764A">
            <w:pPr>
              <w:pStyle w:val="ListParagraph"/>
              <w:numPr>
                <w:ilvl w:val="0"/>
                <w:numId w:val="2"/>
              </w:numPr>
              <w:spacing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Has received or is expected to receive </w:t>
            </w:r>
            <w:r w:rsidR="00C83394" w:rsidRPr="00C83394">
              <w:rPr>
                <w:rFonts w:ascii="Times New Roman" w:eastAsia="Times New Roman" w:hAnsi="Times New Roman" w:cs="Times New Roman"/>
                <w:color w:val="000000"/>
                <w:kern w:val="0"/>
                <w:sz w:val="24"/>
                <w:szCs w:val="24"/>
                <w14:ligatures w14:val="none"/>
              </w:rPr>
              <w:t>contraindicated drugs</w:t>
            </w:r>
            <w:r w:rsidR="004B4819">
              <w:rPr>
                <w:rFonts w:ascii="Times New Roman" w:eastAsia="Times New Roman" w:hAnsi="Times New Roman" w:cs="Times New Roman"/>
                <w:color w:val="000000"/>
                <w:kern w:val="0"/>
                <w:sz w:val="24"/>
                <w:szCs w:val="24"/>
                <w14:ligatures w14:val="none"/>
              </w:rPr>
              <w:t xml:space="preserve"> for </w:t>
            </w:r>
            <w:proofErr w:type="spellStart"/>
            <w:proofErr w:type="gramStart"/>
            <w:r w:rsidR="004B4819">
              <w:rPr>
                <w:rFonts w:ascii="Times New Roman" w:eastAsia="Times New Roman" w:hAnsi="Times New Roman" w:cs="Times New Roman"/>
                <w:color w:val="000000"/>
                <w:kern w:val="0"/>
                <w:sz w:val="24"/>
                <w:szCs w:val="24"/>
                <w14:ligatures w14:val="none"/>
              </w:rPr>
              <w:t>Paxlovid</w:t>
            </w:r>
            <w:r w:rsidR="009B764A">
              <w:rPr>
                <w:rFonts w:ascii="Times New Roman" w:eastAsia="Times New Roman" w:hAnsi="Times New Roman" w:cs="Times New Roman"/>
                <w:color w:val="000000"/>
                <w:kern w:val="0"/>
                <w:sz w:val="24"/>
                <w:szCs w:val="24"/>
                <w:vertAlign w:val="superscript"/>
                <w14:ligatures w14:val="none"/>
              </w:rPr>
              <w:t>c</w:t>
            </w:r>
            <w:proofErr w:type="spellEnd"/>
            <w:proofErr w:type="gramEnd"/>
          </w:p>
          <w:p w14:paraId="2F8B55BE" w14:textId="6BF11CA6" w:rsidR="00532422" w:rsidRPr="00E159B7" w:rsidRDefault="00532422" w:rsidP="009A54B8">
            <w:pPr>
              <w:spacing w:after="0" w:line="240" w:lineRule="auto"/>
              <w:rPr>
                <w:rFonts w:ascii="Times New Roman" w:eastAsia="Times New Roman" w:hAnsi="Times New Roman" w:cs="Times New Roman"/>
                <w:color w:val="000000"/>
                <w:kern w:val="0"/>
                <w:sz w:val="24"/>
                <w:szCs w:val="24"/>
                <w14:ligatures w14:val="none"/>
              </w:rPr>
            </w:pPr>
          </w:p>
        </w:tc>
        <w:tc>
          <w:tcPr>
            <w:tcW w:w="3958" w:type="dxa"/>
            <w:tcBorders>
              <w:top w:val="single" w:sz="4" w:space="0" w:color="auto"/>
              <w:left w:val="single" w:sz="4" w:space="0" w:color="auto"/>
              <w:bottom w:val="single" w:sz="4" w:space="0" w:color="auto"/>
              <w:right w:val="single" w:sz="4" w:space="0" w:color="auto"/>
            </w:tcBorders>
            <w:shd w:val="clear" w:color="auto" w:fill="auto"/>
            <w:noWrap/>
            <w:hideMark/>
          </w:tcPr>
          <w:p w14:paraId="163870D4" w14:textId="53D64065" w:rsidR="0043674E" w:rsidRPr="009F3578" w:rsidRDefault="0043674E" w:rsidP="009A54B8">
            <w:pPr>
              <w:spacing w:after="0" w:line="240" w:lineRule="auto"/>
              <w:rPr>
                <w:rFonts w:ascii="Times New Roman" w:eastAsia="Times New Roman" w:hAnsi="Times New Roman" w:cs="Times New Roman"/>
                <w:color w:val="000000"/>
                <w:kern w:val="0"/>
                <w:sz w:val="24"/>
                <w:szCs w:val="24"/>
                <w14:ligatures w14:val="none"/>
              </w:rPr>
            </w:pPr>
            <w:r w:rsidRPr="009F3578">
              <w:rPr>
                <w:rFonts w:ascii="Times New Roman" w:eastAsia="Times New Roman" w:hAnsi="Times New Roman" w:cs="Times New Roman"/>
                <w:color w:val="000000"/>
                <w:kern w:val="0"/>
                <w:sz w:val="24"/>
                <w:szCs w:val="24"/>
                <w14:ligatures w14:val="none"/>
              </w:rPr>
              <w:t>Same as for the target trial</w:t>
            </w:r>
            <w:r w:rsidR="00EA0438">
              <w:rPr>
                <w:rFonts w:ascii="Times New Roman" w:eastAsia="Times New Roman" w:hAnsi="Times New Roman" w:cs="Times New Roman"/>
                <w:color w:val="000000"/>
                <w:kern w:val="0"/>
                <w:sz w:val="24"/>
                <w:szCs w:val="24"/>
                <w14:ligatures w14:val="none"/>
              </w:rPr>
              <w:t>, except:</w:t>
            </w:r>
          </w:p>
          <w:p w14:paraId="166326D9" w14:textId="218B5762" w:rsidR="00B71511" w:rsidRDefault="0043674E"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sidRPr="0043674E">
              <w:rPr>
                <w:rFonts w:ascii="Times New Roman" w:eastAsia="Times New Roman" w:hAnsi="Times New Roman" w:cs="Times New Roman"/>
                <w:color w:val="000000"/>
                <w:kern w:val="0"/>
                <w:sz w:val="24"/>
                <w:szCs w:val="24"/>
                <w14:ligatures w14:val="none"/>
              </w:rPr>
              <w:t xml:space="preserve">We identified </w:t>
            </w:r>
            <w:r w:rsidR="00C555FD">
              <w:rPr>
                <w:rFonts w:ascii="Times New Roman" w:eastAsia="Times New Roman" w:hAnsi="Times New Roman" w:cs="Times New Roman"/>
                <w:color w:val="000000"/>
                <w:kern w:val="0"/>
                <w:sz w:val="24"/>
                <w:szCs w:val="24"/>
                <w14:ligatures w14:val="none"/>
              </w:rPr>
              <w:t xml:space="preserve">the </w:t>
            </w:r>
            <w:r w:rsidR="0015577E">
              <w:rPr>
                <w:rFonts w:ascii="Times New Roman" w:eastAsia="Times New Roman" w:hAnsi="Times New Roman" w:cs="Times New Roman"/>
                <w:color w:val="000000"/>
                <w:kern w:val="0"/>
                <w:sz w:val="24"/>
                <w:szCs w:val="24"/>
                <w14:ligatures w14:val="none"/>
              </w:rPr>
              <w:t>initial</w:t>
            </w:r>
            <w:r w:rsidR="009E7BF0">
              <w:rPr>
                <w:rFonts w:ascii="Times New Roman" w:eastAsia="Times New Roman" w:hAnsi="Times New Roman" w:cs="Times New Roman"/>
                <w:color w:val="000000"/>
                <w:kern w:val="0"/>
                <w:sz w:val="24"/>
                <w:szCs w:val="24"/>
                <w14:ligatures w14:val="none"/>
              </w:rPr>
              <w:t xml:space="preserve"> </w:t>
            </w:r>
            <w:r w:rsidRPr="0043674E">
              <w:rPr>
                <w:rFonts w:ascii="Times New Roman" w:eastAsia="Times New Roman" w:hAnsi="Times New Roman" w:cs="Times New Roman"/>
                <w:color w:val="000000"/>
                <w:kern w:val="0"/>
                <w:sz w:val="24"/>
                <w:szCs w:val="24"/>
                <w14:ligatures w14:val="none"/>
              </w:rPr>
              <w:t>SARS-CoV-2 infect</w:t>
            </w:r>
            <w:r w:rsidR="00C96723">
              <w:rPr>
                <w:rFonts w:ascii="Times New Roman" w:eastAsia="Times New Roman" w:hAnsi="Times New Roman" w:cs="Times New Roman"/>
                <w:color w:val="000000"/>
                <w:kern w:val="0"/>
                <w:sz w:val="24"/>
                <w:szCs w:val="24"/>
                <w14:ligatures w14:val="none"/>
              </w:rPr>
              <w:t>ed</w:t>
            </w:r>
            <w:r w:rsidRPr="0043674E">
              <w:rPr>
                <w:rFonts w:ascii="Times New Roman" w:eastAsia="Times New Roman" w:hAnsi="Times New Roman" w:cs="Times New Roman"/>
                <w:color w:val="000000"/>
                <w:kern w:val="0"/>
                <w:sz w:val="24"/>
                <w:szCs w:val="24"/>
                <w14:ligatures w14:val="none"/>
              </w:rPr>
              <w:t xml:space="preserve"> </w:t>
            </w:r>
            <w:r w:rsidR="00C96723" w:rsidRPr="00C96723">
              <w:rPr>
                <w:rFonts w:ascii="Times New Roman" w:eastAsia="Times New Roman" w:hAnsi="Times New Roman" w:cs="Times New Roman"/>
                <w:color w:val="000000"/>
                <w:kern w:val="0"/>
                <w:sz w:val="24"/>
                <w:szCs w:val="24"/>
                <w14:ligatures w14:val="none"/>
              </w:rPr>
              <w:t xml:space="preserve">patients if they had any a) positive SARS-CoV-2 polymerase-chain-reaction (PCR) or antigen laboratory tests; b) the International Classification of Diseases, Tenth Revision, Clinical Modification (ICD-10-CM) diagnosis code U07.1 representing COVIID-19 diagnosis; or c) Paxlovid (nirmatrelvir/ritonavir) or Remdesivir prescriptions. </w:t>
            </w:r>
            <w:r w:rsidR="003712DB">
              <w:rPr>
                <w:rFonts w:ascii="Times New Roman" w:eastAsia="Times New Roman" w:hAnsi="Times New Roman" w:cs="Times New Roman"/>
                <w:color w:val="000000"/>
                <w:kern w:val="0"/>
                <w:sz w:val="24"/>
                <w:szCs w:val="24"/>
                <w14:ligatures w14:val="none"/>
              </w:rPr>
              <w:t>The date of the first documented infection evidence was considered</w:t>
            </w:r>
            <w:r w:rsidR="005962F5">
              <w:rPr>
                <w:rFonts w:ascii="Times New Roman" w:eastAsia="Times New Roman" w:hAnsi="Times New Roman" w:cs="Times New Roman"/>
                <w:color w:val="000000"/>
                <w:kern w:val="0"/>
                <w:sz w:val="24"/>
                <w:szCs w:val="24"/>
                <w14:ligatures w14:val="none"/>
              </w:rPr>
              <w:t xml:space="preserve"> as</w:t>
            </w:r>
            <w:r w:rsidR="003712DB">
              <w:rPr>
                <w:rFonts w:ascii="Times New Roman" w:eastAsia="Times New Roman" w:hAnsi="Times New Roman" w:cs="Times New Roman"/>
                <w:color w:val="000000"/>
                <w:kern w:val="0"/>
                <w:sz w:val="24"/>
                <w:szCs w:val="24"/>
                <w14:ligatures w14:val="none"/>
              </w:rPr>
              <w:t xml:space="preserve"> the</w:t>
            </w:r>
            <w:r w:rsidR="007F7DC5">
              <w:rPr>
                <w:rFonts w:ascii="Times New Roman" w:eastAsia="Times New Roman" w:hAnsi="Times New Roman" w:cs="Times New Roman"/>
                <w:color w:val="000000"/>
                <w:kern w:val="0"/>
                <w:sz w:val="24"/>
                <w:szCs w:val="24"/>
                <w14:ligatures w14:val="none"/>
              </w:rPr>
              <w:t xml:space="preserve"> COVID-19</w:t>
            </w:r>
            <w:r w:rsidR="003712DB">
              <w:rPr>
                <w:rFonts w:ascii="Times New Roman" w:eastAsia="Times New Roman" w:hAnsi="Times New Roman" w:cs="Times New Roman"/>
                <w:color w:val="000000"/>
                <w:kern w:val="0"/>
                <w:sz w:val="24"/>
                <w:szCs w:val="24"/>
                <w14:ligatures w14:val="none"/>
              </w:rPr>
              <w:t xml:space="preserve"> index date.</w:t>
            </w:r>
          </w:p>
          <w:p w14:paraId="34757A84" w14:textId="0D0926BD" w:rsidR="003D4330" w:rsidRDefault="003D4330"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Having received or being expected to receive other COVID-19 treatments or contraindicated drugs w</w:t>
            </w:r>
            <w:r w:rsidR="00AE107C">
              <w:rPr>
                <w:rFonts w:ascii="Times New Roman" w:eastAsia="Times New Roman" w:hAnsi="Times New Roman" w:cs="Times New Roman"/>
                <w:color w:val="000000"/>
                <w:kern w:val="0"/>
                <w:sz w:val="24"/>
                <w:szCs w:val="24"/>
                <w14:ligatures w14:val="none"/>
              </w:rPr>
              <w:t>as</w:t>
            </w:r>
            <w:r>
              <w:rPr>
                <w:rFonts w:ascii="Times New Roman" w:eastAsia="Times New Roman" w:hAnsi="Times New Roman" w:cs="Times New Roman"/>
                <w:color w:val="000000"/>
                <w:kern w:val="0"/>
                <w:sz w:val="24"/>
                <w:szCs w:val="24"/>
                <w14:ligatures w14:val="none"/>
              </w:rPr>
              <w:t xml:space="preserve"> ascertained </w:t>
            </w:r>
            <w:r w:rsidR="00596C89">
              <w:rPr>
                <w:rFonts w:ascii="Times New Roman" w:eastAsia="Times New Roman" w:hAnsi="Times New Roman" w:cs="Times New Roman"/>
                <w:color w:val="000000"/>
                <w:kern w:val="0"/>
                <w:sz w:val="24"/>
                <w:szCs w:val="24"/>
                <w14:ligatures w14:val="none"/>
              </w:rPr>
              <w:t xml:space="preserve">during </w:t>
            </w:r>
            <w:r w:rsidR="00DD67CA">
              <w:rPr>
                <w:rFonts w:ascii="Times New Roman" w:eastAsia="Times New Roman" w:hAnsi="Times New Roman" w:cs="Times New Roman"/>
                <w:color w:val="000000"/>
                <w:kern w:val="0"/>
                <w:sz w:val="24"/>
                <w:szCs w:val="24"/>
                <w14:ligatures w14:val="none"/>
              </w:rPr>
              <w:t>-1</w:t>
            </w:r>
            <w:r w:rsidR="00EA01E9">
              <w:rPr>
                <w:rFonts w:ascii="Times New Roman" w:eastAsia="Times New Roman" w:hAnsi="Times New Roman" w:cs="Times New Roman"/>
                <w:color w:val="000000"/>
                <w:kern w:val="0"/>
                <w:sz w:val="24"/>
                <w:szCs w:val="24"/>
                <w14:ligatures w14:val="none"/>
              </w:rPr>
              <w:t>4</w:t>
            </w:r>
            <w:r w:rsidR="00DD67CA">
              <w:rPr>
                <w:rFonts w:ascii="Times New Roman" w:eastAsia="Times New Roman" w:hAnsi="Times New Roman" w:cs="Times New Roman"/>
                <w:color w:val="000000"/>
                <w:kern w:val="0"/>
                <w:sz w:val="24"/>
                <w:szCs w:val="24"/>
                <w14:ligatures w14:val="none"/>
              </w:rPr>
              <w:t xml:space="preserve"> day</w:t>
            </w:r>
            <w:r w:rsidR="007F7DC5">
              <w:rPr>
                <w:rFonts w:ascii="Times New Roman" w:eastAsia="Times New Roman" w:hAnsi="Times New Roman" w:cs="Times New Roman"/>
                <w:color w:val="000000"/>
                <w:kern w:val="0"/>
                <w:sz w:val="24"/>
                <w:szCs w:val="24"/>
                <w14:ligatures w14:val="none"/>
              </w:rPr>
              <w:t>s</w:t>
            </w:r>
            <w:r w:rsidR="00DD67CA">
              <w:rPr>
                <w:rFonts w:ascii="Times New Roman" w:eastAsia="Times New Roman" w:hAnsi="Times New Roman" w:cs="Times New Roman"/>
                <w:color w:val="000000"/>
                <w:kern w:val="0"/>
                <w:sz w:val="24"/>
                <w:szCs w:val="24"/>
                <w14:ligatures w14:val="none"/>
              </w:rPr>
              <w:t xml:space="preserve"> to 14 days around the </w:t>
            </w:r>
            <w:r w:rsidR="007F7DC5">
              <w:rPr>
                <w:rFonts w:ascii="Times New Roman" w:eastAsia="Times New Roman" w:hAnsi="Times New Roman" w:cs="Times New Roman"/>
                <w:color w:val="000000"/>
                <w:kern w:val="0"/>
                <w:sz w:val="24"/>
                <w:szCs w:val="24"/>
                <w14:ligatures w14:val="none"/>
              </w:rPr>
              <w:t xml:space="preserve">COVID-19 </w:t>
            </w:r>
            <w:r w:rsidR="00DD67CA">
              <w:rPr>
                <w:rFonts w:ascii="Times New Roman" w:eastAsia="Times New Roman" w:hAnsi="Times New Roman" w:cs="Times New Roman"/>
                <w:color w:val="000000"/>
                <w:kern w:val="0"/>
                <w:sz w:val="24"/>
                <w:szCs w:val="24"/>
                <w14:ligatures w14:val="none"/>
              </w:rPr>
              <w:t>index date</w:t>
            </w:r>
            <w:r w:rsidR="005F2E1D">
              <w:rPr>
                <w:rFonts w:ascii="Times New Roman" w:eastAsia="Times New Roman" w:hAnsi="Times New Roman" w:cs="Times New Roman"/>
                <w:color w:val="000000"/>
                <w:kern w:val="0"/>
                <w:sz w:val="24"/>
                <w:szCs w:val="24"/>
                <w14:ligatures w14:val="none"/>
              </w:rPr>
              <w:t>.</w:t>
            </w:r>
          </w:p>
          <w:p w14:paraId="0F65167E" w14:textId="16894ACC" w:rsidR="00DD67CA" w:rsidRPr="00C043E5" w:rsidRDefault="007F7DC5" w:rsidP="009A54B8">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Having hospitalized for the infection or need for hospitalization for medical treatment</w:t>
            </w:r>
            <w:r w:rsidR="00091871">
              <w:rPr>
                <w:rFonts w:ascii="Times New Roman" w:eastAsia="Times New Roman" w:hAnsi="Times New Roman" w:cs="Times New Roman"/>
                <w:color w:val="000000"/>
                <w:kern w:val="0"/>
                <w:sz w:val="24"/>
                <w:szCs w:val="24"/>
                <w14:ligatures w14:val="none"/>
              </w:rPr>
              <w:t>, including ventilation and ICU ca</w:t>
            </w:r>
            <w:r w:rsidR="001E0326">
              <w:rPr>
                <w:rFonts w:ascii="Times New Roman" w:eastAsia="Times New Roman" w:hAnsi="Times New Roman" w:cs="Times New Roman"/>
                <w:color w:val="000000"/>
                <w:kern w:val="0"/>
                <w:sz w:val="24"/>
                <w:szCs w:val="24"/>
                <w14:ligatures w14:val="none"/>
              </w:rPr>
              <w:t>r</w:t>
            </w:r>
            <w:r w:rsidR="00091871">
              <w:rPr>
                <w:rFonts w:ascii="Times New Roman" w:eastAsia="Times New Roman" w:hAnsi="Times New Roman" w:cs="Times New Roman"/>
                <w:color w:val="000000"/>
                <w:kern w:val="0"/>
                <w:sz w:val="24"/>
                <w:szCs w:val="24"/>
                <w14:ligatures w14:val="none"/>
              </w:rPr>
              <w:t>e,</w:t>
            </w:r>
            <w:r>
              <w:rPr>
                <w:rFonts w:ascii="Times New Roman" w:eastAsia="Times New Roman" w:hAnsi="Times New Roman" w:cs="Times New Roman"/>
                <w:color w:val="000000"/>
                <w:kern w:val="0"/>
                <w:sz w:val="24"/>
                <w:szCs w:val="24"/>
                <w14:ligatures w14:val="none"/>
              </w:rPr>
              <w:t xml:space="preserve"> of COVID-19 </w:t>
            </w:r>
            <w:r w:rsidR="00091871">
              <w:rPr>
                <w:rFonts w:ascii="Times New Roman" w:eastAsia="Times New Roman" w:hAnsi="Times New Roman" w:cs="Times New Roman"/>
                <w:color w:val="000000"/>
                <w:kern w:val="0"/>
                <w:sz w:val="24"/>
                <w:szCs w:val="24"/>
                <w14:ligatures w14:val="none"/>
              </w:rPr>
              <w:t xml:space="preserve">as well for </w:t>
            </w:r>
            <w:r>
              <w:rPr>
                <w:rFonts w:ascii="Times New Roman" w:eastAsia="Times New Roman" w:hAnsi="Times New Roman" w:cs="Times New Roman"/>
                <w:color w:val="000000"/>
                <w:kern w:val="0"/>
                <w:sz w:val="24"/>
                <w:szCs w:val="24"/>
                <w14:ligatures w14:val="none"/>
              </w:rPr>
              <w:t xml:space="preserve">were ascertained </w:t>
            </w:r>
            <w:r w:rsidR="00596C89">
              <w:rPr>
                <w:rFonts w:ascii="Times New Roman" w:eastAsia="Times New Roman" w:hAnsi="Times New Roman" w:cs="Times New Roman"/>
                <w:color w:val="000000"/>
                <w:kern w:val="0"/>
                <w:sz w:val="24"/>
                <w:szCs w:val="24"/>
                <w14:ligatures w14:val="none"/>
              </w:rPr>
              <w:t xml:space="preserve">during </w:t>
            </w:r>
            <w:r>
              <w:rPr>
                <w:rFonts w:ascii="Times New Roman" w:eastAsia="Times New Roman" w:hAnsi="Times New Roman" w:cs="Times New Roman"/>
                <w:color w:val="000000"/>
                <w:kern w:val="0"/>
                <w:sz w:val="24"/>
                <w:szCs w:val="24"/>
                <w14:ligatures w14:val="none"/>
              </w:rPr>
              <w:t>-1 day to 14 days around the COVID-19 index date</w:t>
            </w:r>
            <w:r w:rsidR="005F2E1D">
              <w:rPr>
                <w:rFonts w:ascii="Times New Roman" w:eastAsia="Times New Roman" w:hAnsi="Times New Roman" w:cs="Times New Roman"/>
                <w:color w:val="000000"/>
                <w:kern w:val="0"/>
                <w:sz w:val="24"/>
                <w:szCs w:val="24"/>
                <w14:ligatures w14:val="none"/>
              </w:rPr>
              <w:t>.</w:t>
            </w:r>
          </w:p>
        </w:tc>
      </w:tr>
      <w:tr w:rsidR="00427C41" w:rsidRPr="00B71511" w14:paraId="70C2D146" w14:textId="77777777" w:rsidTr="006A790F">
        <w:trPr>
          <w:trHeight w:val="799"/>
        </w:trPr>
        <w:tc>
          <w:tcPr>
            <w:tcW w:w="1435" w:type="dxa"/>
            <w:tcBorders>
              <w:top w:val="single" w:sz="4" w:space="0" w:color="auto"/>
              <w:left w:val="single" w:sz="4" w:space="0" w:color="auto"/>
              <w:bottom w:val="single" w:sz="4" w:space="0" w:color="auto"/>
              <w:right w:val="single" w:sz="4" w:space="0" w:color="auto"/>
            </w:tcBorders>
            <w:shd w:val="clear" w:color="auto" w:fill="auto"/>
            <w:noWrap/>
            <w:hideMark/>
          </w:tcPr>
          <w:p w14:paraId="4AA54941" w14:textId="47EABB84" w:rsidR="00B71511" w:rsidRPr="00B71511" w:rsidRDefault="00CE03E4" w:rsidP="00A77A13">
            <w:p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lastRenderedPageBreak/>
              <w:t>Treatment strategies</w:t>
            </w:r>
          </w:p>
        </w:tc>
        <w:tc>
          <w:tcPr>
            <w:tcW w:w="3957" w:type="dxa"/>
            <w:tcBorders>
              <w:top w:val="single" w:sz="4" w:space="0" w:color="auto"/>
              <w:left w:val="single" w:sz="4" w:space="0" w:color="auto"/>
              <w:bottom w:val="single" w:sz="4" w:space="0" w:color="auto"/>
              <w:right w:val="single" w:sz="4" w:space="0" w:color="auto"/>
            </w:tcBorders>
            <w:shd w:val="clear" w:color="auto" w:fill="auto"/>
            <w:noWrap/>
            <w:hideMark/>
          </w:tcPr>
          <w:p w14:paraId="2325B1A0" w14:textId="69DB2F74" w:rsidR="009E66C7" w:rsidRPr="009E66C7" w:rsidRDefault="006921B5" w:rsidP="001E55D5">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Exposed arm: r</w:t>
            </w:r>
            <w:r w:rsidR="009E66C7" w:rsidRPr="009E66C7">
              <w:rPr>
                <w:rFonts w:ascii="Times New Roman" w:eastAsia="Times New Roman" w:hAnsi="Times New Roman" w:cs="Times New Roman"/>
                <w:color w:val="000000"/>
                <w:kern w:val="0"/>
                <w:sz w:val="24"/>
                <w:szCs w:val="24"/>
                <w14:ligatures w14:val="none"/>
              </w:rPr>
              <w:t xml:space="preserve">eceive </w:t>
            </w:r>
            <w:r w:rsidR="00880641">
              <w:rPr>
                <w:rFonts w:ascii="Times New Roman" w:eastAsia="Times New Roman" w:hAnsi="Times New Roman" w:cs="Times New Roman"/>
                <w:color w:val="000000"/>
                <w:kern w:val="0"/>
                <w:sz w:val="24"/>
                <w:szCs w:val="24"/>
                <w14:ligatures w14:val="none"/>
              </w:rPr>
              <w:t xml:space="preserve">Paxlovid within 5 days of </w:t>
            </w:r>
            <w:r w:rsidR="00920274">
              <w:rPr>
                <w:rFonts w:ascii="Times New Roman" w:eastAsia="Times New Roman" w:hAnsi="Times New Roman" w:cs="Times New Roman"/>
                <w:color w:val="000000"/>
                <w:kern w:val="0"/>
                <w:sz w:val="24"/>
                <w:szCs w:val="24"/>
                <w14:ligatures w14:val="none"/>
              </w:rPr>
              <w:t xml:space="preserve">the confirmed </w:t>
            </w:r>
            <w:r w:rsidR="00880641">
              <w:rPr>
                <w:rFonts w:ascii="Times New Roman" w:eastAsia="Times New Roman" w:hAnsi="Times New Roman" w:cs="Times New Roman"/>
                <w:color w:val="000000"/>
                <w:kern w:val="0"/>
                <w:sz w:val="24"/>
                <w:szCs w:val="24"/>
                <w14:ligatures w14:val="none"/>
              </w:rPr>
              <w:t>SARS-CoV-2 infection</w:t>
            </w:r>
            <w:r w:rsidR="009E66C7" w:rsidRPr="009E66C7">
              <w:rPr>
                <w:rFonts w:ascii="Times New Roman" w:eastAsia="Times New Roman" w:hAnsi="Times New Roman" w:cs="Times New Roman"/>
                <w:color w:val="000000"/>
                <w:kern w:val="0"/>
                <w:sz w:val="24"/>
                <w:szCs w:val="24"/>
                <w14:ligatures w14:val="none"/>
              </w:rPr>
              <w:t>, or</w:t>
            </w:r>
          </w:p>
          <w:p w14:paraId="41F8176F" w14:textId="08FE6AC4" w:rsidR="00B71511" w:rsidRPr="00B71511" w:rsidRDefault="006921B5" w:rsidP="001E55D5">
            <w:pPr>
              <w:pStyle w:val="ListParagraph"/>
              <w:numPr>
                <w:ilvl w:val="0"/>
                <w:numId w:val="2"/>
              </w:numPr>
              <w:spacing w:after="0"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Control arm: r</w:t>
            </w:r>
            <w:r w:rsidR="00880641">
              <w:rPr>
                <w:rFonts w:ascii="Times New Roman" w:eastAsia="Times New Roman" w:hAnsi="Times New Roman" w:cs="Times New Roman"/>
                <w:color w:val="000000"/>
                <w:kern w:val="0"/>
                <w:sz w:val="24"/>
                <w:szCs w:val="24"/>
                <w14:ligatures w14:val="none"/>
              </w:rPr>
              <w:t xml:space="preserve">eceive placebo within 5 days of </w:t>
            </w:r>
            <w:r w:rsidR="00E01093">
              <w:rPr>
                <w:rFonts w:ascii="Times New Roman" w:eastAsia="Times New Roman" w:hAnsi="Times New Roman" w:cs="Times New Roman"/>
                <w:color w:val="000000"/>
                <w:kern w:val="0"/>
                <w:sz w:val="24"/>
                <w:szCs w:val="24"/>
                <w14:ligatures w14:val="none"/>
              </w:rPr>
              <w:t xml:space="preserve">the confirmed </w:t>
            </w:r>
            <w:r w:rsidR="00880641">
              <w:rPr>
                <w:rFonts w:ascii="Times New Roman" w:eastAsia="Times New Roman" w:hAnsi="Times New Roman" w:cs="Times New Roman"/>
                <w:color w:val="000000"/>
                <w:kern w:val="0"/>
                <w:sz w:val="24"/>
                <w:szCs w:val="24"/>
                <w14:ligatures w14:val="none"/>
              </w:rPr>
              <w:t>SARS-CoV-2 infection</w:t>
            </w:r>
          </w:p>
        </w:tc>
        <w:tc>
          <w:tcPr>
            <w:tcW w:w="3958" w:type="dxa"/>
            <w:tcBorders>
              <w:top w:val="single" w:sz="4" w:space="0" w:color="auto"/>
              <w:left w:val="single" w:sz="4" w:space="0" w:color="auto"/>
              <w:bottom w:val="single" w:sz="4" w:space="0" w:color="auto"/>
              <w:right w:val="single" w:sz="4" w:space="0" w:color="auto"/>
            </w:tcBorders>
            <w:shd w:val="clear" w:color="auto" w:fill="auto"/>
            <w:noWrap/>
            <w:hideMark/>
          </w:tcPr>
          <w:p w14:paraId="11F4BE53" w14:textId="77777777" w:rsidR="00F312A7" w:rsidRDefault="009E66C7" w:rsidP="009A54B8">
            <w:pPr>
              <w:spacing w:after="0" w:line="240" w:lineRule="auto"/>
              <w:rPr>
                <w:rFonts w:ascii="Times New Roman" w:eastAsia="Times New Roman" w:hAnsi="Times New Roman" w:cs="Times New Roman"/>
                <w:color w:val="000000"/>
                <w:kern w:val="0"/>
                <w:sz w:val="24"/>
                <w:szCs w:val="24"/>
                <w14:ligatures w14:val="none"/>
              </w:rPr>
            </w:pPr>
            <w:r w:rsidRPr="009E66C7">
              <w:rPr>
                <w:rFonts w:ascii="Times New Roman" w:eastAsia="Times New Roman" w:hAnsi="Times New Roman" w:cs="Times New Roman"/>
                <w:color w:val="000000"/>
                <w:kern w:val="0"/>
                <w:sz w:val="24"/>
                <w:szCs w:val="24"/>
                <w14:ligatures w14:val="none"/>
              </w:rPr>
              <w:t>Same as for the target trial</w:t>
            </w:r>
            <w:r w:rsidR="00880641">
              <w:rPr>
                <w:rFonts w:ascii="Times New Roman" w:eastAsia="Times New Roman" w:hAnsi="Times New Roman" w:cs="Times New Roman"/>
                <w:color w:val="000000"/>
                <w:kern w:val="0"/>
                <w:sz w:val="24"/>
                <w:szCs w:val="24"/>
                <w14:ligatures w14:val="none"/>
              </w:rPr>
              <w:t>, except:</w:t>
            </w:r>
          </w:p>
          <w:p w14:paraId="49BB68E1" w14:textId="174E0161" w:rsidR="00B71511" w:rsidRDefault="00E251FC" w:rsidP="00742B1B">
            <w:pPr>
              <w:pStyle w:val="ListParagraph"/>
              <w:numPr>
                <w:ilvl w:val="0"/>
                <w:numId w:val="2"/>
              </w:numPr>
              <w:spacing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The control arm consisted of patients without documented Paxlovid</w:t>
            </w:r>
            <w:r w:rsidR="006323D3">
              <w:rPr>
                <w:rFonts w:ascii="Times New Roman" w:eastAsia="Times New Roman" w:hAnsi="Times New Roman" w:cs="Times New Roman"/>
                <w:color w:val="000000"/>
                <w:kern w:val="0"/>
                <w:sz w:val="24"/>
                <w:szCs w:val="24"/>
                <w14:ligatures w14:val="none"/>
              </w:rPr>
              <w:t xml:space="preserve"> treatment</w:t>
            </w:r>
            <w:r w:rsidR="005A3AC3">
              <w:rPr>
                <w:rFonts w:ascii="Times New Roman" w:eastAsia="Times New Roman" w:hAnsi="Times New Roman" w:cs="Times New Roman"/>
                <w:color w:val="000000"/>
                <w:kern w:val="0"/>
                <w:sz w:val="24"/>
                <w:szCs w:val="24"/>
                <w14:ligatures w14:val="none"/>
              </w:rPr>
              <w:t xml:space="preserve">, and </w:t>
            </w:r>
            <w:r>
              <w:rPr>
                <w:rFonts w:ascii="Times New Roman" w:eastAsia="Times New Roman" w:hAnsi="Times New Roman" w:cs="Times New Roman"/>
                <w:color w:val="000000"/>
                <w:kern w:val="0"/>
                <w:sz w:val="24"/>
                <w:szCs w:val="24"/>
                <w14:ligatures w14:val="none"/>
              </w:rPr>
              <w:t xml:space="preserve">according to the eligibility criteria, not having other COVID-19 treatments during </w:t>
            </w:r>
            <w:r w:rsidR="00EC236C">
              <w:rPr>
                <w:rFonts w:ascii="Times New Roman" w:eastAsia="Times New Roman" w:hAnsi="Times New Roman" w:cs="Times New Roman"/>
                <w:color w:val="000000"/>
                <w:kern w:val="0"/>
                <w:sz w:val="24"/>
                <w:szCs w:val="24"/>
                <w14:ligatures w14:val="none"/>
              </w:rPr>
              <w:t>-1 day to 14 days around the COVID-19 index date</w:t>
            </w:r>
            <w:r w:rsidR="00EC250F">
              <w:rPr>
                <w:rFonts w:ascii="Times New Roman" w:eastAsia="Times New Roman" w:hAnsi="Times New Roman" w:cs="Times New Roman"/>
                <w:color w:val="000000"/>
                <w:kern w:val="0"/>
                <w:sz w:val="24"/>
                <w:szCs w:val="24"/>
                <w14:ligatures w14:val="none"/>
              </w:rPr>
              <w:t xml:space="preserve"> either</w:t>
            </w:r>
            <w:r w:rsidR="00EC236C">
              <w:rPr>
                <w:rFonts w:ascii="Times New Roman" w:eastAsia="Times New Roman" w:hAnsi="Times New Roman" w:cs="Times New Roman"/>
                <w:color w:val="000000"/>
                <w:kern w:val="0"/>
                <w:sz w:val="24"/>
                <w:szCs w:val="24"/>
                <w14:ligatures w14:val="none"/>
              </w:rPr>
              <w:t>.</w:t>
            </w:r>
            <w:r w:rsidR="009E66C7" w:rsidRPr="009E66C7">
              <w:rPr>
                <w:rFonts w:ascii="Times New Roman" w:eastAsia="Times New Roman" w:hAnsi="Times New Roman" w:cs="Times New Roman"/>
                <w:color w:val="000000"/>
                <w:kern w:val="0"/>
                <w:sz w:val="24"/>
                <w:szCs w:val="24"/>
                <w14:ligatures w14:val="none"/>
              </w:rPr>
              <w:t xml:space="preserve"> </w:t>
            </w:r>
          </w:p>
          <w:p w14:paraId="65A7C87A" w14:textId="04B30127" w:rsidR="00D414D6" w:rsidRPr="009B5AA5" w:rsidRDefault="00D414D6" w:rsidP="009A54B8">
            <w:pPr>
              <w:spacing w:after="0" w:line="240" w:lineRule="auto"/>
              <w:rPr>
                <w:rFonts w:ascii="Times New Roman" w:eastAsia="Times New Roman" w:hAnsi="Times New Roman" w:cs="Times New Roman"/>
                <w:color w:val="000000"/>
                <w:kern w:val="0"/>
                <w:sz w:val="24"/>
                <w:szCs w:val="24"/>
                <w14:ligatures w14:val="none"/>
              </w:rPr>
            </w:pPr>
          </w:p>
        </w:tc>
      </w:tr>
      <w:tr w:rsidR="00387BC2" w:rsidRPr="00B71511" w14:paraId="244B0EFD" w14:textId="77777777" w:rsidTr="006A790F">
        <w:trPr>
          <w:trHeight w:val="799"/>
        </w:trPr>
        <w:tc>
          <w:tcPr>
            <w:tcW w:w="1435" w:type="dxa"/>
            <w:tcBorders>
              <w:top w:val="single" w:sz="4" w:space="0" w:color="auto"/>
              <w:left w:val="single" w:sz="4" w:space="0" w:color="auto"/>
              <w:bottom w:val="single" w:sz="4" w:space="0" w:color="auto"/>
              <w:right w:val="single" w:sz="4" w:space="0" w:color="auto"/>
            </w:tcBorders>
            <w:shd w:val="clear" w:color="auto" w:fill="auto"/>
            <w:noWrap/>
            <w:hideMark/>
          </w:tcPr>
          <w:p w14:paraId="7CE36C47" w14:textId="1408AE83" w:rsidR="00387BC2" w:rsidRPr="00B71511" w:rsidRDefault="00387BC2" w:rsidP="00657795">
            <w:pPr>
              <w:spacing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Treatment assignment</w:t>
            </w:r>
          </w:p>
        </w:tc>
        <w:tc>
          <w:tcPr>
            <w:tcW w:w="3957" w:type="dxa"/>
            <w:tcBorders>
              <w:top w:val="single" w:sz="4" w:space="0" w:color="auto"/>
              <w:left w:val="single" w:sz="4" w:space="0" w:color="auto"/>
              <w:bottom w:val="single" w:sz="4" w:space="0" w:color="auto"/>
              <w:right w:val="single" w:sz="4" w:space="0" w:color="auto"/>
            </w:tcBorders>
            <w:shd w:val="clear" w:color="auto" w:fill="auto"/>
            <w:noWrap/>
            <w:hideMark/>
          </w:tcPr>
          <w:p w14:paraId="3BBDD7C1" w14:textId="71B5EDAF" w:rsidR="007F2C58" w:rsidRPr="00B71511" w:rsidRDefault="007F2C58" w:rsidP="00657795">
            <w:pPr>
              <w:spacing w:line="240" w:lineRule="auto"/>
              <w:rPr>
                <w:rFonts w:ascii="Times New Roman" w:eastAsia="Times New Roman" w:hAnsi="Times New Roman" w:cs="Times New Roman"/>
                <w:color w:val="000000"/>
                <w:kern w:val="0"/>
                <w:sz w:val="24"/>
                <w:szCs w:val="24"/>
                <w14:ligatures w14:val="none"/>
              </w:rPr>
            </w:pPr>
            <w:r w:rsidRPr="007F2C58">
              <w:rPr>
                <w:rFonts w:ascii="Times New Roman" w:eastAsia="Times New Roman" w:hAnsi="Times New Roman" w:cs="Times New Roman"/>
                <w:color w:val="000000"/>
                <w:kern w:val="0"/>
                <w:sz w:val="24"/>
                <w:szCs w:val="24"/>
                <w14:ligatures w14:val="none"/>
              </w:rPr>
              <w:t>Individuals are randomly assigned to a strategy at</w:t>
            </w:r>
            <w:r>
              <w:rPr>
                <w:rFonts w:ascii="Times New Roman" w:eastAsia="Times New Roman" w:hAnsi="Times New Roman" w:cs="Times New Roman"/>
                <w:color w:val="000000"/>
                <w:kern w:val="0"/>
                <w:sz w:val="24"/>
                <w:szCs w:val="24"/>
                <w14:ligatures w14:val="none"/>
              </w:rPr>
              <w:t xml:space="preserve"> the </w:t>
            </w:r>
            <w:r w:rsidRPr="007F2C58">
              <w:rPr>
                <w:rFonts w:ascii="Times New Roman" w:eastAsia="Times New Roman" w:hAnsi="Times New Roman" w:cs="Times New Roman"/>
                <w:color w:val="000000"/>
                <w:kern w:val="0"/>
                <w:sz w:val="24"/>
                <w:szCs w:val="24"/>
                <w14:ligatures w14:val="none"/>
              </w:rPr>
              <w:t>baseline</w:t>
            </w:r>
            <w:r w:rsidR="00A90A5B">
              <w:rPr>
                <w:rFonts w:ascii="Times New Roman" w:eastAsia="Times New Roman" w:hAnsi="Times New Roman" w:cs="Times New Roman"/>
                <w:color w:val="000000"/>
                <w:kern w:val="0"/>
                <w:sz w:val="24"/>
                <w:szCs w:val="24"/>
                <w14:ligatures w14:val="none"/>
              </w:rPr>
              <w:t xml:space="preserve"> and will be </w:t>
            </w:r>
            <w:r w:rsidRPr="007F2C58">
              <w:rPr>
                <w:rFonts w:ascii="Times New Roman" w:eastAsia="Times New Roman" w:hAnsi="Times New Roman" w:cs="Times New Roman"/>
                <w:color w:val="000000"/>
                <w:kern w:val="0"/>
                <w:sz w:val="24"/>
                <w:szCs w:val="24"/>
                <w14:ligatures w14:val="none"/>
              </w:rPr>
              <w:t>aware of the</w:t>
            </w:r>
            <w:r w:rsidR="00631184">
              <w:rPr>
                <w:rFonts w:ascii="Times New Roman" w:eastAsia="Times New Roman" w:hAnsi="Times New Roman" w:cs="Times New Roman"/>
                <w:color w:val="000000"/>
                <w:kern w:val="0"/>
                <w:sz w:val="24"/>
                <w:szCs w:val="24"/>
                <w14:ligatures w14:val="none"/>
              </w:rPr>
              <w:t xml:space="preserve"> </w:t>
            </w:r>
            <w:r w:rsidRPr="007F2C58">
              <w:rPr>
                <w:rFonts w:ascii="Times New Roman" w:eastAsia="Times New Roman" w:hAnsi="Times New Roman" w:cs="Times New Roman"/>
                <w:color w:val="000000"/>
                <w:kern w:val="0"/>
                <w:sz w:val="24"/>
                <w:szCs w:val="24"/>
                <w14:ligatures w14:val="none"/>
              </w:rPr>
              <w:t>assigned treatment strategy.</w:t>
            </w:r>
          </w:p>
        </w:tc>
        <w:tc>
          <w:tcPr>
            <w:tcW w:w="3958" w:type="dxa"/>
            <w:tcBorders>
              <w:top w:val="single" w:sz="4" w:space="0" w:color="auto"/>
              <w:left w:val="single" w:sz="4" w:space="0" w:color="auto"/>
              <w:bottom w:val="single" w:sz="4" w:space="0" w:color="auto"/>
              <w:right w:val="single" w:sz="4" w:space="0" w:color="auto"/>
            </w:tcBorders>
            <w:shd w:val="clear" w:color="auto" w:fill="auto"/>
            <w:noWrap/>
            <w:hideMark/>
          </w:tcPr>
          <w:p w14:paraId="7D0AD99B" w14:textId="6898F9A9" w:rsidR="00387BC2" w:rsidRPr="00B71511" w:rsidRDefault="00657795" w:rsidP="00657795">
            <w:pPr>
              <w:spacing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We classified individuals according to the treatment strategies that their data were compatible with at baseline and attempted to emulate randomization by adjusting for baseline confounders</w:t>
            </w:r>
          </w:p>
        </w:tc>
      </w:tr>
      <w:tr w:rsidR="00387BC2" w:rsidRPr="00B71511" w14:paraId="405989CE" w14:textId="77777777" w:rsidTr="006A790F">
        <w:trPr>
          <w:trHeight w:val="799"/>
        </w:trPr>
        <w:tc>
          <w:tcPr>
            <w:tcW w:w="1435" w:type="dxa"/>
            <w:tcBorders>
              <w:top w:val="single" w:sz="4" w:space="0" w:color="auto"/>
              <w:left w:val="single" w:sz="4" w:space="0" w:color="auto"/>
              <w:bottom w:val="single" w:sz="4" w:space="0" w:color="auto"/>
              <w:right w:val="single" w:sz="4" w:space="0" w:color="auto"/>
            </w:tcBorders>
            <w:shd w:val="clear" w:color="auto" w:fill="auto"/>
            <w:noWrap/>
            <w:hideMark/>
          </w:tcPr>
          <w:p w14:paraId="6E8AC72A" w14:textId="0ED8B8F4" w:rsidR="00387BC2" w:rsidRPr="00B71511" w:rsidRDefault="00387BC2" w:rsidP="00387BC2">
            <w:p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Outcomes</w:t>
            </w:r>
          </w:p>
        </w:tc>
        <w:tc>
          <w:tcPr>
            <w:tcW w:w="3957" w:type="dxa"/>
            <w:tcBorders>
              <w:top w:val="single" w:sz="4" w:space="0" w:color="auto"/>
              <w:left w:val="single" w:sz="4" w:space="0" w:color="auto"/>
              <w:bottom w:val="single" w:sz="4" w:space="0" w:color="auto"/>
              <w:right w:val="single" w:sz="4" w:space="0" w:color="auto"/>
            </w:tcBorders>
            <w:shd w:val="clear" w:color="auto" w:fill="auto"/>
            <w:noWrap/>
            <w:hideMark/>
          </w:tcPr>
          <w:p w14:paraId="5856581E" w14:textId="1DAE014F" w:rsidR="00E93D9C" w:rsidRDefault="00FD6535" w:rsidP="002046BA">
            <w:pPr>
              <w:pStyle w:val="ListParagraph"/>
              <w:numPr>
                <w:ilvl w:val="0"/>
                <w:numId w:val="2"/>
              </w:numPr>
              <w:spacing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Post-acute d</w:t>
            </w:r>
            <w:r w:rsidR="00150E41">
              <w:rPr>
                <w:rFonts w:ascii="Times New Roman" w:eastAsia="Times New Roman" w:hAnsi="Times New Roman" w:cs="Times New Roman"/>
                <w:color w:val="000000"/>
                <w:kern w:val="0"/>
                <w:sz w:val="24"/>
                <w:szCs w:val="24"/>
                <w14:ligatures w14:val="none"/>
              </w:rPr>
              <w:t>eath from any cause from day 31 to day 180</w:t>
            </w:r>
          </w:p>
          <w:p w14:paraId="1B17980C" w14:textId="6419C7C2" w:rsidR="00FD6535" w:rsidRDefault="00FD6535" w:rsidP="002046BA">
            <w:pPr>
              <w:pStyle w:val="ListParagraph"/>
              <w:numPr>
                <w:ilvl w:val="0"/>
                <w:numId w:val="2"/>
              </w:numPr>
              <w:spacing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w:t>
            </w:r>
            <w:r w:rsidRPr="0054232D">
              <w:rPr>
                <w:rFonts w:ascii="Times New Roman" w:eastAsia="Times New Roman" w:hAnsi="Times New Roman" w:cs="Times New Roman" w:hint="eastAsia"/>
                <w:color w:val="000000"/>
                <w:kern w:val="0"/>
                <w:sz w:val="24"/>
                <w:szCs w:val="24"/>
                <w14:ligatures w14:val="none"/>
              </w:rPr>
              <w:t>Symptomatic</w:t>
            </w:r>
            <w:r>
              <w:rPr>
                <w:rFonts w:ascii="Times New Roman" w:eastAsia="Times New Roman" w:hAnsi="Times New Roman" w:cs="Times New Roman"/>
                <w:color w:val="000000"/>
                <w:kern w:val="0"/>
                <w:sz w:val="24"/>
                <w:szCs w:val="24"/>
                <w14:ligatures w14:val="none"/>
              </w:rPr>
              <w:t>) p</w:t>
            </w:r>
            <w:r w:rsidRPr="00FD6535">
              <w:rPr>
                <w:rFonts w:ascii="Times New Roman" w:eastAsia="Times New Roman" w:hAnsi="Times New Roman" w:cs="Times New Roman"/>
                <w:color w:val="000000"/>
                <w:kern w:val="0"/>
                <w:sz w:val="24"/>
                <w:szCs w:val="24"/>
                <w14:ligatures w14:val="none"/>
              </w:rPr>
              <w:t>ost</w:t>
            </w:r>
            <w:r>
              <w:rPr>
                <w:rFonts w:ascii="Times New Roman" w:eastAsia="Times New Roman" w:hAnsi="Times New Roman" w:cs="Times New Roman"/>
                <w:color w:val="000000"/>
                <w:kern w:val="0"/>
                <w:sz w:val="24"/>
                <w:szCs w:val="24"/>
                <w14:ligatures w14:val="none"/>
              </w:rPr>
              <w:t>-</w:t>
            </w:r>
            <w:r w:rsidRPr="00FD6535">
              <w:rPr>
                <w:rFonts w:ascii="Times New Roman" w:eastAsia="Times New Roman" w:hAnsi="Times New Roman" w:cs="Times New Roman"/>
                <w:color w:val="000000"/>
                <w:kern w:val="0"/>
                <w:sz w:val="24"/>
                <w:szCs w:val="24"/>
                <w14:ligatures w14:val="none"/>
              </w:rPr>
              <w:t>acute sequelae of SARS-CoV-2 infection (PASC)</w:t>
            </w:r>
            <w:r>
              <w:rPr>
                <w:rFonts w:ascii="Times New Roman" w:eastAsia="Times New Roman" w:hAnsi="Times New Roman" w:cs="Times New Roman"/>
                <w:color w:val="000000"/>
                <w:kern w:val="0"/>
                <w:sz w:val="24"/>
                <w:szCs w:val="24"/>
                <w14:ligatures w14:val="none"/>
              </w:rPr>
              <w:t xml:space="preserve"> from day 31 to day 180</w:t>
            </w:r>
          </w:p>
          <w:p w14:paraId="5D078C7E" w14:textId="056760C3" w:rsidR="00387BC2" w:rsidRPr="002046BA" w:rsidRDefault="00FD6535" w:rsidP="002046BA">
            <w:pPr>
              <w:pStyle w:val="ListParagraph"/>
              <w:numPr>
                <w:ilvl w:val="0"/>
                <w:numId w:val="2"/>
              </w:numPr>
              <w:spacing w:line="240" w:lineRule="auto"/>
              <w:ind w:left="216" w:hanging="216"/>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Post-acute hospitalization from any cause from day 31 to day 180</w:t>
            </w:r>
          </w:p>
        </w:tc>
        <w:tc>
          <w:tcPr>
            <w:tcW w:w="3958" w:type="dxa"/>
            <w:tcBorders>
              <w:top w:val="single" w:sz="4" w:space="0" w:color="auto"/>
              <w:left w:val="single" w:sz="4" w:space="0" w:color="auto"/>
              <w:bottom w:val="single" w:sz="4" w:space="0" w:color="auto"/>
              <w:right w:val="single" w:sz="4" w:space="0" w:color="auto"/>
            </w:tcBorders>
            <w:shd w:val="clear" w:color="auto" w:fill="auto"/>
            <w:noWrap/>
            <w:hideMark/>
          </w:tcPr>
          <w:p w14:paraId="05A5AFE5" w14:textId="6278CACF" w:rsidR="00387BC2" w:rsidRPr="00B71511" w:rsidRDefault="00387BC2" w:rsidP="009A54B8">
            <w:pPr>
              <w:spacing w:after="0" w:line="240" w:lineRule="auto"/>
              <w:rPr>
                <w:rFonts w:ascii="Times New Roman" w:eastAsia="Times New Roman" w:hAnsi="Times New Roman" w:cs="Times New Roman"/>
                <w:color w:val="000000"/>
                <w:kern w:val="0"/>
                <w:sz w:val="24"/>
                <w:szCs w:val="24"/>
                <w14:ligatures w14:val="none"/>
              </w:rPr>
            </w:pPr>
            <w:r w:rsidRPr="0054232D">
              <w:rPr>
                <w:rFonts w:ascii="Times New Roman" w:eastAsia="Times New Roman" w:hAnsi="Times New Roman" w:cs="Times New Roman"/>
                <w:color w:val="000000"/>
                <w:kern w:val="0"/>
                <w:sz w:val="24"/>
                <w:szCs w:val="24"/>
                <w14:ligatures w14:val="none"/>
              </w:rPr>
              <w:t>Same as for the target trial.</w:t>
            </w:r>
          </w:p>
        </w:tc>
      </w:tr>
      <w:tr w:rsidR="00387BC2" w:rsidRPr="00B71511" w14:paraId="3E234B0A" w14:textId="77777777" w:rsidTr="006A790F">
        <w:trPr>
          <w:trHeight w:val="799"/>
        </w:trPr>
        <w:tc>
          <w:tcPr>
            <w:tcW w:w="1435" w:type="dxa"/>
            <w:tcBorders>
              <w:top w:val="single" w:sz="4" w:space="0" w:color="auto"/>
              <w:left w:val="single" w:sz="4" w:space="0" w:color="auto"/>
              <w:bottom w:val="single" w:sz="4" w:space="0" w:color="auto"/>
              <w:right w:val="single" w:sz="4" w:space="0" w:color="auto"/>
            </w:tcBorders>
            <w:shd w:val="clear" w:color="auto" w:fill="auto"/>
            <w:noWrap/>
            <w:hideMark/>
          </w:tcPr>
          <w:p w14:paraId="460884B8" w14:textId="1E88BFAF" w:rsidR="00387BC2" w:rsidRPr="00B71511" w:rsidRDefault="00387BC2" w:rsidP="00387BC2">
            <w:p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Follow-up</w:t>
            </w:r>
          </w:p>
        </w:tc>
        <w:tc>
          <w:tcPr>
            <w:tcW w:w="3957" w:type="dxa"/>
            <w:tcBorders>
              <w:top w:val="single" w:sz="4" w:space="0" w:color="auto"/>
              <w:left w:val="single" w:sz="4" w:space="0" w:color="auto"/>
              <w:bottom w:val="single" w:sz="4" w:space="0" w:color="auto"/>
              <w:right w:val="single" w:sz="4" w:space="0" w:color="auto"/>
            </w:tcBorders>
            <w:shd w:val="clear" w:color="auto" w:fill="auto"/>
            <w:noWrap/>
            <w:hideMark/>
          </w:tcPr>
          <w:p w14:paraId="4FD85B5D" w14:textId="6CAAAB9E" w:rsidR="00387BC2" w:rsidRPr="00B71511" w:rsidRDefault="00387BC2" w:rsidP="0087692F">
            <w:pPr>
              <w:spacing w:line="240" w:lineRule="auto"/>
              <w:rPr>
                <w:rFonts w:ascii="Times New Roman" w:eastAsia="Times New Roman" w:hAnsi="Times New Roman" w:cs="Times New Roman"/>
                <w:color w:val="000000"/>
                <w:kern w:val="0"/>
                <w:sz w:val="24"/>
                <w:szCs w:val="24"/>
                <w14:ligatures w14:val="none"/>
              </w:rPr>
            </w:pPr>
            <w:r w:rsidRPr="00387BC2">
              <w:rPr>
                <w:rFonts w:ascii="Times New Roman" w:eastAsia="Times New Roman" w:hAnsi="Times New Roman" w:cs="Times New Roman"/>
                <w:color w:val="000000"/>
                <w:kern w:val="0"/>
                <w:sz w:val="24"/>
                <w:szCs w:val="24"/>
                <w14:ligatures w14:val="none"/>
              </w:rPr>
              <w:t xml:space="preserve">For each person, follow-up starts on </w:t>
            </w:r>
            <w:r w:rsidR="00054AE4">
              <w:rPr>
                <w:rFonts w:ascii="Times New Roman" w:eastAsia="Times New Roman" w:hAnsi="Times New Roman" w:cs="Times New Roman"/>
                <w:color w:val="000000"/>
                <w:kern w:val="0"/>
                <w:sz w:val="24"/>
                <w:szCs w:val="24"/>
                <w14:ligatures w14:val="none"/>
              </w:rPr>
              <w:t>the day</w:t>
            </w:r>
            <w:r w:rsidRPr="00387BC2">
              <w:rPr>
                <w:rFonts w:ascii="Times New Roman" w:eastAsia="Times New Roman" w:hAnsi="Times New Roman" w:cs="Times New Roman"/>
                <w:color w:val="000000"/>
                <w:kern w:val="0"/>
                <w:sz w:val="24"/>
                <w:szCs w:val="24"/>
                <w14:ligatures w14:val="none"/>
              </w:rPr>
              <w:t xml:space="preserve"> </w:t>
            </w:r>
            <w:r w:rsidR="00054AE4">
              <w:rPr>
                <w:rFonts w:ascii="Times New Roman" w:eastAsia="Times New Roman" w:hAnsi="Times New Roman" w:cs="Times New Roman"/>
                <w:color w:val="000000"/>
                <w:kern w:val="0"/>
                <w:sz w:val="24"/>
                <w:szCs w:val="24"/>
                <w14:ligatures w14:val="none"/>
              </w:rPr>
              <w:t>31 after</w:t>
            </w:r>
            <w:r w:rsidR="00220D1D">
              <w:rPr>
                <w:rFonts w:ascii="Times New Roman" w:eastAsia="Times New Roman" w:hAnsi="Times New Roman" w:cs="Times New Roman"/>
                <w:color w:val="000000"/>
                <w:kern w:val="0"/>
                <w:sz w:val="24"/>
                <w:szCs w:val="24"/>
                <w14:ligatures w14:val="none"/>
              </w:rPr>
              <w:t xml:space="preserve"> </w:t>
            </w:r>
            <w:r w:rsidR="00054AE4">
              <w:rPr>
                <w:rFonts w:ascii="Times New Roman" w:eastAsia="Times New Roman" w:hAnsi="Times New Roman" w:cs="Times New Roman"/>
                <w:color w:val="000000"/>
                <w:kern w:val="0"/>
                <w:sz w:val="24"/>
                <w:szCs w:val="24"/>
                <w14:ligatures w14:val="none"/>
              </w:rPr>
              <w:t xml:space="preserve">the SARS-CoV-2 infection </w:t>
            </w:r>
            <w:r w:rsidRPr="00387BC2">
              <w:rPr>
                <w:rFonts w:ascii="Times New Roman" w:eastAsia="Times New Roman" w:hAnsi="Times New Roman" w:cs="Times New Roman"/>
                <w:color w:val="000000"/>
                <w:kern w:val="0"/>
                <w:sz w:val="24"/>
                <w:szCs w:val="24"/>
                <w14:ligatures w14:val="none"/>
              </w:rPr>
              <w:t>(baseline) and ends on the day of the</w:t>
            </w:r>
            <w:r w:rsidR="00220D1D">
              <w:rPr>
                <w:rFonts w:ascii="Times New Roman" w:eastAsia="Times New Roman" w:hAnsi="Times New Roman" w:cs="Times New Roman"/>
                <w:color w:val="000000"/>
                <w:kern w:val="0"/>
                <w:sz w:val="24"/>
                <w:szCs w:val="24"/>
                <w14:ligatures w14:val="none"/>
              </w:rPr>
              <w:t xml:space="preserve"> </w:t>
            </w:r>
            <w:r w:rsidR="00054AE4">
              <w:rPr>
                <w:rFonts w:ascii="Times New Roman" w:eastAsia="Times New Roman" w:hAnsi="Times New Roman" w:cs="Times New Roman"/>
                <w:color w:val="000000"/>
                <w:kern w:val="0"/>
                <w:sz w:val="24"/>
                <w:szCs w:val="24"/>
                <w14:ligatures w14:val="none"/>
              </w:rPr>
              <w:t xml:space="preserve">post-acute </w:t>
            </w:r>
            <w:r w:rsidRPr="00387BC2">
              <w:rPr>
                <w:rFonts w:ascii="Times New Roman" w:eastAsia="Times New Roman" w:hAnsi="Times New Roman" w:cs="Times New Roman"/>
                <w:color w:val="000000"/>
                <w:kern w:val="0"/>
                <w:sz w:val="24"/>
                <w:szCs w:val="24"/>
                <w14:ligatures w14:val="none"/>
              </w:rPr>
              <w:t>outcome of interest, death, 1</w:t>
            </w:r>
            <w:r w:rsidR="00054AE4">
              <w:rPr>
                <w:rFonts w:ascii="Times New Roman" w:eastAsia="Times New Roman" w:hAnsi="Times New Roman" w:cs="Times New Roman"/>
                <w:color w:val="000000"/>
                <w:kern w:val="0"/>
                <w:sz w:val="24"/>
                <w:szCs w:val="24"/>
                <w14:ligatures w14:val="none"/>
              </w:rPr>
              <w:t>80</w:t>
            </w:r>
            <w:r w:rsidRPr="00387BC2">
              <w:rPr>
                <w:rFonts w:ascii="Times New Roman" w:eastAsia="Times New Roman" w:hAnsi="Times New Roman" w:cs="Times New Roman"/>
                <w:color w:val="000000"/>
                <w:kern w:val="0"/>
                <w:sz w:val="24"/>
                <w:szCs w:val="24"/>
                <w14:ligatures w14:val="none"/>
              </w:rPr>
              <w:t xml:space="preserve"> days after</w:t>
            </w:r>
            <w:r w:rsidR="00220D1D">
              <w:rPr>
                <w:rFonts w:ascii="Times New Roman" w:eastAsia="Times New Roman" w:hAnsi="Times New Roman" w:cs="Times New Roman"/>
                <w:color w:val="000000"/>
                <w:kern w:val="0"/>
                <w:sz w:val="24"/>
                <w:szCs w:val="24"/>
                <w14:ligatures w14:val="none"/>
              </w:rPr>
              <w:t xml:space="preserve"> </w:t>
            </w:r>
            <w:r w:rsidRPr="00387BC2">
              <w:rPr>
                <w:rFonts w:ascii="Times New Roman" w:eastAsia="Times New Roman" w:hAnsi="Times New Roman" w:cs="Times New Roman"/>
                <w:color w:val="000000"/>
                <w:kern w:val="0"/>
                <w:sz w:val="24"/>
                <w:szCs w:val="24"/>
                <w14:ligatures w14:val="none"/>
              </w:rPr>
              <w:t>baseline,</w:t>
            </w:r>
            <w:r w:rsidR="00054AE4">
              <w:rPr>
                <w:rFonts w:ascii="Times New Roman" w:eastAsia="Times New Roman" w:hAnsi="Times New Roman" w:cs="Times New Roman"/>
                <w:color w:val="000000"/>
                <w:kern w:val="0"/>
                <w:sz w:val="24"/>
                <w:szCs w:val="24"/>
                <w14:ligatures w14:val="none"/>
              </w:rPr>
              <w:t xml:space="preserve"> loss of follow-up,</w:t>
            </w:r>
            <w:r w:rsidRPr="00387BC2">
              <w:rPr>
                <w:rFonts w:ascii="Times New Roman" w:eastAsia="Times New Roman" w:hAnsi="Times New Roman" w:cs="Times New Roman"/>
                <w:color w:val="000000"/>
                <w:kern w:val="0"/>
                <w:sz w:val="24"/>
                <w:szCs w:val="24"/>
                <w14:ligatures w14:val="none"/>
              </w:rPr>
              <w:t xml:space="preserve"> or the end of the study period (</w:t>
            </w:r>
            <w:r w:rsidR="002A46AB">
              <w:rPr>
                <w:rFonts w:ascii="Times New Roman" w:eastAsia="Times New Roman" w:hAnsi="Times New Roman" w:cs="Times New Roman"/>
                <w:color w:val="000000"/>
                <w:kern w:val="0"/>
                <w:sz w:val="24"/>
                <w:szCs w:val="24"/>
                <w14:ligatures w14:val="none"/>
              </w:rPr>
              <w:t>August</w:t>
            </w:r>
            <w:r w:rsidRPr="00387BC2">
              <w:rPr>
                <w:rFonts w:ascii="Times New Roman" w:eastAsia="Times New Roman" w:hAnsi="Times New Roman" w:cs="Times New Roman"/>
                <w:color w:val="000000"/>
                <w:kern w:val="0"/>
                <w:sz w:val="24"/>
                <w:szCs w:val="24"/>
                <w14:ligatures w14:val="none"/>
              </w:rPr>
              <w:t xml:space="preserve"> 1, 202</w:t>
            </w:r>
            <w:r w:rsidR="002A46AB">
              <w:rPr>
                <w:rFonts w:ascii="Times New Roman" w:eastAsia="Times New Roman" w:hAnsi="Times New Roman" w:cs="Times New Roman"/>
                <w:color w:val="000000"/>
                <w:kern w:val="0"/>
                <w:sz w:val="24"/>
                <w:szCs w:val="24"/>
                <w14:ligatures w14:val="none"/>
              </w:rPr>
              <w:t>3</w:t>
            </w:r>
            <w:r w:rsidRPr="00387BC2">
              <w:rPr>
                <w:rFonts w:ascii="Times New Roman" w:eastAsia="Times New Roman" w:hAnsi="Times New Roman" w:cs="Times New Roman"/>
                <w:color w:val="000000"/>
                <w:kern w:val="0"/>
                <w:sz w:val="24"/>
                <w:szCs w:val="24"/>
                <w14:ligatures w14:val="none"/>
              </w:rPr>
              <w:t>),</w:t>
            </w:r>
            <w:r w:rsidR="00220D1D">
              <w:rPr>
                <w:rFonts w:ascii="Times New Roman" w:eastAsia="Times New Roman" w:hAnsi="Times New Roman" w:cs="Times New Roman"/>
                <w:color w:val="000000"/>
                <w:kern w:val="0"/>
                <w:sz w:val="24"/>
                <w:szCs w:val="24"/>
                <w14:ligatures w14:val="none"/>
              </w:rPr>
              <w:t xml:space="preserve"> </w:t>
            </w:r>
            <w:r w:rsidRPr="00387BC2">
              <w:rPr>
                <w:rFonts w:ascii="Times New Roman" w:eastAsia="Times New Roman" w:hAnsi="Times New Roman" w:cs="Times New Roman"/>
                <w:color w:val="000000"/>
                <w:kern w:val="0"/>
                <w:sz w:val="24"/>
                <w:szCs w:val="24"/>
                <w14:ligatures w14:val="none"/>
              </w:rPr>
              <w:t>whichever happens first.</w:t>
            </w:r>
          </w:p>
        </w:tc>
        <w:tc>
          <w:tcPr>
            <w:tcW w:w="3958" w:type="dxa"/>
            <w:tcBorders>
              <w:top w:val="single" w:sz="4" w:space="0" w:color="auto"/>
              <w:left w:val="single" w:sz="4" w:space="0" w:color="auto"/>
              <w:bottom w:val="single" w:sz="4" w:space="0" w:color="auto"/>
              <w:right w:val="single" w:sz="4" w:space="0" w:color="auto"/>
            </w:tcBorders>
            <w:shd w:val="clear" w:color="auto" w:fill="auto"/>
            <w:noWrap/>
            <w:hideMark/>
          </w:tcPr>
          <w:p w14:paraId="3A35D46E" w14:textId="4EA31C12" w:rsidR="00387BC2" w:rsidRPr="00B71511" w:rsidRDefault="00387BC2" w:rsidP="009A54B8">
            <w:pPr>
              <w:spacing w:after="0" w:line="240" w:lineRule="auto"/>
              <w:rPr>
                <w:rFonts w:ascii="Times New Roman" w:eastAsia="Times New Roman" w:hAnsi="Times New Roman" w:cs="Times New Roman"/>
                <w:color w:val="000000"/>
                <w:kern w:val="0"/>
                <w:sz w:val="24"/>
                <w:szCs w:val="24"/>
                <w14:ligatures w14:val="none"/>
              </w:rPr>
            </w:pPr>
            <w:r w:rsidRPr="0054232D">
              <w:rPr>
                <w:rFonts w:ascii="Times New Roman" w:eastAsia="Times New Roman" w:hAnsi="Times New Roman" w:cs="Times New Roman"/>
                <w:color w:val="000000"/>
                <w:kern w:val="0"/>
                <w:sz w:val="24"/>
                <w:szCs w:val="24"/>
                <w14:ligatures w14:val="none"/>
              </w:rPr>
              <w:t>Same as for the target trial.</w:t>
            </w:r>
          </w:p>
        </w:tc>
      </w:tr>
      <w:tr w:rsidR="00387BC2" w:rsidRPr="00B71511" w14:paraId="52AC5E5E" w14:textId="77777777" w:rsidTr="006A790F">
        <w:trPr>
          <w:trHeight w:val="799"/>
        </w:trPr>
        <w:tc>
          <w:tcPr>
            <w:tcW w:w="1435" w:type="dxa"/>
            <w:tcBorders>
              <w:top w:val="single" w:sz="4" w:space="0" w:color="auto"/>
              <w:left w:val="single" w:sz="4" w:space="0" w:color="auto"/>
              <w:bottom w:val="single" w:sz="4" w:space="0" w:color="auto"/>
              <w:right w:val="single" w:sz="4" w:space="0" w:color="auto"/>
            </w:tcBorders>
            <w:shd w:val="clear" w:color="auto" w:fill="auto"/>
            <w:noWrap/>
            <w:hideMark/>
          </w:tcPr>
          <w:p w14:paraId="6B02989F" w14:textId="2F3A2EE7" w:rsidR="00387BC2" w:rsidRPr="00B71511" w:rsidRDefault="00387BC2" w:rsidP="00387BC2">
            <w:p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Causal contrasts</w:t>
            </w:r>
          </w:p>
        </w:tc>
        <w:tc>
          <w:tcPr>
            <w:tcW w:w="3957" w:type="dxa"/>
            <w:tcBorders>
              <w:top w:val="single" w:sz="4" w:space="0" w:color="auto"/>
              <w:left w:val="single" w:sz="4" w:space="0" w:color="auto"/>
              <w:bottom w:val="single" w:sz="4" w:space="0" w:color="auto"/>
              <w:right w:val="single" w:sz="4" w:space="0" w:color="auto"/>
            </w:tcBorders>
            <w:shd w:val="clear" w:color="auto" w:fill="auto"/>
            <w:noWrap/>
            <w:hideMark/>
          </w:tcPr>
          <w:p w14:paraId="5DA5EB5E" w14:textId="7BF141B0" w:rsidR="00387BC2" w:rsidRPr="00B71511" w:rsidRDefault="00651A39" w:rsidP="009A54B8">
            <w:pPr>
              <w:spacing w:after="0" w:line="240" w:lineRule="auto"/>
              <w:rPr>
                <w:rFonts w:ascii="Times New Roman" w:eastAsia="Times New Roman" w:hAnsi="Times New Roman" w:cs="Times New Roman"/>
                <w:color w:val="000000"/>
                <w:kern w:val="0"/>
                <w:sz w:val="24"/>
                <w:szCs w:val="24"/>
                <w14:ligatures w14:val="none"/>
              </w:rPr>
            </w:pPr>
            <w:r w:rsidRPr="00651A39">
              <w:rPr>
                <w:rFonts w:ascii="Times New Roman" w:eastAsia="Times New Roman" w:hAnsi="Times New Roman" w:cs="Times New Roman"/>
                <w:color w:val="000000"/>
                <w:kern w:val="0"/>
                <w:sz w:val="24"/>
                <w:szCs w:val="24"/>
                <w14:ligatures w14:val="none"/>
              </w:rPr>
              <w:t>Intention-to-treat effect.</w:t>
            </w:r>
          </w:p>
        </w:tc>
        <w:tc>
          <w:tcPr>
            <w:tcW w:w="3958" w:type="dxa"/>
            <w:tcBorders>
              <w:top w:val="single" w:sz="4" w:space="0" w:color="auto"/>
              <w:left w:val="single" w:sz="4" w:space="0" w:color="auto"/>
              <w:bottom w:val="single" w:sz="4" w:space="0" w:color="auto"/>
              <w:right w:val="single" w:sz="4" w:space="0" w:color="auto"/>
            </w:tcBorders>
            <w:shd w:val="clear" w:color="auto" w:fill="auto"/>
            <w:noWrap/>
            <w:hideMark/>
          </w:tcPr>
          <w:p w14:paraId="4332F72D" w14:textId="629D5EF9" w:rsidR="00BE149B" w:rsidRPr="00B71511" w:rsidRDefault="005F3B00" w:rsidP="00BE149B">
            <w:pPr>
              <w:spacing w:after="0" w:line="240" w:lineRule="auto"/>
              <w:rPr>
                <w:rFonts w:ascii="Times New Roman" w:eastAsia="Times New Roman" w:hAnsi="Times New Roman" w:cs="Times New Roman"/>
                <w:color w:val="000000"/>
                <w:kern w:val="0"/>
                <w:sz w:val="24"/>
                <w:szCs w:val="24"/>
                <w14:ligatures w14:val="none"/>
              </w:rPr>
            </w:pPr>
            <w:r w:rsidRPr="005F3B00">
              <w:rPr>
                <w:rFonts w:ascii="Times New Roman" w:eastAsia="Times New Roman" w:hAnsi="Times New Roman" w:cs="Times New Roman"/>
                <w:color w:val="000000"/>
                <w:kern w:val="0"/>
                <w:sz w:val="24"/>
                <w:szCs w:val="24"/>
                <w14:ligatures w14:val="none"/>
              </w:rPr>
              <w:t>Observational analog of</w:t>
            </w:r>
            <w:r w:rsidR="00BE149B">
              <w:rPr>
                <w:rFonts w:ascii="Times New Roman" w:eastAsia="Times New Roman" w:hAnsi="Times New Roman" w:cs="Times New Roman"/>
                <w:color w:val="000000"/>
                <w:kern w:val="0"/>
                <w:sz w:val="24"/>
                <w:szCs w:val="24"/>
                <w14:ligatures w14:val="none"/>
              </w:rPr>
              <w:t xml:space="preserve"> intention-to-treat </w:t>
            </w:r>
            <w:proofErr w:type="gramStart"/>
            <w:r w:rsidR="00BE149B">
              <w:rPr>
                <w:rFonts w:ascii="Times New Roman" w:eastAsia="Times New Roman" w:hAnsi="Times New Roman" w:cs="Times New Roman"/>
                <w:color w:val="000000"/>
                <w:kern w:val="0"/>
                <w:sz w:val="24"/>
                <w:szCs w:val="24"/>
                <w14:ligatures w14:val="none"/>
              </w:rPr>
              <w:t>effect</w:t>
            </w:r>
            <w:proofErr w:type="gramEnd"/>
          </w:p>
          <w:p w14:paraId="41436CA9" w14:textId="1A2DAFC6" w:rsidR="00387BC2" w:rsidRPr="00B71511" w:rsidRDefault="00387BC2" w:rsidP="009A54B8">
            <w:pPr>
              <w:spacing w:after="0" w:line="240" w:lineRule="auto"/>
              <w:rPr>
                <w:rFonts w:ascii="Times New Roman" w:eastAsia="Times New Roman" w:hAnsi="Times New Roman" w:cs="Times New Roman"/>
                <w:color w:val="000000"/>
                <w:kern w:val="0"/>
                <w:sz w:val="24"/>
                <w:szCs w:val="24"/>
                <w14:ligatures w14:val="none"/>
              </w:rPr>
            </w:pPr>
          </w:p>
        </w:tc>
      </w:tr>
      <w:tr w:rsidR="005F3B00" w:rsidRPr="00B71511" w14:paraId="21D3602E" w14:textId="77777777" w:rsidTr="006A790F">
        <w:trPr>
          <w:trHeight w:val="799"/>
        </w:trPr>
        <w:tc>
          <w:tcPr>
            <w:tcW w:w="1435" w:type="dxa"/>
            <w:tcBorders>
              <w:top w:val="single" w:sz="4" w:space="0" w:color="auto"/>
              <w:left w:val="single" w:sz="4" w:space="0" w:color="auto"/>
              <w:bottom w:val="single" w:sz="4" w:space="0" w:color="auto"/>
              <w:right w:val="single" w:sz="4" w:space="0" w:color="auto"/>
            </w:tcBorders>
            <w:shd w:val="clear" w:color="auto" w:fill="auto"/>
            <w:noWrap/>
            <w:hideMark/>
          </w:tcPr>
          <w:p w14:paraId="39AD2739" w14:textId="1CD47F99" w:rsidR="005F3B00" w:rsidRPr="00B71511" w:rsidRDefault="005F3B00" w:rsidP="005F3B00">
            <w:p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Statistical analysis</w:t>
            </w:r>
          </w:p>
        </w:tc>
        <w:tc>
          <w:tcPr>
            <w:tcW w:w="3957" w:type="dxa"/>
            <w:tcBorders>
              <w:top w:val="single" w:sz="4" w:space="0" w:color="auto"/>
              <w:left w:val="single" w:sz="4" w:space="0" w:color="auto"/>
              <w:bottom w:val="single" w:sz="4" w:space="0" w:color="auto"/>
              <w:right w:val="single" w:sz="4" w:space="0" w:color="auto"/>
            </w:tcBorders>
            <w:shd w:val="clear" w:color="auto" w:fill="auto"/>
            <w:noWrap/>
            <w:hideMark/>
          </w:tcPr>
          <w:p w14:paraId="379AACFD" w14:textId="46E14232" w:rsidR="005F3B00" w:rsidRPr="00734B40" w:rsidRDefault="005F3B00" w:rsidP="00734B40">
            <w:pPr>
              <w:pStyle w:val="ListParagraph"/>
              <w:numPr>
                <w:ilvl w:val="0"/>
                <w:numId w:val="4"/>
              </w:numPr>
              <w:spacing w:after="0" w:line="240" w:lineRule="auto"/>
              <w:rPr>
                <w:rFonts w:ascii="Times New Roman" w:eastAsia="Times New Roman" w:hAnsi="Times New Roman" w:cs="Times New Roman"/>
                <w:color w:val="000000"/>
                <w:kern w:val="0"/>
                <w:sz w:val="24"/>
                <w:szCs w:val="24"/>
                <w14:ligatures w14:val="none"/>
              </w:rPr>
            </w:pPr>
            <w:r w:rsidRPr="00734B40">
              <w:rPr>
                <w:rFonts w:ascii="Times New Roman" w:eastAsia="Times New Roman" w:hAnsi="Times New Roman" w:cs="Times New Roman"/>
                <w:color w:val="000000"/>
                <w:kern w:val="0"/>
                <w:sz w:val="24"/>
                <w:szCs w:val="24"/>
                <w14:ligatures w14:val="none"/>
              </w:rPr>
              <w:t>Cumulative incidence (risk) curves and estimates of</w:t>
            </w:r>
            <w:r w:rsidR="00B11253" w:rsidRPr="00734B40">
              <w:rPr>
                <w:rFonts w:ascii="Times New Roman" w:eastAsia="Times New Roman" w:hAnsi="Times New Roman" w:cs="Times New Roman"/>
                <w:color w:val="000000"/>
                <w:kern w:val="0"/>
                <w:sz w:val="24"/>
                <w:szCs w:val="24"/>
                <w14:ligatures w14:val="none"/>
              </w:rPr>
              <w:t xml:space="preserve"> </w:t>
            </w:r>
            <w:r w:rsidRPr="00734B40">
              <w:rPr>
                <w:rFonts w:ascii="Times New Roman" w:eastAsia="Times New Roman" w:hAnsi="Times New Roman" w:cs="Times New Roman"/>
                <w:color w:val="000000"/>
                <w:kern w:val="0"/>
                <w:sz w:val="24"/>
                <w:szCs w:val="24"/>
                <w14:ligatures w14:val="none"/>
              </w:rPr>
              <w:t>risk, risk differences, risk ratios</w:t>
            </w:r>
            <w:r w:rsidR="000A3BAB" w:rsidRPr="00734B40">
              <w:rPr>
                <w:rFonts w:ascii="Times New Roman" w:eastAsia="Times New Roman" w:hAnsi="Times New Roman" w:cs="Times New Roman"/>
                <w:color w:val="000000"/>
                <w:kern w:val="0"/>
                <w:sz w:val="24"/>
                <w:szCs w:val="24"/>
                <w14:ligatures w14:val="none"/>
              </w:rPr>
              <w:t>, and hazard ratios</w:t>
            </w:r>
            <w:r w:rsidR="00B11253" w:rsidRPr="00734B40">
              <w:rPr>
                <w:rFonts w:ascii="Times New Roman" w:eastAsia="Times New Roman" w:hAnsi="Times New Roman" w:cs="Times New Roman"/>
                <w:color w:val="000000"/>
                <w:kern w:val="0"/>
                <w:sz w:val="24"/>
                <w:szCs w:val="24"/>
                <w14:ligatures w14:val="none"/>
              </w:rPr>
              <w:t xml:space="preserve"> comparing treated versus non-treated groups at 180 days after the baseline.  </w:t>
            </w:r>
          </w:p>
          <w:p w14:paraId="42C67ED6" w14:textId="799223F0" w:rsidR="005F3B00" w:rsidRPr="00734B40" w:rsidRDefault="005F3B00" w:rsidP="00734B40">
            <w:pPr>
              <w:pStyle w:val="ListParagraph"/>
              <w:numPr>
                <w:ilvl w:val="0"/>
                <w:numId w:val="4"/>
              </w:numPr>
              <w:spacing w:after="0" w:line="240" w:lineRule="auto"/>
              <w:rPr>
                <w:rFonts w:ascii="Times New Roman" w:eastAsia="Times New Roman" w:hAnsi="Times New Roman" w:cs="Times New Roman"/>
                <w:color w:val="000000"/>
                <w:kern w:val="0"/>
                <w:sz w:val="24"/>
                <w:szCs w:val="24"/>
                <w14:ligatures w14:val="none"/>
              </w:rPr>
            </w:pPr>
            <w:r w:rsidRPr="00734B40">
              <w:rPr>
                <w:rFonts w:ascii="Times New Roman" w:eastAsia="Times New Roman" w:hAnsi="Times New Roman" w:cs="Times New Roman"/>
                <w:color w:val="000000"/>
                <w:kern w:val="0"/>
                <w:sz w:val="24"/>
                <w:szCs w:val="24"/>
                <w14:ligatures w14:val="none"/>
              </w:rPr>
              <w:t>Subgroup analyses by baseline age</w:t>
            </w:r>
            <w:r w:rsidR="0020638B" w:rsidRPr="00734B40">
              <w:rPr>
                <w:rFonts w:ascii="Times New Roman" w:eastAsia="Times New Roman" w:hAnsi="Times New Roman" w:cs="Times New Roman"/>
                <w:color w:val="000000"/>
                <w:kern w:val="0"/>
                <w:sz w:val="24"/>
                <w:szCs w:val="24"/>
                <w14:ligatures w14:val="none"/>
              </w:rPr>
              <w:t xml:space="preserve">, </w:t>
            </w:r>
            <w:r w:rsidRPr="00734B40">
              <w:rPr>
                <w:rFonts w:ascii="Times New Roman" w:eastAsia="Times New Roman" w:hAnsi="Times New Roman" w:cs="Times New Roman"/>
                <w:color w:val="000000"/>
                <w:kern w:val="0"/>
                <w:sz w:val="24"/>
                <w:szCs w:val="24"/>
                <w14:ligatures w14:val="none"/>
              </w:rPr>
              <w:t>race</w:t>
            </w:r>
            <w:r w:rsidR="0020638B" w:rsidRPr="00734B40">
              <w:rPr>
                <w:rFonts w:ascii="Times New Roman" w:eastAsia="Times New Roman" w:hAnsi="Times New Roman" w:cs="Times New Roman"/>
                <w:color w:val="000000"/>
                <w:kern w:val="0"/>
                <w:sz w:val="24"/>
                <w:szCs w:val="24"/>
                <w14:ligatures w14:val="none"/>
              </w:rPr>
              <w:t xml:space="preserve">, </w:t>
            </w:r>
            <w:r w:rsidR="00684995" w:rsidRPr="00734B40">
              <w:rPr>
                <w:rFonts w:ascii="Times New Roman" w:eastAsia="Times New Roman" w:hAnsi="Times New Roman" w:cs="Times New Roman"/>
                <w:color w:val="000000"/>
                <w:kern w:val="0"/>
                <w:sz w:val="24"/>
                <w:szCs w:val="24"/>
                <w14:ligatures w14:val="none"/>
              </w:rPr>
              <w:t>and underlying risk conditions</w:t>
            </w:r>
            <w:r w:rsidRPr="00734B40">
              <w:rPr>
                <w:rFonts w:ascii="Times New Roman" w:eastAsia="Times New Roman" w:hAnsi="Times New Roman" w:cs="Times New Roman"/>
                <w:color w:val="000000"/>
                <w:kern w:val="0"/>
                <w:sz w:val="24"/>
                <w:szCs w:val="24"/>
                <w14:ligatures w14:val="none"/>
              </w:rPr>
              <w:t>.</w:t>
            </w:r>
          </w:p>
        </w:tc>
        <w:tc>
          <w:tcPr>
            <w:tcW w:w="3958" w:type="dxa"/>
            <w:tcBorders>
              <w:top w:val="single" w:sz="4" w:space="0" w:color="auto"/>
              <w:left w:val="single" w:sz="4" w:space="0" w:color="auto"/>
              <w:bottom w:val="single" w:sz="4" w:space="0" w:color="auto"/>
              <w:right w:val="single" w:sz="4" w:space="0" w:color="auto"/>
            </w:tcBorders>
            <w:shd w:val="clear" w:color="auto" w:fill="auto"/>
            <w:noWrap/>
            <w:hideMark/>
          </w:tcPr>
          <w:p w14:paraId="5E34FCDA" w14:textId="06147C46" w:rsidR="00E57D79" w:rsidRPr="00E57D79" w:rsidRDefault="00E57D79" w:rsidP="00E57D79">
            <w:p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Same intention-to-treat analyses with:</w:t>
            </w:r>
          </w:p>
          <w:p w14:paraId="7D1C7795" w14:textId="5B44170C" w:rsidR="00CB3457" w:rsidRDefault="002F2A69" w:rsidP="002F2A69">
            <w:pPr>
              <w:pStyle w:val="ListParagraph"/>
              <w:numPr>
                <w:ilvl w:val="0"/>
                <w:numId w:val="4"/>
              </w:num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Adjusted c</w:t>
            </w:r>
            <w:r w:rsidRPr="00734B40">
              <w:rPr>
                <w:rFonts w:ascii="Times New Roman" w:eastAsia="Times New Roman" w:hAnsi="Times New Roman" w:cs="Times New Roman"/>
                <w:color w:val="000000"/>
                <w:kern w:val="0"/>
                <w:sz w:val="24"/>
                <w:szCs w:val="24"/>
                <w14:ligatures w14:val="none"/>
              </w:rPr>
              <w:t xml:space="preserve">umulative incidence (risk) curves and estimates of risk, risk differences, risk ratios, and </w:t>
            </w:r>
            <w:r>
              <w:rPr>
                <w:rFonts w:ascii="Times New Roman" w:eastAsia="Times New Roman" w:hAnsi="Times New Roman" w:cs="Times New Roman"/>
                <w:color w:val="000000"/>
                <w:kern w:val="0"/>
                <w:sz w:val="24"/>
                <w:szCs w:val="24"/>
                <w14:ligatures w14:val="none"/>
              </w:rPr>
              <w:t xml:space="preserve">adjusted </w:t>
            </w:r>
            <w:r w:rsidRPr="00734B40">
              <w:rPr>
                <w:rFonts w:ascii="Times New Roman" w:eastAsia="Times New Roman" w:hAnsi="Times New Roman" w:cs="Times New Roman"/>
                <w:color w:val="000000"/>
                <w:kern w:val="0"/>
                <w:sz w:val="24"/>
                <w:szCs w:val="24"/>
                <w14:ligatures w14:val="none"/>
              </w:rPr>
              <w:t xml:space="preserve">hazard ratios comparing treated versus non-treated groups at 180 days after the baseline.  </w:t>
            </w:r>
            <w:r>
              <w:rPr>
                <w:rFonts w:ascii="Times New Roman" w:eastAsia="Times New Roman" w:hAnsi="Times New Roman" w:cs="Times New Roman"/>
                <w:color w:val="000000"/>
                <w:kern w:val="0"/>
                <w:sz w:val="24"/>
                <w:szCs w:val="24"/>
                <w14:ligatures w14:val="none"/>
              </w:rPr>
              <w:t xml:space="preserve">Baseline covariates </w:t>
            </w:r>
            <w:r w:rsidR="0099168A">
              <w:rPr>
                <w:rFonts w:ascii="Times New Roman" w:eastAsia="Times New Roman" w:hAnsi="Times New Roman" w:cs="Times New Roman"/>
                <w:color w:val="000000"/>
                <w:kern w:val="0"/>
                <w:sz w:val="24"/>
                <w:szCs w:val="24"/>
                <w14:ligatures w14:val="none"/>
              </w:rPr>
              <w:t>and stabilized inverse probability of treatment weights were used for the adjusted analyses</w:t>
            </w:r>
            <w:r w:rsidR="001B08E8">
              <w:rPr>
                <w:rFonts w:ascii="Times New Roman" w:eastAsia="Times New Roman" w:hAnsi="Times New Roman" w:cs="Times New Roman"/>
                <w:color w:val="000000"/>
                <w:kern w:val="0"/>
                <w:sz w:val="24"/>
                <w:szCs w:val="24"/>
                <w14:ligatures w14:val="none"/>
              </w:rPr>
              <w:t xml:space="preserve">. The cumulative incidence functions were estimated by </w:t>
            </w:r>
            <w:r w:rsidR="001B08E8" w:rsidRPr="001B08E8">
              <w:rPr>
                <w:rFonts w:ascii="Times New Roman" w:eastAsia="Times New Roman" w:hAnsi="Times New Roman" w:cs="Times New Roman"/>
                <w:color w:val="000000"/>
                <w:kern w:val="0"/>
                <w:sz w:val="24"/>
                <w:szCs w:val="24"/>
                <w14:ligatures w14:val="none"/>
              </w:rPr>
              <w:t xml:space="preserve">the Aalen-Johansen </w:t>
            </w:r>
            <w:r w:rsidR="001B08E8">
              <w:rPr>
                <w:rFonts w:ascii="Times New Roman" w:eastAsia="Times New Roman" w:hAnsi="Times New Roman" w:cs="Times New Roman"/>
                <w:color w:val="000000"/>
                <w:kern w:val="0"/>
                <w:sz w:val="24"/>
                <w:szCs w:val="24"/>
                <w14:ligatures w14:val="none"/>
              </w:rPr>
              <w:t xml:space="preserve">method, </w:t>
            </w:r>
            <w:r w:rsidR="001B08E8">
              <w:rPr>
                <w:rFonts w:ascii="Times New Roman" w:eastAsia="Times New Roman" w:hAnsi="Times New Roman" w:cs="Times New Roman"/>
                <w:color w:val="000000"/>
                <w:kern w:val="0"/>
                <w:sz w:val="24"/>
                <w:szCs w:val="24"/>
                <w14:ligatures w14:val="none"/>
              </w:rPr>
              <w:lastRenderedPageBreak/>
              <w:t xml:space="preserve">and the hazard ratios were estimated by </w:t>
            </w:r>
            <w:r w:rsidR="00376DBF">
              <w:rPr>
                <w:rFonts w:ascii="Times New Roman" w:eastAsia="Times New Roman" w:hAnsi="Times New Roman" w:cs="Times New Roman"/>
                <w:color w:val="000000"/>
                <w:kern w:val="0"/>
                <w:sz w:val="24"/>
                <w:szCs w:val="24"/>
                <w14:ligatures w14:val="none"/>
              </w:rPr>
              <w:t xml:space="preserve">the </w:t>
            </w:r>
            <w:r w:rsidR="001B08E8" w:rsidRPr="001B08E8">
              <w:rPr>
                <w:rFonts w:ascii="Times New Roman" w:eastAsia="Times New Roman" w:hAnsi="Times New Roman" w:cs="Times New Roman"/>
                <w:color w:val="000000"/>
                <w:kern w:val="0"/>
                <w:sz w:val="24"/>
                <w:szCs w:val="24"/>
                <w14:ligatures w14:val="none"/>
              </w:rPr>
              <w:t>Cox proportional hazard model</w:t>
            </w:r>
            <w:r w:rsidR="001B08E8">
              <w:rPr>
                <w:rFonts w:ascii="Times New Roman" w:eastAsia="Times New Roman" w:hAnsi="Times New Roman" w:cs="Times New Roman"/>
                <w:color w:val="000000"/>
                <w:kern w:val="0"/>
                <w:sz w:val="24"/>
                <w:szCs w:val="24"/>
                <w14:ligatures w14:val="none"/>
              </w:rPr>
              <w:t>.</w:t>
            </w:r>
            <w:r w:rsidR="00E20FE0">
              <w:rPr>
                <w:rFonts w:ascii="Times New Roman" w:eastAsia="Times New Roman" w:hAnsi="Times New Roman" w:cs="Times New Roman"/>
                <w:color w:val="000000"/>
                <w:kern w:val="0"/>
                <w:sz w:val="24"/>
                <w:szCs w:val="24"/>
                <w14:ligatures w14:val="none"/>
              </w:rPr>
              <w:t xml:space="preserve"> </w:t>
            </w:r>
            <w:r w:rsidR="00E20FE0" w:rsidRPr="00E20FE0">
              <w:rPr>
                <w:rFonts w:ascii="Times New Roman" w:eastAsia="Times New Roman" w:hAnsi="Times New Roman" w:cs="Times New Roman"/>
                <w:color w:val="000000"/>
                <w:kern w:val="0"/>
                <w:sz w:val="24"/>
                <w:szCs w:val="24"/>
                <w14:ligatures w14:val="none"/>
              </w:rPr>
              <w:t xml:space="preserve">The death event, both in acute and post-acute phases, was </w:t>
            </w:r>
            <w:r w:rsidR="00E20FE0">
              <w:rPr>
                <w:rFonts w:ascii="Times New Roman" w:eastAsia="Times New Roman" w:hAnsi="Times New Roman" w:cs="Times New Roman"/>
                <w:color w:val="000000"/>
                <w:kern w:val="0"/>
                <w:sz w:val="24"/>
                <w:szCs w:val="24"/>
                <w14:ligatures w14:val="none"/>
              </w:rPr>
              <w:t>modeled</w:t>
            </w:r>
            <w:r w:rsidR="00E20FE0" w:rsidRPr="00E20FE0">
              <w:rPr>
                <w:rFonts w:ascii="Times New Roman" w:eastAsia="Times New Roman" w:hAnsi="Times New Roman" w:cs="Times New Roman"/>
                <w:color w:val="000000"/>
                <w:kern w:val="0"/>
                <w:sz w:val="24"/>
                <w:szCs w:val="24"/>
                <w14:ligatures w14:val="none"/>
              </w:rPr>
              <w:t xml:space="preserve"> as a competing event that precludes other outcomes of interest from occurring.</w:t>
            </w:r>
          </w:p>
          <w:p w14:paraId="23DD9049" w14:textId="77777777" w:rsidR="005F3B00" w:rsidRDefault="002F2A69" w:rsidP="002F2A69">
            <w:pPr>
              <w:pStyle w:val="ListParagraph"/>
              <w:numPr>
                <w:ilvl w:val="0"/>
                <w:numId w:val="4"/>
              </w:numPr>
              <w:spacing w:after="0" w:line="240" w:lineRule="auto"/>
              <w:rPr>
                <w:rFonts w:ascii="Times New Roman" w:eastAsia="Times New Roman" w:hAnsi="Times New Roman" w:cs="Times New Roman"/>
                <w:color w:val="000000"/>
                <w:kern w:val="0"/>
                <w:sz w:val="24"/>
                <w:szCs w:val="24"/>
                <w14:ligatures w14:val="none"/>
              </w:rPr>
            </w:pPr>
            <w:r w:rsidRPr="00CB3457">
              <w:rPr>
                <w:rFonts w:ascii="Times New Roman" w:eastAsia="Times New Roman" w:hAnsi="Times New Roman" w:cs="Times New Roman"/>
                <w:color w:val="000000"/>
                <w:kern w:val="0"/>
                <w:sz w:val="24"/>
                <w:szCs w:val="24"/>
                <w14:ligatures w14:val="none"/>
              </w:rPr>
              <w:t>Subgroup analyses by baseline age, race, and underlying risk conditions.</w:t>
            </w:r>
          </w:p>
          <w:p w14:paraId="6D917B89" w14:textId="2F13477E" w:rsidR="008B21AE" w:rsidRDefault="008B21AE" w:rsidP="002F2A69">
            <w:pPr>
              <w:pStyle w:val="ListParagraph"/>
              <w:numPr>
                <w:ilvl w:val="0"/>
                <w:numId w:val="4"/>
              </w:num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Sensitivity analyses by using different PASC/Long COVID </w:t>
            </w:r>
            <w:r w:rsidR="0007176C">
              <w:rPr>
                <w:rFonts w:ascii="Times New Roman" w:eastAsia="Times New Roman" w:hAnsi="Times New Roman" w:cs="Times New Roman"/>
                <w:color w:val="000000"/>
                <w:kern w:val="0"/>
                <w:sz w:val="24"/>
                <w:szCs w:val="24"/>
                <w14:ligatures w14:val="none"/>
              </w:rPr>
              <w:t>definitions</w:t>
            </w:r>
            <w:r w:rsidR="00630DC5">
              <w:rPr>
                <w:rFonts w:ascii="Times New Roman" w:eastAsia="Times New Roman" w:hAnsi="Times New Roman" w:cs="Times New Roman"/>
                <w:color w:val="000000"/>
                <w:kern w:val="0"/>
                <w:sz w:val="24"/>
                <w:szCs w:val="24"/>
                <w14:ligatures w14:val="none"/>
              </w:rPr>
              <w:t xml:space="preserve"> (fatigue cognitive and respiratory symptom clusters)</w:t>
            </w:r>
            <w:r>
              <w:rPr>
                <w:rFonts w:ascii="Times New Roman" w:eastAsia="Times New Roman" w:hAnsi="Times New Roman" w:cs="Times New Roman"/>
                <w:color w:val="000000"/>
                <w:kern w:val="0"/>
                <w:sz w:val="24"/>
                <w:szCs w:val="24"/>
                <w14:ligatures w14:val="none"/>
              </w:rPr>
              <w:t xml:space="preserve">, </w:t>
            </w:r>
            <w:r w:rsidR="00675110">
              <w:rPr>
                <w:rFonts w:ascii="Times New Roman" w:eastAsia="Times New Roman" w:hAnsi="Times New Roman" w:cs="Times New Roman"/>
                <w:color w:val="000000"/>
                <w:kern w:val="0"/>
                <w:sz w:val="24"/>
                <w:szCs w:val="24"/>
                <w14:ligatures w14:val="none"/>
              </w:rPr>
              <w:t>US Veterans study</w:t>
            </w:r>
            <w:r>
              <w:rPr>
                <w:rFonts w:ascii="Times New Roman" w:eastAsia="Times New Roman" w:hAnsi="Times New Roman" w:cs="Times New Roman"/>
                <w:color w:val="000000"/>
                <w:kern w:val="0"/>
                <w:sz w:val="24"/>
                <w:szCs w:val="24"/>
                <w14:ligatures w14:val="none"/>
              </w:rPr>
              <w:t>-like cohort</w:t>
            </w:r>
            <w:r w:rsidR="00630DC5">
              <w:rPr>
                <w:rFonts w:ascii="Times New Roman" w:eastAsia="Times New Roman" w:hAnsi="Times New Roman" w:cs="Times New Roman"/>
                <w:color w:val="000000"/>
                <w:kern w:val="0"/>
                <w:sz w:val="24"/>
                <w:szCs w:val="24"/>
                <w14:ligatures w14:val="none"/>
              </w:rPr>
              <w:t xml:space="preserve"> (</w:t>
            </w:r>
            <w:r w:rsidR="00630DC5" w:rsidRPr="00630DC5">
              <w:rPr>
                <w:rFonts w:ascii="Times New Roman" w:eastAsia="Times New Roman" w:hAnsi="Times New Roman" w:cs="Times New Roman" w:hint="eastAsia"/>
                <w:color w:val="000000"/>
                <w:kern w:val="0"/>
                <w:sz w:val="24"/>
                <w:szCs w:val="24"/>
                <w14:ligatures w14:val="none"/>
              </w:rPr>
              <w:t>87.8% male patients aged ≥60 years old or having any risk factors</w:t>
            </w:r>
            <w:r w:rsidR="00630DC5">
              <w:rPr>
                <w:rFonts w:ascii="Times New Roman" w:eastAsia="Times New Roman" w:hAnsi="Times New Roman" w:cs="Times New Roman"/>
                <w:color w:val="000000"/>
                <w:kern w:val="0"/>
                <w:sz w:val="24"/>
                <w:szCs w:val="24"/>
                <w14:ligatures w14:val="none"/>
              </w:rPr>
              <w:t>)</w:t>
            </w:r>
            <w:r w:rsidR="00871AEB">
              <w:rPr>
                <w:rFonts w:ascii="Times New Roman" w:eastAsia="Times New Roman" w:hAnsi="Times New Roman" w:cs="Times New Roman"/>
                <w:color w:val="000000"/>
                <w:kern w:val="0"/>
                <w:sz w:val="24"/>
                <w:szCs w:val="24"/>
                <w14:ligatures w14:val="none"/>
              </w:rPr>
              <w:t xml:space="preserve">, and </w:t>
            </w:r>
            <w:r w:rsidR="00E672FD">
              <w:rPr>
                <w:rFonts w:ascii="Times New Roman" w:eastAsia="Times New Roman" w:hAnsi="Times New Roman" w:cs="Times New Roman"/>
                <w:color w:val="000000"/>
                <w:kern w:val="0"/>
                <w:sz w:val="24"/>
                <w:szCs w:val="24"/>
                <w14:ligatures w14:val="none"/>
              </w:rPr>
              <w:t xml:space="preserve">potential </w:t>
            </w:r>
            <w:r w:rsidR="00871AEB">
              <w:rPr>
                <w:rFonts w:ascii="Times New Roman" w:eastAsia="Times New Roman" w:hAnsi="Times New Roman" w:cs="Times New Roman"/>
                <w:color w:val="000000"/>
                <w:kern w:val="0"/>
                <w:sz w:val="24"/>
                <w:szCs w:val="24"/>
                <w14:ligatures w14:val="none"/>
              </w:rPr>
              <w:t>different variants of concerns</w:t>
            </w:r>
            <w:r w:rsidR="00751316">
              <w:rPr>
                <w:rFonts w:ascii="Times New Roman" w:eastAsia="Times New Roman" w:hAnsi="Times New Roman" w:cs="Times New Roman"/>
                <w:color w:val="000000"/>
                <w:kern w:val="0"/>
                <w:sz w:val="24"/>
                <w:szCs w:val="24"/>
                <w14:ligatures w14:val="none"/>
              </w:rPr>
              <w:t xml:space="preserve"> (</w:t>
            </w:r>
            <w:r w:rsidR="00E672FD">
              <w:rPr>
                <w:rFonts w:ascii="Times New Roman" w:eastAsia="Times New Roman" w:hAnsi="Times New Roman" w:cs="Times New Roman"/>
                <w:color w:val="000000"/>
                <w:kern w:val="0"/>
                <w:sz w:val="24"/>
                <w:szCs w:val="24"/>
                <w14:ligatures w14:val="none"/>
              </w:rPr>
              <w:t xml:space="preserve">approximated by </w:t>
            </w:r>
            <w:r w:rsidR="00231ECB">
              <w:rPr>
                <w:rFonts w:ascii="Times New Roman" w:eastAsia="Times New Roman" w:hAnsi="Times New Roman" w:cs="Times New Roman"/>
                <w:color w:val="000000"/>
                <w:kern w:val="0"/>
                <w:sz w:val="24"/>
                <w:szCs w:val="24"/>
                <w14:ligatures w14:val="none"/>
              </w:rPr>
              <w:t xml:space="preserve">infection </w:t>
            </w:r>
            <w:r w:rsidR="00E672FD">
              <w:rPr>
                <w:rFonts w:ascii="Times New Roman" w:eastAsia="Times New Roman" w:hAnsi="Times New Roman" w:cs="Times New Roman"/>
                <w:color w:val="000000"/>
                <w:kern w:val="0"/>
                <w:sz w:val="24"/>
                <w:szCs w:val="24"/>
                <w14:ligatures w14:val="none"/>
              </w:rPr>
              <w:t>time before versus after October 1, 2022</w:t>
            </w:r>
            <w:r w:rsidR="002D16E3">
              <w:rPr>
                <w:rFonts w:ascii="Times New Roman" w:eastAsia="Times New Roman" w:hAnsi="Times New Roman" w:cs="Times New Roman"/>
                <w:color w:val="000000"/>
                <w:kern w:val="0"/>
                <w:sz w:val="24"/>
                <w:szCs w:val="24"/>
                <w14:ligatures w14:val="none"/>
              </w:rPr>
              <w:t>,</w:t>
            </w:r>
            <w:r w:rsidR="00B23FDE">
              <w:rPr>
                <w:rFonts w:ascii="Times New Roman" w:eastAsia="Times New Roman" w:hAnsi="Times New Roman" w:cs="Times New Roman"/>
                <w:color w:val="000000"/>
                <w:kern w:val="0"/>
                <w:sz w:val="24"/>
                <w:szCs w:val="24"/>
                <w14:ligatures w14:val="none"/>
              </w:rPr>
              <w:t xml:space="preserve"> in the study period</w:t>
            </w:r>
            <w:r w:rsidR="00751316">
              <w:rPr>
                <w:rFonts w:ascii="Times New Roman" w:eastAsia="Times New Roman" w:hAnsi="Times New Roman" w:cs="Times New Roman"/>
                <w:color w:val="000000"/>
                <w:kern w:val="0"/>
                <w:sz w:val="24"/>
                <w:szCs w:val="24"/>
                <w14:ligatures w14:val="none"/>
              </w:rPr>
              <w:t>)</w:t>
            </w:r>
          </w:p>
          <w:p w14:paraId="53FCBC5F" w14:textId="4B9FE681" w:rsidR="00220C7E" w:rsidRPr="00CB3457" w:rsidRDefault="00220C7E" w:rsidP="00A1281D">
            <w:pPr>
              <w:pStyle w:val="ListParagraph"/>
              <w:numPr>
                <w:ilvl w:val="0"/>
                <w:numId w:val="4"/>
              </w:numPr>
              <w:spacing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Negative outcome control analysis to test potential residual </w:t>
            </w:r>
            <w:proofErr w:type="spellStart"/>
            <w:r>
              <w:rPr>
                <w:rFonts w:ascii="Times New Roman" w:eastAsia="Times New Roman" w:hAnsi="Times New Roman" w:cs="Times New Roman"/>
                <w:color w:val="000000"/>
                <w:kern w:val="0"/>
                <w:sz w:val="24"/>
                <w:szCs w:val="24"/>
                <w14:ligatures w14:val="none"/>
              </w:rPr>
              <w:t>confoundings</w:t>
            </w:r>
            <w:proofErr w:type="spellEnd"/>
          </w:p>
        </w:tc>
      </w:tr>
    </w:tbl>
    <w:p w14:paraId="374729FB" w14:textId="3B391AA9" w:rsidR="009B764A" w:rsidRDefault="009B764A" w:rsidP="001F2332">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a. The hypothetical target trial </w:t>
      </w:r>
      <w:r w:rsidR="008C67CB">
        <w:rPr>
          <w:rFonts w:ascii="Times New Roman" w:hAnsi="Times New Roman" w:cs="Times New Roman"/>
          <w:sz w:val="24"/>
          <w:szCs w:val="24"/>
        </w:rPr>
        <w:t>tried to</w:t>
      </w:r>
      <w:r>
        <w:rPr>
          <w:rFonts w:ascii="Times New Roman" w:hAnsi="Times New Roman" w:cs="Times New Roman"/>
          <w:sz w:val="24"/>
          <w:szCs w:val="24"/>
        </w:rPr>
        <w:t xml:space="preserve"> mimic</w:t>
      </w:r>
      <w:r w:rsidR="008C67CB">
        <w:rPr>
          <w:rFonts w:ascii="Times New Roman" w:hAnsi="Times New Roman" w:cs="Times New Roman"/>
          <w:sz w:val="24"/>
          <w:szCs w:val="24"/>
        </w:rPr>
        <w:t xml:space="preserve"> the</w:t>
      </w:r>
      <w:r>
        <w:rPr>
          <w:rFonts w:ascii="Times New Roman" w:hAnsi="Times New Roman" w:cs="Times New Roman"/>
          <w:sz w:val="24"/>
          <w:szCs w:val="24"/>
        </w:rPr>
        <w:t xml:space="preserve"> trial </w:t>
      </w:r>
      <w:r w:rsidRPr="009B764A">
        <w:rPr>
          <w:rFonts w:ascii="Times New Roman" w:hAnsi="Times New Roman" w:cs="Times New Roman"/>
          <w:sz w:val="24"/>
          <w:szCs w:val="24"/>
        </w:rPr>
        <w:t xml:space="preserve">NCT04960202 </w:t>
      </w:r>
      <w:hyperlink r:id="rId15" w:history="1">
        <w:r w:rsidR="004C1303" w:rsidRPr="00A21367">
          <w:rPr>
            <w:rStyle w:val="Hyperlink"/>
            <w:rFonts w:ascii="Times New Roman" w:hAnsi="Times New Roman" w:cs="Times New Roman"/>
            <w:sz w:val="24"/>
            <w:szCs w:val="24"/>
          </w:rPr>
          <w:t>https://classic.clinicaltrials.gov/ct2/show/NCT04960202</w:t>
        </w:r>
      </w:hyperlink>
      <w:r w:rsidR="004C1303">
        <w:rPr>
          <w:rFonts w:ascii="Times New Roman" w:hAnsi="Times New Roman" w:cs="Times New Roman"/>
          <w:sz w:val="24"/>
          <w:szCs w:val="24"/>
        </w:rPr>
        <w:t xml:space="preserve"> </w:t>
      </w:r>
      <w:r>
        <w:rPr>
          <w:rFonts w:ascii="Times New Roman" w:hAnsi="Times New Roman" w:cs="Times New Roman"/>
          <w:sz w:val="24"/>
          <w:szCs w:val="24"/>
        </w:rPr>
        <w:t xml:space="preserve">with a focus on the Long COVID outcome. protocols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w:t>
      </w:r>
    </w:p>
    <w:p w14:paraId="57C473AF" w14:textId="0D0C989B" w:rsidR="006624B0" w:rsidRDefault="009B764A" w:rsidP="001F2332">
      <w:pPr>
        <w:spacing w:line="240" w:lineRule="auto"/>
        <w:rPr>
          <w:rFonts w:ascii="Times New Roman" w:hAnsi="Times New Roman" w:cs="Times New Roman"/>
          <w:sz w:val="24"/>
          <w:szCs w:val="24"/>
        </w:rPr>
      </w:pPr>
      <w:r>
        <w:rPr>
          <w:rFonts w:ascii="Times New Roman" w:hAnsi="Times New Roman" w:cs="Times New Roman"/>
          <w:sz w:val="24"/>
          <w:szCs w:val="24"/>
        </w:rPr>
        <w:t>b</w:t>
      </w:r>
      <w:r w:rsidR="00EE2C57">
        <w:rPr>
          <w:rFonts w:ascii="Times New Roman" w:hAnsi="Times New Roman" w:cs="Times New Roman"/>
          <w:sz w:val="24"/>
          <w:szCs w:val="24"/>
        </w:rPr>
        <w:t xml:space="preserve">. </w:t>
      </w:r>
      <w:r w:rsidR="00F03E9E" w:rsidRPr="00EE2C57">
        <w:rPr>
          <w:rFonts w:ascii="Times New Roman" w:hAnsi="Times New Roman" w:cs="Times New Roman"/>
          <w:sz w:val="24"/>
          <w:szCs w:val="24"/>
        </w:rPr>
        <w:t xml:space="preserve">See the full list of risk factors at </w:t>
      </w:r>
      <w:hyperlink r:id="rId16" w:history="1">
        <w:r w:rsidR="003D5A27" w:rsidRPr="00EE2C57">
          <w:rPr>
            <w:rStyle w:val="Hyperlink"/>
            <w:rFonts w:ascii="Times New Roman" w:hAnsi="Times New Roman" w:cs="Times New Roman"/>
            <w:sz w:val="24"/>
            <w:szCs w:val="24"/>
          </w:rPr>
          <w:t>https://www.cdc.gov/coronavirus/2019-ncov/need-extra-precautions/people-with-medical-conditions.html</w:t>
        </w:r>
      </w:hyperlink>
      <w:r w:rsidR="001B0191">
        <w:rPr>
          <w:rFonts w:ascii="Times New Roman" w:hAnsi="Times New Roman" w:cs="Times New Roman"/>
          <w:sz w:val="24"/>
          <w:szCs w:val="24"/>
        </w:rPr>
        <w:t xml:space="preserve"> and </w:t>
      </w:r>
      <w:hyperlink r:id="rId17" w:history="1">
        <w:r w:rsidR="000F41B7" w:rsidRPr="001F2D88">
          <w:rPr>
            <w:rStyle w:val="Hyperlink"/>
            <w:rFonts w:ascii="Times New Roman" w:hAnsi="Times New Roman" w:cs="Times New Roman"/>
            <w:sz w:val="24"/>
            <w:szCs w:val="24"/>
          </w:rPr>
          <w:t>https://www.paxlovidinformation.com/who-can-take</w:t>
        </w:r>
      </w:hyperlink>
      <w:r w:rsidR="000F41B7">
        <w:rPr>
          <w:rFonts w:ascii="Times New Roman" w:hAnsi="Times New Roman" w:cs="Times New Roman"/>
          <w:sz w:val="24"/>
          <w:szCs w:val="24"/>
        </w:rPr>
        <w:t xml:space="preserve"> </w:t>
      </w:r>
    </w:p>
    <w:p w14:paraId="284DAE2E" w14:textId="6DDB31A6" w:rsidR="003D5A27" w:rsidRDefault="009B764A" w:rsidP="001F2332">
      <w:pPr>
        <w:spacing w:line="240" w:lineRule="auto"/>
        <w:rPr>
          <w:rFonts w:ascii="Times New Roman" w:hAnsi="Times New Roman" w:cs="Times New Roman"/>
          <w:sz w:val="24"/>
          <w:szCs w:val="24"/>
        </w:rPr>
      </w:pPr>
      <w:r>
        <w:rPr>
          <w:rFonts w:ascii="Times New Roman" w:hAnsi="Times New Roman" w:cs="Times New Roman"/>
          <w:sz w:val="24"/>
          <w:szCs w:val="24"/>
        </w:rPr>
        <w:t>c</w:t>
      </w:r>
      <w:r w:rsidR="000F41B7">
        <w:rPr>
          <w:rFonts w:ascii="Times New Roman" w:hAnsi="Times New Roman" w:cs="Times New Roman"/>
          <w:sz w:val="24"/>
          <w:szCs w:val="24"/>
        </w:rPr>
        <w:t>.</w:t>
      </w:r>
      <w:r w:rsidR="009B34D4">
        <w:rPr>
          <w:rFonts w:ascii="Times New Roman" w:hAnsi="Times New Roman" w:cs="Times New Roman"/>
          <w:sz w:val="24"/>
          <w:szCs w:val="24"/>
        </w:rPr>
        <w:t xml:space="preserve"> See contraindicated drugs at </w:t>
      </w:r>
      <w:hyperlink r:id="rId18" w:history="1">
        <w:r w:rsidR="009B34D4" w:rsidRPr="001F2D88">
          <w:rPr>
            <w:rStyle w:val="Hyperlink"/>
            <w:rFonts w:ascii="Times New Roman" w:hAnsi="Times New Roman" w:cs="Times New Roman"/>
            <w:sz w:val="24"/>
            <w:szCs w:val="24"/>
          </w:rPr>
          <w:t>https://www.paxlovidinformation.com/who-can-take</w:t>
        </w:r>
      </w:hyperlink>
      <w:r w:rsidR="009B34D4">
        <w:rPr>
          <w:rFonts w:ascii="Times New Roman" w:hAnsi="Times New Roman" w:cs="Times New Roman"/>
          <w:sz w:val="24"/>
          <w:szCs w:val="24"/>
        </w:rPr>
        <w:t xml:space="preserve">. </w:t>
      </w:r>
    </w:p>
    <w:p w14:paraId="724BD71C" w14:textId="690E68E4" w:rsidR="00B9144C" w:rsidRDefault="00B9144C">
      <w:pPr>
        <w:rPr>
          <w:rFonts w:ascii="Times New Roman" w:hAnsi="Times New Roman" w:cs="Times New Roman"/>
          <w:sz w:val="24"/>
          <w:szCs w:val="24"/>
        </w:rPr>
      </w:pPr>
      <w:r>
        <w:rPr>
          <w:rFonts w:ascii="Times New Roman" w:hAnsi="Times New Roman" w:cs="Times New Roman"/>
          <w:sz w:val="24"/>
          <w:szCs w:val="24"/>
        </w:rPr>
        <w:br w:type="page"/>
      </w:r>
    </w:p>
    <w:p w14:paraId="7614DF04" w14:textId="754AB482" w:rsidR="00F00BFF" w:rsidRPr="005A1D2F" w:rsidRDefault="00F00BFF" w:rsidP="00F00BFF">
      <w:pPr>
        <w:pStyle w:val="Heading1"/>
        <w:spacing w:line="480" w:lineRule="auto"/>
        <w:rPr>
          <w:rFonts w:ascii="Times New Roman" w:hAnsi="Times New Roman" w:cs="Times New Roman"/>
          <w:b/>
          <w:bCs/>
          <w:color w:val="000000" w:themeColor="text1"/>
          <w:sz w:val="28"/>
          <w:szCs w:val="28"/>
        </w:rPr>
      </w:pPr>
      <w:r w:rsidRPr="005A1D2F">
        <w:rPr>
          <w:rFonts w:ascii="Times New Roman" w:hAnsi="Times New Roman" w:cs="Times New Roman"/>
          <w:b/>
          <w:bCs/>
          <w:color w:val="000000" w:themeColor="text1"/>
          <w:sz w:val="28"/>
          <w:szCs w:val="28"/>
        </w:rPr>
        <w:lastRenderedPageBreak/>
        <w:t>Table S</w:t>
      </w:r>
      <w:r>
        <w:rPr>
          <w:rFonts w:ascii="Times New Roman" w:hAnsi="Times New Roman" w:cs="Times New Roman"/>
          <w:b/>
          <w:bCs/>
          <w:color w:val="000000" w:themeColor="text1"/>
          <w:sz w:val="28"/>
          <w:szCs w:val="28"/>
        </w:rPr>
        <w:t>2</w:t>
      </w:r>
      <w:r w:rsidRPr="005A1D2F">
        <w:rPr>
          <w:rFonts w:ascii="Times New Roman" w:hAnsi="Times New Roman" w:cs="Times New Roman"/>
          <w:b/>
          <w:bCs/>
          <w:color w:val="000000" w:themeColor="text1"/>
          <w:sz w:val="28"/>
          <w:szCs w:val="28"/>
        </w:rPr>
        <w:t xml:space="preserve">. </w:t>
      </w:r>
      <w:r>
        <w:rPr>
          <w:rFonts w:ascii="Times New Roman" w:hAnsi="Times New Roman" w:cs="Times New Roman"/>
          <w:b/>
          <w:bCs/>
          <w:color w:val="000000" w:themeColor="text1"/>
          <w:sz w:val="28"/>
          <w:szCs w:val="28"/>
        </w:rPr>
        <w:t>Study</w:t>
      </w:r>
      <w:r w:rsidR="000D73F7">
        <w:rPr>
          <w:rFonts w:ascii="Times New Roman" w:hAnsi="Times New Roman" w:cs="Times New Roman"/>
          <w:b/>
          <w:bCs/>
          <w:color w:val="000000" w:themeColor="text1"/>
          <w:sz w:val="28"/>
          <w:szCs w:val="28"/>
        </w:rPr>
        <w:t xml:space="preserve"> covariates</w:t>
      </w:r>
    </w:p>
    <w:tbl>
      <w:tblPr>
        <w:tblW w:w="0" w:type="auto"/>
        <w:tblLayout w:type="fixed"/>
        <w:tblLook w:val="04A0" w:firstRow="1" w:lastRow="0" w:firstColumn="1" w:lastColumn="0" w:noHBand="0" w:noVBand="1"/>
      </w:tblPr>
      <w:tblGrid>
        <w:gridCol w:w="1435"/>
        <w:gridCol w:w="1440"/>
        <w:gridCol w:w="2520"/>
        <w:gridCol w:w="3955"/>
      </w:tblGrid>
      <w:tr w:rsidR="00B9144C" w:rsidRPr="00B9144C" w14:paraId="78389549" w14:textId="77777777" w:rsidTr="00245A75">
        <w:trPr>
          <w:trHeight w:val="300"/>
        </w:trPr>
        <w:tc>
          <w:tcPr>
            <w:tcW w:w="9350" w:type="dxa"/>
            <w:gridSpan w:val="4"/>
            <w:tcBorders>
              <w:top w:val="single" w:sz="4" w:space="0" w:color="auto"/>
              <w:left w:val="single" w:sz="4" w:space="0" w:color="auto"/>
              <w:bottom w:val="single" w:sz="4" w:space="0" w:color="auto"/>
              <w:right w:val="single" w:sz="4" w:space="0" w:color="000000"/>
            </w:tcBorders>
            <w:shd w:val="clear" w:color="auto" w:fill="auto"/>
            <w:hideMark/>
          </w:tcPr>
          <w:p w14:paraId="35617E57" w14:textId="1EA7E71A" w:rsidR="00B9144C" w:rsidRPr="00B9144C" w:rsidRDefault="009A64BF" w:rsidP="009A64BF">
            <w:pPr>
              <w:spacing w:line="240" w:lineRule="auto"/>
              <w:jc w:val="both"/>
              <w:rPr>
                <w:rFonts w:ascii="Times New Roman" w:eastAsia="Times New Roman" w:hAnsi="Times New Roman" w:cs="Times New Roman"/>
                <w:color w:val="000000"/>
                <w:kern w:val="0"/>
                <w:sz w:val="24"/>
                <w:szCs w:val="24"/>
                <w14:ligatures w14:val="none"/>
              </w:rPr>
            </w:pPr>
            <w:r w:rsidRPr="00B71511">
              <w:rPr>
                <w:rFonts w:ascii="Times New Roman" w:eastAsia="Times New Roman" w:hAnsi="Times New Roman" w:cs="Times New Roman"/>
                <w:b/>
                <w:bCs/>
                <w:color w:val="000000"/>
                <w:kern w:val="0"/>
                <w:sz w:val="24"/>
                <w:szCs w:val="24"/>
                <w14:ligatures w14:val="none"/>
              </w:rPr>
              <w:t xml:space="preserve">Table </w:t>
            </w:r>
            <w:r w:rsidRPr="000053F4">
              <w:rPr>
                <w:rFonts w:ascii="Times New Roman" w:eastAsia="Times New Roman" w:hAnsi="Times New Roman" w:cs="Times New Roman"/>
                <w:b/>
                <w:bCs/>
                <w:color w:val="000000"/>
                <w:kern w:val="0"/>
                <w:sz w:val="24"/>
                <w:szCs w:val="24"/>
                <w14:ligatures w14:val="none"/>
              </w:rPr>
              <w:t>S</w:t>
            </w:r>
            <w:r>
              <w:rPr>
                <w:rFonts w:ascii="Times New Roman" w:eastAsia="Times New Roman" w:hAnsi="Times New Roman" w:cs="Times New Roman"/>
                <w:b/>
                <w:bCs/>
                <w:color w:val="000000"/>
                <w:kern w:val="0"/>
                <w:sz w:val="24"/>
                <w:szCs w:val="24"/>
                <w14:ligatures w14:val="none"/>
              </w:rPr>
              <w:t>2</w:t>
            </w:r>
            <w:r w:rsidRPr="000053F4">
              <w:rPr>
                <w:rFonts w:ascii="Times New Roman" w:eastAsia="Times New Roman" w:hAnsi="Times New Roman" w:cs="Times New Roman"/>
                <w:b/>
                <w:bCs/>
                <w:color w:val="000000"/>
                <w:kern w:val="0"/>
                <w:sz w:val="24"/>
                <w:szCs w:val="24"/>
                <w14:ligatures w14:val="none"/>
              </w:rPr>
              <w:t>.</w:t>
            </w:r>
            <w:r w:rsidRPr="000053F4">
              <w:rPr>
                <w:rFonts w:ascii="Times New Roman" w:eastAsia="Times New Roman" w:hAnsi="Times New Roman" w:cs="Times New Roman"/>
                <w:color w:val="000000"/>
                <w:kern w:val="0"/>
                <w:sz w:val="24"/>
                <w:szCs w:val="24"/>
                <w14:ligatures w14:val="none"/>
              </w:rPr>
              <w:t xml:space="preserve"> </w:t>
            </w:r>
            <w:r w:rsidR="007C0022">
              <w:rPr>
                <w:rFonts w:ascii="Times New Roman" w:eastAsia="Times New Roman" w:hAnsi="Times New Roman" w:cs="Times New Roman"/>
                <w:color w:val="000000"/>
                <w:kern w:val="0"/>
                <w:sz w:val="24"/>
                <w:szCs w:val="24"/>
                <w14:ligatures w14:val="none"/>
              </w:rPr>
              <w:t>C</w:t>
            </w:r>
            <w:r w:rsidR="0001096B">
              <w:rPr>
                <w:rFonts w:ascii="Times New Roman" w:eastAsia="Times New Roman" w:hAnsi="Times New Roman" w:cs="Times New Roman"/>
                <w:color w:val="000000"/>
                <w:kern w:val="0"/>
                <w:sz w:val="24"/>
                <w:szCs w:val="24"/>
                <w14:ligatures w14:val="none"/>
              </w:rPr>
              <w:t>ovariates</w:t>
            </w:r>
            <w:r w:rsidRPr="000053F4">
              <w:rPr>
                <w:rFonts w:ascii="Times New Roman" w:eastAsia="Times New Roman" w:hAnsi="Times New Roman" w:cs="Times New Roman"/>
                <w:color w:val="000000"/>
                <w:kern w:val="0"/>
                <w:sz w:val="24"/>
                <w:szCs w:val="24"/>
                <w14:ligatures w14:val="none"/>
              </w:rPr>
              <w:t xml:space="preserve"> of </w:t>
            </w:r>
            <w:r w:rsidR="0001096B">
              <w:rPr>
                <w:rFonts w:ascii="Times New Roman" w:eastAsia="Times New Roman" w:hAnsi="Times New Roman" w:cs="Times New Roman"/>
                <w:color w:val="000000"/>
                <w:kern w:val="0"/>
                <w:sz w:val="24"/>
                <w:szCs w:val="24"/>
                <w14:ligatures w14:val="none"/>
              </w:rPr>
              <w:t xml:space="preserve">the </w:t>
            </w:r>
            <w:r w:rsidRPr="000053F4">
              <w:rPr>
                <w:rFonts w:ascii="Times New Roman" w:eastAsia="Times New Roman" w:hAnsi="Times New Roman" w:cs="Times New Roman"/>
                <w:color w:val="000000"/>
                <w:kern w:val="0"/>
                <w:sz w:val="24"/>
                <w:szCs w:val="24"/>
                <w14:ligatures w14:val="none"/>
              </w:rPr>
              <w:t>target trial emulation to evaluate the effectiveness of the acute prescription of Paxlovid on the PASC conditions</w:t>
            </w:r>
            <w:r w:rsidR="000B59E7">
              <w:rPr>
                <w:rFonts w:ascii="Times New Roman" w:eastAsia="Times New Roman" w:hAnsi="Times New Roman" w:cs="Times New Roman"/>
                <w:color w:val="000000"/>
                <w:kern w:val="0"/>
                <w:sz w:val="24"/>
                <w:szCs w:val="24"/>
                <w14:ligatures w14:val="none"/>
              </w:rPr>
              <w:t xml:space="preserve"> using observational data from </w:t>
            </w:r>
            <w:proofErr w:type="spellStart"/>
            <w:r w:rsidR="000B59E7">
              <w:rPr>
                <w:rFonts w:ascii="Times New Roman" w:eastAsia="Times New Roman" w:hAnsi="Times New Roman" w:cs="Times New Roman"/>
                <w:color w:val="000000"/>
                <w:kern w:val="0"/>
                <w:sz w:val="24"/>
                <w:szCs w:val="24"/>
                <w14:ligatures w14:val="none"/>
              </w:rPr>
              <w:t>PCORNet</w:t>
            </w:r>
            <w:proofErr w:type="spellEnd"/>
            <w:r w:rsidR="000B59E7">
              <w:rPr>
                <w:rFonts w:ascii="Times New Roman" w:eastAsia="Times New Roman" w:hAnsi="Times New Roman" w:cs="Times New Roman"/>
                <w:color w:val="000000"/>
                <w:kern w:val="0"/>
                <w:sz w:val="24"/>
                <w:szCs w:val="24"/>
                <w14:ligatures w14:val="none"/>
              </w:rPr>
              <w:t xml:space="preserve"> Recover Databases</w:t>
            </w:r>
            <w:r w:rsidRPr="000053F4">
              <w:rPr>
                <w:rFonts w:ascii="Times New Roman" w:eastAsia="Times New Roman" w:hAnsi="Times New Roman" w:cs="Times New Roman"/>
                <w:color w:val="000000"/>
                <w:kern w:val="0"/>
                <w:sz w:val="24"/>
                <w:szCs w:val="24"/>
                <w14:ligatures w14:val="none"/>
              </w:rPr>
              <w:t>, during the period from March 1, 2022, to February 1, 2023</w:t>
            </w:r>
            <w:r w:rsidR="00964691">
              <w:rPr>
                <w:rFonts w:ascii="Times New Roman" w:eastAsia="Times New Roman" w:hAnsi="Times New Roman" w:cs="Times New Roman"/>
                <w:color w:val="000000"/>
                <w:kern w:val="0"/>
                <w:sz w:val="24"/>
                <w:szCs w:val="24"/>
                <w14:ligatures w14:val="none"/>
              </w:rPr>
              <w:t xml:space="preserve">, </w:t>
            </w:r>
          </w:p>
        </w:tc>
      </w:tr>
      <w:tr w:rsidR="00245A75" w:rsidRPr="00B9144C" w14:paraId="53948DFD" w14:textId="77777777" w:rsidTr="004A1220">
        <w:trPr>
          <w:trHeight w:val="300"/>
        </w:trPr>
        <w:tc>
          <w:tcPr>
            <w:tcW w:w="1435" w:type="dxa"/>
            <w:tcBorders>
              <w:top w:val="single" w:sz="4" w:space="0" w:color="000000"/>
              <w:left w:val="single" w:sz="4" w:space="0" w:color="000000"/>
              <w:bottom w:val="single" w:sz="8" w:space="0" w:color="000000"/>
              <w:right w:val="single" w:sz="4" w:space="0" w:color="000000"/>
            </w:tcBorders>
            <w:shd w:val="clear" w:color="auto" w:fill="auto"/>
            <w:noWrap/>
            <w:hideMark/>
          </w:tcPr>
          <w:p w14:paraId="2DC40EE0" w14:textId="05AE1468" w:rsidR="00B9144C" w:rsidRPr="00B9144C" w:rsidRDefault="008B51F8" w:rsidP="00BD4C7F">
            <w:pPr>
              <w:spacing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Variable</w:t>
            </w:r>
          </w:p>
        </w:tc>
        <w:tc>
          <w:tcPr>
            <w:tcW w:w="1440" w:type="dxa"/>
            <w:tcBorders>
              <w:top w:val="single" w:sz="4" w:space="0" w:color="000000"/>
              <w:left w:val="single" w:sz="4" w:space="0" w:color="000000"/>
              <w:bottom w:val="single" w:sz="8" w:space="0" w:color="000000"/>
              <w:right w:val="single" w:sz="4" w:space="0" w:color="000000"/>
            </w:tcBorders>
            <w:shd w:val="clear" w:color="auto" w:fill="auto"/>
            <w:noWrap/>
            <w:hideMark/>
          </w:tcPr>
          <w:p w14:paraId="557B7CDE" w14:textId="5480ECB2" w:rsidR="00B9144C" w:rsidRPr="00B9144C" w:rsidRDefault="00823F63" w:rsidP="00BD4C7F">
            <w:pPr>
              <w:spacing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Functional form</w:t>
            </w:r>
          </w:p>
        </w:tc>
        <w:tc>
          <w:tcPr>
            <w:tcW w:w="2520" w:type="dxa"/>
            <w:tcBorders>
              <w:top w:val="single" w:sz="4" w:space="0" w:color="000000"/>
              <w:left w:val="single" w:sz="4" w:space="0" w:color="000000"/>
              <w:bottom w:val="single" w:sz="8" w:space="0" w:color="000000"/>
              <w:right w:val="single" w:sz="4" w:space="0" w:color="000000"/>
            </w:tcBorders>
            <w:shd w:val="clear" w:color="auto" w:fill="auto"/>
            <w:noWrap/>
            <w:hideMark/>
          </w:tcPr>
          <w:p w14:paraId="7D723426" w14:textId="7B9BABE3" w:rsidR="00B9144C" w:rsidRPr="00B9144C" w:rsidRDefault="0033232C" w:rsidP="00BD4C7F">
            <w:pPr>
              <w:spacing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Values</w:t>
            </w:r>
          </w:p>
        </w:tc>
        <w:tc>
          <w:tcPr>
            <w:tcW w:w="3955" w:type="dxa"/>
            <w:tcBorders>
              <w:top w:val="single" w:sz="4" w:space="0" w:color="000000"/>
              <w:left w:val="single" w:sz="4" w:space="0" w:color="000000"/>
              <w:bottom w:val="single" w:sz="8" w:space="0" w:color="000000"/>
              <w:right w:val="single" w:sz="4" w:space="0" w:color="000000"/>
            </w:tcBorders>
            <w:shd w:val="clear" w:color="auto" w:fill="auto"/>
            <w:noWrap/>
            <w:hideMark/>
          </w:tcPr>
          <w:p w14:paraId="21479E67" w14:textId="1D342349" w:rsidR="00B9144C" w:rsidRPr="00B9144C" w:rsidRDefault="0033232C" w:rsidP="00BD4C7F">
            <w:pPr>
              <w:spacing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Details</w:t>
            </w:r>
          </w:p>
        </w:tc>
      </w:tr>
      <w:tr w:rsidR="00245A75" w:rsidRPr="00B9144C" w14:paraId="3E36A2B9"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5180213" w14:textId="5FA72D49" w:rsidR="00B9144C" w:rsidRPr="00B9144C" w:rsidRDefault="00E05540" w:rsidP="00276093">
            <w:pPr>
              <w:spacing w:after="0" w:line="240" w:lineRule="auto"/>
              <w:rPr>
                <w:rFonts w:ascii="Times New Roman" w:eastAsia="Times New Roman" w:hAnsi="Times New Roman" w:cs="Times New Roman"/>
                <w:color w:val="000000"/>
                <w:kern w:val="0"/>
                <w:sz w:val="24"/>
                <w:szCs w:val="24"/>
                <w14:ligatures w14:val="none"/>
              </w:rPr>
            </w:pPr>
            <w:r w:rsidRPr="000F63C3">
              <w:rPr>
                <w:rFonts w:ascii="Times New Roman" w:eastAsia="Times New Roman" w:hAnsi="Times New Roman" w:cs="Times New Roman"/>
                <w:color w:val="000000"/>
                <w:kern w:val="0"/>
                <w:sz w:val="24"/>
                <w:szCs w:val="24"/>
                <w14:ligatures w14:val="none"/>
              </w:rPr>
              <w:t>Sex</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5143A3E" w14:textId="7F3A0598" w:rsidR="00B9144C" w:rsidRPr="00B9144C" w:rsidRDefault="004A1220" w:rsidP="00276093">
            <w:pPr>
              <w:spacing w:after="0" w:line="240" w:lineRule="auto"/>
              <w:rPr>
                <w:rFonts w:ascii="Times New Roman" w:eastAsia="Times New Roman" w:hAnsi="Times New Roman" w:cs="Times New Roman"/>
                <w:kern w:val="0"/>
                <w:sz w:val="24"/>
                <w:szCs w:val="24"/>
                <w14:ligatures w14:val="none"/>
              </w:rPr>
            </w:pPr>
            <w:r w:rsidRPr="000F63C3">
              <w:rPr>
                <w:rFonts w:ascii="Times New Roman" w:eastAsia="Times New Roman" w:hAnsi="Times New Roman" w:cs="Times New Roman"/>
                <w:kern w:val="0"/>
                <w:sz w:val="24"/>
                <w:szCs w:val="24"/>
                <w14:ligatures w14:val="none"/>
              </w:rPr>
              <w:t>Categories</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740B1DDC" w14:textId="3E91C9A0" w:rsidR="00B9144C" w:rsidRPr="00B9144C" w:rsidRDefault="00245A75" w:rsidP="00276093">
            <w:pPr>
              <w:spacing w:after="0" w:line="240" w:lineRule="auto"/>
              <w:rPr>
                <w:rFonts w:ascii="Times New Roman" w:eastAsia="Times New Roman" w:hAnsi="Times New Roman" w:cs="Times New Roman"/>
                <w:kern w:val="0"/>
                <w14:ligatures w14:val="none"/>
              </w:rPr>
            </w:pPr>
            <w:r w:rsidRPr="000F63C3">
              <w:rPr>
                <w:rFonts w:ascii="Times New Roman" w:eastAsia="Times New Roman" w:hAnsi="Times New Roman" w:cs="Times New Roman"/>
                <w:kern w:val="0"/>
                <w14:ligatures w14:val="none"/>
              </w:rPr>
              <w:t>Male/Female/Other or missing</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698569BF" w14:textId="72961A0A" w:rsidR="00B9144C" w:rsidRPr="00B9144C" w:rsidRDefault="00CD164C" w:rsidP="00276093">
            <w:pPr>
              <w:spacing w:after="0" w:line="240" w:lineRule="auto"/>
              <w:rPr>
                <w:rFonts w:ascii="Times New Roman" w:eastAsia="Times New Roman" w:hAnsi="Times New Roman" w:cs="Times New Roman"/>
                <w:kern w:val="0"/>
                <w14:ligatures w14:val="none"/>
              </w:rPr>
            </w:pPr>
            <w:r w:rsidRPr="000F63C3">
              <w:rPr>
                <w:rFonts w:ascii="Times New Roman" w:eastAsia="Times New Roman" w:hAnsi="Times New Roman" w:cs="Times New Roman"/>
                <w:kern w:val="0"/>
                <w14:ligatures w14:val="none"/>
              </w:rPr>
              <w:t xml:space="preserve">Based on records in the </w:t>
            </w:r>
            <w:r w:rsidR="002360E5" w:rsidRPr="000F63C3">
              <w:rPr>
                <w:rFonts w:ascii="Times New Roman" w:eastAsia="Times New Roman" w:hAnsi="Times New Roman" w:cs="Times New Roman"/>
                <w:kern w:val="0"/>
                <w14:ligatures w14:val="none"/>
              </w:rPr>
              <w:t>Demographic Domain</w:t>
            </w:r>
          </w:p>
        </w:tc>
      </w:tr>
      <w:tr w:rsidR="00245A75" w:rsidRPr="00B9144C" w14:paraId="4F82B716"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510D60FB" w14:textId="1D0D6CCB" w:rsidR="00B9144C" w:rsidRPr="00B9144C" w:rsidRDefault="00210E76" w:rsidP="00276093">
            <w:pPr>
              <w:spacing w:after="0" w:line="240" w:lineRule="auto"/>
              <w:rPr>
                <w:rFonts w:ascii="Times New Roman" w:eastAsia="Times New Roman" w:hAnsi="Times New Roman" w:cs="Times New Roman"/>
                <w:kern w:val="0"/>
                <w:sz w:val="24"/>
                <w:szCs w:val="24"/>
                <w14:ligatures w14:val="none"/>
              </w:rPr>
            </w:pPr>
            <w:r w:rsidRPr="000F63C3">
              <w:rPr>
                <w:rFonts w:ascii="Times New Roman" w:eastAsia="Times New Roman" w:hAnsi="Times New Roman" w:cs="Times New Roman"/>
                <w:kern w:val="0"/>
                <w:sz w:val="24"/>
                <w:szCs w:val="24"/>
                <w14:ligatures w14:val="none"/>
              </w:rPr>
              <w:t>Age</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94E6BDB" w14:textId="2EF0881A" w:rsidR="00B9144C" w:rsidRPr="00B9144C" w:rsidRDefault="00262BFB" w:rsidP="00276093">
            <w:pPr>
              <w:spacing w:after="0" w:line="240" w:lineRule="auto"/>
              <w:rPr>
                <w:rFonts w:ascii="Times New Roman" w:eastAsia="Times New Roman" w:hAnsi="Times New Roman" w:cs="Times New Roman"/>
                <w:kern w:val="0"/>
                <w:sz w:val="24"/>
                <w:szCs w:val="24"/>
                <w14:ligatures w14:val="none"/>
              </w:rPr>
            </w:pPr>
            <w:r w:rsidRPr="000F63C3">
              <w:rPr>
                <w:rFonts w:ascii="Times New Roman" w:eastAsia="Times New Roman" w:hAnsi="Times New Roman" w:cs="Times New Roman"/>
                <w:kern w:val="0"/>
                <w:sz w:val="24"/>
                <w:szCs w:val="24"/>
                <w14:ligatures w14:val="none"/>
              </w:rPr>
              <w:t>Categories</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40B96426" w14:textId="4BED9596" w:rsidR="001D5AF9" w:rsidRPr="001D5AF9" w:rsidRDefault="001D5AF9" w:rsidP="001D5AF9">
            <w:pPr>
              <w:rPr>
                <w:rFonts w:ascii="Times New Roman" w:eastAsia="Times New Roman" w:hAnsi="Times New Roman" w:cs="Times New Roman"/>
                <w:kern w:val="0"/>
                <w14:ligatures w14:val="none"/>
              </w:rPr>
            </w:pPr>
            <w:r w:rsidRPr="001D5AF9">
              <w:rPr>
                <w:rFonts w:ascii="Times New Roman" w:eastAsia="Times New Roman" w:hAnsi="Times New Roman" w:cs="Times New Roman"/>
                <w:kern w:val="0"/>
                <w14:ligatures w14:val="none"/>
              </w:rPr>
              <w:t>18-24</w:t>
            </w:r>
            <w:r w:rsidRPr="000F63C3">
              <w:rPr>
                <w:rFonts w:ascii="Times New Roman" w:eastAsia="Times New Roman" w:hAnsi="Times New Roman" w:cs="Times New Roman"/>
                <w:kern w:val="0"/>
                <w14:ligatures w14:val="none"/>
              </w:rPr>
              <w:t xml:space="preserve">, 25-34, 35-49, 50-64, 65-74, 75-84, ≥85 </w:t>
            </w:r>
            <w:proofErr w:type="gramStart"/>
            <w:r w:rsidRPr="000F63C3">
              <w:rPr>
                <w:rFonts w:ascii="Times New Roman" w:eastAsia="Times New Roman" w:hAnsi="Times New Roman" w:cs="Times New Roman"/>
                <w:kern w:val="0"/>
                <w14:ligatures w14:val="none"/>
              </w:rPr>
              <w:t>were</w:t>
            </w:r>
            <w:proofErr w:type="gramEnd"/>
            <w:r w:rsidRPr="000F63C3">
              <w:rPr>
                <w:rFonts w:ascii="Times New Roman" w:eastAsia="Times New Roman" w:hAnsi="Times New Roman" w:cs="Times New Roman"/>
                <w:kern w:val="0"/>
                <w14:ligatures w14:val="none"/>
              </w:rPr>
              <w:t xml:space="preserve"> used in primary analysis. 18-24, 25-29, 30-34, 35-39, 40-44, 45-50 were used for patients </w:t>
            </w:r>
            <w:r w:rsidRPr="000F63C3">
              <w:rPr>
                <w:rFonts w:ascii="Times New Roman" w:eastAsia="Times New Roman" w:hAnsi="Times New Roman" w:cs="Times New Roman" w:hint="eastAsia"/>
                <w:kern w:val="0"/>
                <w14:ligatures w14:val="none"/>
              </w:rPr>
              <w:t>≤ 50 years old and had no documented risk factors</w:t>
            </w:r>
            <w:r w:rsidR="0050743B" w:rsidRPr="000F63C3">
              <w:rPr>
                <w:rFonts w:ascii="Times New Roman" w:eastAsia="Times New Roman" w:hAnsi="Times New Roman" w:cs="Times New Roman"/>
                <w:kern w:val="0"/>
                <w14:ligatures w14:val="none"/>
              </w:rPr>
              <w:t>.</w:t>
            </w:r>
          </w:p>
          <w:p w14:paraId="208C6EE7" w14:textId="77777777" w:rsidR="00B9144C" w:rsidRPr="00B9144C" w:rsidRDefault="00B9144C" w:rsidP="00276093">
            <w:pPr>
              <w:spacing w:after="0" w:line="240" w:lineRule="auto"/>
              <w:rPr>
                <w:rFonts w:ascii="Times New Roman" w:eastAsia="Times New Roman" w:hAnsi="Times New Roman" w:cs="Times New Roman"/>
                <w:kern w:val="0"/>
                <w14:ligatures w14:val="none"/>
              </w:rPr>
            </w:pP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46874C30" w14:textId="01DEC0BB" w:rsidR="00B9144C" w:rsidRPr="00B9144C" w:rsidRDefault="00A17AD6" w:rsidP="00276093">
            <w:pPr>
              <w:spacing w:after="0" w:line="240" w:lineRule="auto"/>
              <w:rPr>
                <w:rFonts w:ascii="Times New Roman" w:eastAsia="Times New Roman" w:hAnsi="Times New Roman" w:cs="Times New Roman"/>
                <w:kern w:val="0"/>
                <w14:ligatures w14:val="none"/>
              </w:rPr>
            </w:pPr>
            <w:bookmarkStart w:id="1" w:name="OLE_LINK1"/>
            <w:r w:rsidRPr="000F63C3">
              <w:rPr>
                <w:rFonts w:ascii="Times New Roman" w:eastAsia="Times New Roman" w:hAnsi="Times New Roman" w:cs="Times New Roman"/>
                <w:kern w:val="0"/>
                <w14:ligatures w14:val="none"/>
              </w:rPr>
              <w:t xml:space="preserve">Based on records in the Demographic Domain. </w:t>
            </w:r>
            <w:bookmarkEnd w:id="1"/>
            <w:r w:rsidRPr="000F63C3">
              <w:rPr>
                <w:rFonts w:ascii="Times New Roman" w:eastAsia="Times New Roman" w:hAnsi="Times New Roman" w:cs="Times New Roman"/>
                <w:kern w:val="0"/>
                <w14:ligatures w14:val="none"/>
              </w:rPr>
              <w:t>The age at the index date was captured.</w:t>
            </w:r>
          </w:p>
        </w:tc>
      </w:tr>
      <w:tr w:rsidR="00245A75" w:rsidRPr="00B9144C" w14:paraId="51B41AFE"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64B6A52D" w14:textId="0D1F704E" w:rsidR="00B9144C" w:rsidRPr="00B9144C" w:rsidRDefault="00A0215F" w:rsidP="00276093">
            <w:pPr>
              <w:spacing w:after="0" w:line="240" w:lineRule="auto"/>
              <w:rPr>
                <w:rFonts w:ascii="Times New Roman" w:eastAsia="Times New Roman" w:hAnsi="Times New Roman" w:cs="Times New Roman"/>
                <w:kern w:val="0"/>
                <w:sz w:val="24"/>
                <w:szCs w:val="24"/>
                <w14:ligatures w14:val="none"/>
              </w:rPr>
            </w:pPr>
            <w:r w:rsidRPr="000F63C3">
              <w:rPr>
                <w:rFonts w:ascii="Times New Roman" w:eastAsia="Times New Roman" w:hAnsi="Times New Roman" w:cs="Times New Roman"/>
                <w:kern w:val="0"/>
                <w:sz w:val="24"/>
                <w:szCs w:val="24"/>
                <w14:ligatures w14:val="none"/>
              </w:rPr>
              <w:t>Race/Ethnicity</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4DEB958D" w14:textId="2F4B8F1E" w:rsidR="00B9144C" w:rsidRPr="00B9144C" w:rsidRDefault="00A102D6" w:rsidP="00276093">
            <w:pPr>
              <w:spacing w:after="0" w:line="240" w:lineRule="auto"/>
              <w:rPr>
                <w:rFonts w:ascii="Times New Roman" w:eastAsia="Times New Roman" w:hAnsi="Times New Roman" w:cs="Times New Roman"/>
                <w:kern w:val="0"/>
                <w:sz w:val="24"/>
                <w:szCs w:val="24"/>
                <w14:ligatures w14:val="none"/>
              </w:rPr>
            </w:pPr>
            <w:r w:rsidRPr="000F63C3">
              <w:rPr>
                <w:rFonts w:ascii="Times New Roman" w:eastAsia="Times New Roman" w:hAnsi="Times New Roman" w:cs="Times New Roman"/>
                <w:kern w:val="0"/>
                <w:sz w:val="24"/>
                <w:szCs w:val="24"/>
                <w14:ligatures w14:val="none"/>
              </w:rPr>
              <w:t>Categories</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73436F61" w14:textId="77777777" w:rsidR="008604B7" w:rsidRPr="000F63C3" w:rsidRDefault="008604B7" w:rsidP="008604B7">
            <w:pPr>
              <w:spacing w:after="0" w:line="240" w:lineRule="auto"/>
              <w:rPr>
                <w:rFonts w:ascii="Times New Roman" w:eastAsia="Times New Roman" w:hAnsi="Times New Roman" w:cs="Times New Roman"/>
                <w:kern w:val="0"/>
                <w14:ligatures w14:val="none"/>
              </w:rPr>
            </w:pPr>
            <w:r w:rsidRPr="000F63C3">
              <w:rPr>
                <w:rFonts w:ascii="Times New Roman" w:eastAsia="Times New Roman" w:hAnsi="Times New Roman" w:cs="Times New Roman"/>
                <w:kern w:val="0"/>
                <w14:ligatures w14:val="none"/>
              </w:rPr>
              <w:t>Asian Non-Hispanic,</w:t>
            </w:r>
          </w:p>
          <w:p w14:paraId="7D14C31D" w14:textId="77777777" w:rsidR="008604B7" w:rsidRPr="000F63C3" w:rsidRDefault="008604B7" w:rsidP="008604B7">
            <w:pPr>
              <w:spacing w:after="0" w:line="240" w:lineRule="auto"/>
              <w:rPr>
                <w:rFonts w:ascii="Times New Roman" w:eastAsia="Times New Roman" w:hAnsi="Times New Roman" w:cs="Times New Roman"/>
                <w:kern w:val="0"/>
                <w14:ligatures w14:val="none"/>
              </w:rPr>
            </w:pPr>
            <w:r w:rsidRPr="000F63C3">
              <w:rPr>
                <w:rFonts w:ascii="Times New Roman" w:eastAsia="Times New Roman" w:hAnsi="Times New Roman" w:cs="Times New Roman"/>
                <w:kern w:val="0"/>
                <w14:ligatures w14:val="none"/>
              </w:rPr>
              <w:t>Black or African American Non-Hispanic,</w:t>
            </w:r>
          </w:p>
          <w:p w14:paraId="208E1883" w14:textId="77777777" w:rsidR="008604B7" w:rsidRPr="000F63C3" w:rsidRDefault="008604B7" w:rsidP="008604B7">
            <w:pPr>
              <w:spacing w:after="0" w:line="240" w:lineRule="auto"/>
              <w:rPr>
                <w:rFonts w:ascii="Times New Roman" w:eastAsia="Times New Roman" w:hAnsi="Times New Roman" w:cs="Times New Roman"/>
                <w:kern w:val="0"/>
                <w14:ligatures w14:val="none"/>
              </w:rPr>
            </w:pPr>
            <w:r w:rsidRPr="000F63C3">
              <w:rPr>
                <w:rFonts w:ascii="Times New Roman" w:eastAsia="Times New Roman" w:hAnsi="Times New Roman" w:cs="Times New Roman"/>
                <w:kern w:val="0"/>
                <w14:ligatures w14:val="none"/>
              </w:rPr>
              <w:t>Hispanic or Latino Any Race,</w:t>
            </w:r>
          </w:p>
          <w:p w14:paraId="064F1F80" w14:textId="77777777" w:rsidR="008604B7" w:rsidRPr="000F63C3" w:rsidRDefault="008604B7" w:rsidP="008604B7">
            <w:pPr>
              <w:spacing w:after="0" w:line="240" w:lineRule="auto"/>
              <w:rPr>
                <w:rFonts w:ascii="Times New Roman" w:eastAsia="Times New Roman" w:hAnsi="Times New Roman" w:cs="Times New Roman"/>
                <w:kern w:val="0"/>
                <w14:ligatures w14:val="none"/>
              </w:rPr>
            </w:pPr>
            <w:r w:rsidRPr="000F63C3">
              <w:rPr>
                <w:rFonts w:ascii="Times New Roman" w:eastAsia="Times New Roman" w:hAnsi="Times New Roman" w:cs="Times New Roman"/>
                <w:kern w:val="0"/>
                <w14:ligatures w14:val="none"/>
              </w:rPr>
              <w:t>White Non-Hispanic,</w:t>
            </w:r>
          </w:p>
          <w:p w14:paraId="24783709" w14:textId="77777777" w:rsidR="008604B7" w:rsidRPr="000F63C3" w:rsidRDefault="008604B7" w:rsidP="008604B7">
            <w:pPr>
              <w:spacing w:after="0" w:line="240" w:lineRule="auto"/>
              <w:rPr>
                <w:rFonts w:ascii="Times New Roman" w:eastAsia="Times New Roman" w:hAnsi="Times New Roman" w:cs="Times New Roman"/>
                <w:kern w:val="0"/>
                <w14:ligatures w14:val="none"/>
              </w:rPr>
            </w:pPr>
            <w:r w:rsidRPr="000F63C3">
              <w:rPr>
                <w:rFonts w:ascii="Times New Roman" w:eastAsia="Times New Roman" w:hAnsi="Times New Roman" w:cs="Times New Roman"/>
                <w:kern w:val="0"/>
                <w14:ligatures w14:val="none"/>
              </w:rPr>
              <w:t>Other Non-Hispanic,</w:t>
            </w:r>
          </w:p>
          <w:p w14:paraId="61D512C5" w14:textId="32E41D53" w:rsidR="00B9144C" w:rsidRPr="00B9144C" w:rsidRDefault="008604B7" w:rsidP="008604B7">
            <w:pPr>
              <w:spacing w:after="0" w:line="240" w:lineRule="auto"/>
              <w:rPr>
                <w:rFonts w:ascii="Times New Roman" w:eastAsia="Times New Roman" w:hAnsi="Times New Roman" w:cs="Times New Roman"/>
                <w:kern w:val="0"/>
                <w14:ligatures w14:val="none"/>
              </w:rPr>
            </w:pPr>
            <w:r w:rsidRPr="000F63C3">
              <w:rPr>
                <w:rFonts w:ascii="Times New Roman" w:eastAsia="Times New Roman" w:hAnsi="Times New Roman" w:cs="Times New Roman"/>
                <w:kern w:val="0"/>
                <w14:ligatures w14:val="none"/>
              </w:rPr>
              <w:t>Unknown race/ethnicity</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463DF385" w14:textId="444E8566" w:rsidR="00B9144C" w:rsidRPr="00B9144C" w:rsidRDefault="00D8743F" w:rsidP="00276093">
            <w:pPr>
              <w:spacing w:after="0" w:line="240" w:lineRule="auto"/>
              <w:rPr>
                <w:rFonts w:ascii="Times New Roman" w:eastAsia="Times New Roman" w:hAnsi="Times New Roman" w:cs="Times New Roman"/>
                <w:kern w:val="0"/>
                <w14:ligatures w14:val="none"/>
              </w:rPr>
            </w:pPr>
            <w:r w:rsidRPr="000F63C3">
              <w:rPr>
                <w:rFonts w:ascii="Times New Roman" w:eastAsia="Times New Roman" w:hAnsi="Times New Roman" w:cs="Times New Roman"/>
                <w:kern w:val="0"/>
                <w14:ligatures w14:val="none"/>
              </w:rPr>
              <w:t>Based on records in the Demographic Domain.</w:t>
            </w:r>
          </w:p>
        </w:tc>
      </w:tr>
      <w:tr w:rsidR="00245A75" w:rsidRPr="00B9144C" w14:paraId="607CA841"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57C6EC6" w14:textId="48A7A95D" w:rsidR="00B9144C" w:rsidRPr="00B9144C" w:rsidRDefault="00431103" w:rsidP="00276093">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Area Deprivation Index (ADI)</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11B25602" w14:textId="3778487A" w:rsidR="00B9144C" w:rsidRPr="00B9144C" w:rsidRDefault="00F24A3E" w:rsidP="00276093">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Categories</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19A476C" w14:textId="61B122CB" w:rsidR="00B9144C" w:rsidRPr="00B9144C" w:rsidRDefault="0010626C" w:rsidP="00276093">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1-9, 10-19, 20-29, 30-39, 40-49, 50-59, 60-69, 70-79, 80-89, 90-100, Missing</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6B2B2A9" w14:textId="09219453" w:rsidR="00B9144C" w:rsidRPr="00B9144C" w:rsidRDefault="00956944" w:rsidP="00276093">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Based on </w:t>
            </w:r>
            <w:r w:rsidR="00755FCC">
              <w:rPr>
                <w:rFonts w:ascii="Times New Roman" w:eastAsia="Times New Roman" w:hAnsi="Times New Roman" w:cs="Times New Roman"/>
                <w:kern w:val="0"/>
                <w14:ligatures w14:val="none"/>
              </w:rPr>
              <w:t xml:space="preserve">the </w:t>
            </w:r>
            <w:r w:rsidR="00755FCC" w:rsidRPr="00755FCC">
              <w:rPr>
                <w:rFonts w:ascii="Times New Roman" w:eastAsia="Times New Roman" w:hAnsi="Times New Roman" w:cs="Times New Roman"/>
                <w:kern w:val="0"/>
                <w14:ligatures w14:val="none"/>
              </w:rPr>
              <w:t>Federal Information Processing Series (FIPS) codes</w:t>
            </w:r>
            <w:r w:rsidR="00755FCC">
              <w:rPr>
                <w:rFonts w:ascii="Times New Roman" w:eastAsia="Times New Roman" w:hAnsi="Times New Roman" w:cs="Times New Roman"/>
                <w:kern w:val="0"/>
                <w14:ligatures w14:val="none"/>
              </w:rPr>
              <w:t xml:space="preserve"> in the Geographic code domain from 2020 and the most recent </w:t>
            </w:r>
            <w:r w:rsidR="001C5FF9">
              <w:rPr>
                <w:rFonts w:ascii="Times New Roman" w:eastAsia="Times New Roman" w:hAnsi="Times New Roman" w:cs="Times New Roman"/>
                <w:kern w:val="0"/>
                <w14:ligatures w14:val="none"/>
              </w:rPr>
              <w:t xml:space="preserve">address and ZIP code </w:t>
            </w:r>
            <w:r>
              <w:rPr>
                <w:rFonts w:ascii="Times New Roman" w:eastAsia="Times New Roman" w:hAnsi="Times New Roman" w:cs="Times New Roman"/>
                <w:kern w:val="0"/>
                <w14:ligatures w14:val="none"/>
              </w:rPr>
              <w:t xml:space="preserve">records in the Longitudinal Address history </w:t>
            </w:r>
            <w:r w:rsidR="000B1FB3">
              <w:rPr>
                <w:rFonts w:ascii="Times New Roman" w:eastAsia="Times New Roman" w:hAnsi="Times New Roman" w:cs="Times New Roman"/>
                <w:kern w:val="0"/>
                <w14:ligatures w14:val="none"/>
              </w:rPr>
              <w:t>Domain</w:t>
            </w:r>
            <w:r w:rsidR="001C5FF9">
              <w:rPr>
                <w:rFonts w:ascii="Times New Roman" w:eastAsia="Times New Roman" w:hAnsi="Times New Roman" w:cs="Times New Roman"/>
                <w:kern w:val="0"/>
                <w14:ligatures w14:val="none"/>
              </w:rPr>
              <w:t>.</w:t>
            </w:r>
          </w:p>
        </w:tc>
      </w:tr>
      <w:tr w:rsidR="00245A75" w:rsidRPr="00B9144C" w14:paraId="4E6B9454"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294FA70F" w14:textId="25425649" w:rsidR="00B9144C" w:rsidRPr="00B9144C" w:rsidRDefault="00F675F0" w:rsidP="00276093">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Infection </w:t>
            </w:r>
            <w:r w:rsidR="00116251">
              <w:rPr>
                <w:rFonts w:ascii="Times New Roman" w:eastAsia="Times New Roman" w:hAnsi="Times New Roman" w:cs="Times New Roman"/>
                <w:kern w:val="0"/>
                <w14:ligatures w14:val="none"/>
              </w:rPr>
              <w:t xml:space="preserve">time </w:t>
            </w:r>
            <w:r>
              <w:rPr>
                <w:rFonts w:ascii="Times New Roman" w:eastAsia="Times New Roman" w:hAnsi="Times New Roman" w:cs="Times New Roman"/>
                <w:kern w:val="0"/>
                <w14:ligatures w14:val="none"/>
              </w:rPr>
              <w:t>periods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6FC8B9B9" w14:textId="4DED9518" w:rsidR="00B9144C" w:rsidRPr="00B9144C" w:rsidRDefault="00AA0C3D" w:rsidP="00276093">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Categories</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289CECB" w14:textId="23E33D9F" w:rsidR="00B9144C" w:rsidRPr="00B9144C" w:rsidRDefault="000005C4" w:rsidP="00276093">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03/2022-06/2022, 07/2022-10/2022, 11/2022-02/2023</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7BCEFA77" w14:textId="3561C882" w:rsidR="00B9144C" w:rsidRPr="00B9144C" w:rsidRDefault="004D5C76" w:rsidP="00276093">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index date</w:t>
            </w:r>
            <w:r w:rsidR="00ED700F">
              <w:rPr>
                <w:rFonts w:ascii="Times New Roman" w:eastAsia="Times New Roman" w:hAnsi="Times New Roman" w:cs="Times New Roman"/>
                <w:kern w:val="0"/>
                <w14:ligatures w14:val="none"/>
              </w:rPr>
              <w:t>. The SARS-CoV-2 infection evidence w</w:t>
            </w:r>
            <w:r w:rsidR="001B28A0">
              <w:rPr>
                <w:rFonts w:ascii="Times New Roman" w:eastAsia="Times New Roman" w:hAnsi="Times New Roman" w:cs="Times New Roman"/>
                <w:kern w:val="0"/>
                <w14:ligatures w14:val="none"/>
              </w:rPr>
              <w:t>as</w:t>
            </w:r>
            <w:r w:rsidR="00ED700F">
              <w:rPr>
                <w:rFonts w:ascii="Times New Roman" w:eastAsia="Times New Roman" w:hAnsi="Times New Roman" w:cs="Times New Roman"/>
                <w:kern w:val="0"/>
                <w14:ligatures w14:val="none"/>
              </w:rPr>
              <w:t xml:space="preserve"> based on </w:t>
            </w:r>
            <w:r w:rsidR="00ED700F" w:rsidRPr="00ED700F">
              <w:rPr>
                <w:rFonts w:ascii="Times New Roman" w:eastAsia="Times New Roman" w:hAnsi="Times New Roman" w:cs="Times New Roman"/>
                <w:kern w:val="0"/>
                <w14:ligatures w14:val="none"/>
              </w:rPr>
              <w:t>a) positive SARS-CoV-2 polymerase-chain-reaction (PCR) or antigen laboratory tests</w:t>
            </w:r>
            <w:r w:rsidR="00ED700F">
              <w:rPr>
                <w:rFonts w:ascii="Times New Roman" w:eastAsia="Times New Roman" w:hAnsi="Times New Roman" w:cs="Times New Roman"/>
                <w:kern w:val="0"/>
                <w14:ligatures w14:val="none"/>
              </w:rPr>
              <w:t xml:space="preserve"> in the Lab </w:t>
            </w:r>
            <w:r w:rsidR="00F75CDD">
              <w:rPr>
                <w:rFonts w:ascii="Times New Roman" w:eastAsia="Times New Roman" w:hAnsi="Times New Roman" w:cs="Times New Roman"/>
                <w:kern w:val="0"/>
                <w14:ligatures w14:val="none"/>
              </w:rPr>
              <w:t>Result</w:t>
            </w:r>
            <w:r w:rsidR="00ED700F">
              <w:rPr>
                <w:rFonts w:ascii="Times New Roman" w:eastAsia="Times New Roman" w:hAnsi="Times New Roman" w:cs="Times New Roman"/>
                <w:kern w:val="0"/>
                <w14:ligatures w14:val="none"/>
              </w:rPr>
              <w:t xml:space="preserve"> domain</w:t>
            </w:r>
            <w:r w:rsidR="00ED700F" w:rsidRPr="00ED700F">
              <w:rPr>
                <w:rFonts w:ascii="Times New Roman" w:eastAsia="Times New Roman" w:hAnsi="Times New Roman" w:cs="Times New Roman"/>
                <w:kern w:val="0"/>
                <w14:ligatures w14:val="none"/>
              </w:rPr>
              <w:t>; b) the International Classification of Diseases, Tenth Revision, Clinical Modification (ICD-10-CM) diagnosis code U07.1 representing COVIID-19 diagnosis</w:t>
            </w:r>
            <w:r w:rsidR="006274B6">
              <w:rPr>
                <w:rFonts w:ascii="Times New Roman" w:eastAsia="Times New Roman" w:hAnsi="Times New Roman" w:cs="Times New Roman"/>
                <w:kern w:val="0"/>
                <w14:ligatures w14:val="none"/>
              </w:rPr>
              <w:t xml:space="preserve"> in the Diagnosis domain</w:t>
            </w:r>
            <w:r w:rsidR="00ED700F" w:rsidRPr="00ED700F">
              <w:rPr>
                <w:rFonts w:ascii="Times New Roman" w:eastAsia="Times New Roman" w:hAnsi="Times New Roman" w:cs="Times New Roman"/>
                <w:kern w:val="0"/>
                <w14:ligatures w14:val="none"/>
              </w:rPr>
              <w:t>; or c) Paxlovid (nirmatrelvir/ritonavir) or Remdesivir prescriptions</w:t>
            </w:r>
            <w:r w:rsidR="008A259F">
              <w:rPr>
                <w:rFonts w:ascii="Times New Roman" w:eastAsia="Times New Roman" w:hAnsi="Times New Roman" w:cs="Times New Roman"/>
                <w:kern w:val="0"/>
                <w14:ligatures w14:val="none"/>
              </w:rPr>
              <w:t xml:space="preserve"> in the </w:t>
            </w:r>
            <w:r w:rsidR="00DE4DA8">
              <w:rPr>
                <w:rFonts w:ascii="Times New Roman" w:eastAsia="Times New Roman" w:hAnsi="Times New Roman" w:cs="Times New Roman"/>
                <w:kern w:val="0"/>
                <w14:ligatures w14:val="none"/>
              </w:rPr>
              <w:t>P</w:t>
            </w:r>
            <w:r w:rsidR="0019422B">
              <w:rPr>
                <w:rFonts w:ascii="Times New Roman" w:eastAsia="Times New Roman" w:hAnsi="Times New Roman" w:cs="Times New Roman"/>
                <w:kern w:val="0"/>
                <w14:ligatures w14:val="none"/>
              </w:rPr>
              <w:t>rescribing</w:t>
            </w:r>
            <w:r w:rsidR="008A259F">
              <w:rPr>
                <w:rFonts w:ascii="Times New Roman" w:eastAsia="Times New Roman" w:hAnsi="Times New Roman" w:cs="Times New Roman"/>
                <w:kern w:val="0"/>
                <w14:ligatures w14:val="none"/>
              </w:rPr>
              <w:t xml:space="preserve"> domain, </w:t>
            </w:r>
            <w:r w:rsidR="00DE4DA8">
              <w:rPr>
                <w:rFonts w:ascii="Times New Roman" w:eastAsia="Times New Roman" w:hAnsi="Times New Roman" w:cs="Times New Roman"/>
                <w:kern w:val="0"/>
                <w14:ligatures w14:val="none"/>
              </w:rPr>
              <w:t>D</w:t>
            </w:r>
            <w:r w:rsidR="008A259F">
              <w:rPr>
                <w:rFonts w:ascii="Times New Roman" w:eastAsia="Times New Roman" w:hAnsi="Times New Roman" w:cs="Times New Roman"/>
                <w:kern w:val="0"/>
                <w14:ligatures w14:val="none"/>
              </w:rPr>
              <w:t>ispensing domain</w:t>
            </w:r>
            <w:r w:rsidR="0019422B">
              <w:rPr>
                <w:rFonts w:ascii="Times New Roman" w:eastAsia="Times New Roman" w:hAnsi="Times New Roman" w:cs="Times New Roman"/>
                <w:kern w:val="0"/>
                <w14:ligatures w14:val="none"/>
              </w:rPr>
              <w:t xml:space="preserve">, and the </w:t>
            </w:r>
            <w:r w:rsidR="00DE4DA8">
              <w:rPr>
                <w:rFonts w:ascii="Times New Roman" w:eastAsia="Times New Roman" w:hAnsi="Times New Roman" w:cs="Times New Roman"/>
                <w:kern w:val="0"/>
                <w14:ligatures w14:val="none"/>
              </w:rPr>
              <w:t>A</w:t>
            </w:r>
            <w:r w:rsidR="0019422B">
              <w:rPr>
                <w:rFonts w:ascii="Times New Roman" w:eastAsia="Times New Roman" w:hAnsi="Times New Roman" w:cs="Times New Roman"/>
                <w:kern w:val="0"/>
                <w14:ligatures w14:val="none"/>
              </w:rPr>
              <w:t xml:space="preserve">dministered </w:t>
            </w:r>
            <w:r w:rsidR="00DE4DA8">
              <w:rPr>
                <w:rFonts w:ascii="Times New Roman" w:eastAsia="Times New Roman" w:hAnsi="Times New Roman" w:cs="Times New Roman"/>
                <w:kern w:val="0"/>
                <w14:ligatures w14:val="none"/>
              </w:rPr>
              <w:t>M</w:t>
            </w:r>
            <w:r w:rsidR="0019422B">
              <w:rPr>
                <w:rFonts w:ascii="Times New Roman" w:eastAsia="Times New Roman" w:hAnsi="Times New Roman" w:cs="Times New Roman"/>
                <w:kern w:val="0"/>
                <w14:ligatures w14:val="none"/>
              </w:rPr>
              <w:t>edications domain</w:t>
            </w:r>
            <w:r w:rsidR="00ED700F" w:rsidRPr="00ED700F">
              <w:rPr>
                <w:rFonts w:ascii="Times New Roman" w:eastAsia="Times New Roman" w:hAnsi="Times New Roman" w:cs="Times New Roman"/>
                <w:kern w:val="0"/>
                <w14:ligatures w14:val="none"/>
              </w:rPr>
              <w:t>. The date of the first documented infection evidence was considered as the COVID-19 index date.</w:t>
            </w:r>
          </w:p>
        </w:tc>
      </w:tr>
      <w:tr w:rsidR="00992B35" w:rsidRPr="00B9144C" w14:paraId="5E13F346"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026370E" w14:textId="4798493D" w:rsidR="00992B35" w:rsidRPr="00B9144C" w:rsidRDefault="00992B35"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lastRenderedPageBreak/>
              <w:t>History hospital utilization</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251AD414" w14:textId="383E809A" w:rsidR="00992B35" w:rsidRPr="00B9144C" w:rsidRDefault="00992B35"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Categories</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1146BB64" w14:textId="3B9749A6" w:rsidR="00992B35" w:rsidRPr="00B9144C" w:rsidRDefault="00AC2D96" w:rsidP="00667113">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0 inpatient</w:t>
            </w:r>
            <w:r w:rsidR="000E32E3">
              <w:rPr>
                <w:rFonts w:ascii="Times New Roman" w:eastAsia="Times New Roman" w:hAnsi="Times New Roman" w:cs="Times New Roman"/>
                <w:kern w:val="0"/>
                <w14:ligatures w14:val="none"/>
              </w:rPr>
              <w:t xml:space="preserve"> visits</w:t>
            </w:r>
            <w:r>
              <w:rPr>
                <w:rFonts w:ascii="Times New Roman" w:eastAsia="Times New Roman" w:hAnsi="Times New Roman" w:cs="Times New Roman"/>
                <w:kern w:val="0"/>
                <w14:ligatures w14:val="none"/>
              </w:rPr>
              <w:t>, 1-2 inpatient</w:t>
            </w:r>
            <w:r w:rsidR="000E32E3">
              <w:rPr>
                <w:rFonts w:ascii="Times New Roman" w:eastAsia="Times New Roman" w:hAnsi="Times New Roman" w:cs="Times New Roman"/>
                <w:kern w:val="0"/>
                <w14:ligatures w14:val="none"/>
              </w:rPr>
              <w:t xml:space="preserve"> visits</w:t>
            </w:r>
            <w:r>
              <w:rPr>
                <w:rFonts w:ascii="Times New Roman" w:eastAsia="Times New Roman" w:hAnsi="Times New Roman" w:cs="Times New Roman"/>
                <w:kern w:val="0"/>
                <w14:ligatures w14:val="none"/>
              </w:rPr>
              <w:t>, 3-4 inpatient</w:t>
            </w:r>
            <w:r w:rsidR="000E32E3">
              <w:rPr>
                <w:rFonts w:ascii="Times New Roman" w:eastAsia="Times New Roman" w:hAnsi="Times New Roman" w:cs="Times New Roman"/>
                <w:kern w:val="0"/>
                <w14:ligatures w14:val="none"/>
              </w:rPr>
              <w:t xml:space="preserve"> </w:t>
            </w:r>
            <w:proofErr w:type="gramStart"/>
            <w:r w:rsidR="000E32E3">
              <w:rPr>
                <w:rFonts w:ascii="Times New Roman" w:eastAsia="Times New Roman" w:hAnsi="Times New Roman" w:cs="Times New Roman"/>
                <w:kern w:val="0"/>
                <w14:ligatures w14:val="none"/>
              </w:rPr>
              <w:t>visits</w:t>
            </w:r>
            <w:r>
              <w:rPr>
                <w:rFonts w:ascii="Times New Roman" w:eastAsia="Times New Roman" w:hAnsi="Times New Roman" w:cs="Times New Roman"/>
                <w:kern w:val="0"/>
                <w14:ligatures w14:val="none"/>
              </w:rPr>
              <w:t>,</w:t>
            </w:r>
            <w:r w:rsidR="000E32E3">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 </w:t>
            </w:r>
            <w:r w:rsidRPr="00AC2D96">
              <w:rPr>
                <w:rFonts w:ascii="Times New Roman" w:eastAsia="Times New Roman" w:hAnsi="Times New Roman" w:cs="Times New Roman" w:hint="eastAsia"/>
                <w:kern w:val="0"/>
                <w14:ligatures w14:val="none"/>
              </w:rPr>
              <w:t>≥</w:t>
            </w:r>
            <w:proofErr w:type="gramEnd"/>
            <w:r w:rsidRPr="00AC2D96">
              <w:rPr>
                <w:rFonts w:ascii="Times New Roman" w:eastAsia="Times New Roman" w:hAnsi="Times New Roman" w:cs="Times New Roman" w:hint="eastAsia"/>
                <w:kern w:val="0"/>
                <w14:ligatures w14:val="none"/>
              </w:rPr>
              <w:t>5</w:t>
            </w:r>
            <w:r>
              <w:rPr>
                <w:rFonts w:ascii="Times New Roman" w:eastAsia="Times New Roman" w:hAnsi="Times New Roman" w:cs="Times New Roman"/>
                <w:kern w:val="0"/>
                <w14:ligatures w14:val="none"/>
              </w:rPr>
              <w:t xml:space="preserve"> inpatient</w:t>
            </w:r>
            <w:r w:rsidR="000E32E3">
              <w:rPr>
                <w:rFonts w:ascii="Times New Roman" w:eastAsia="Times New Roman" w:hAnsi="Times New Roman" w:cs="Times New Roman"/>
                <w:kern w:val="0"/>
                <w14:ligatures w14:val="none"/>
              </w:rPr>
              <w:t xml:space="preserve"> visits</w:t>
            </w:r>
            <w:r>
              <w:rPr>
                <w:rFonts w:ascii="Times New Roman" w:eastAsia="Times New Roman" w:hAnsi="Times New Roman" w:cs="Times New Roman"/>
                <w:kern w:val="0"/>
                <w14:ligatures w14:val="none"/>
              </w:rPr>
              <w:t xml:space="preserve">, </w:t>
            </w:r>
            <w:r w:rsidR="000E32E3">
              <w:rPr>
                <w:rFonts w:ascii="Times New Roman" w:eastAsia="Times New Roman" w:hAnsi="Times New Roman" w:cs="Times New Roman"/>
                <w:kern w:val="0"/>
                <w14:ligatures w14:val="none"/>
              </w:rPr>
              <w:t xml:space="preserve">0 outpatient visits, 1-2 outpatient visits, 3-4 outpatient visits,  </w:t>
            </w:r>
            <w:r w:rsidR="000E32E3" w:rsidRPr="00AC2D96">
              <w:rPr>
                <w:rFonts w:ascii="Times New Roman" w:eastAsia="Times New Roman" w:hAnsi="Times New Roman" w:cs="Times New Roman" w:hint="eastAsia"/>
                <w:kern w:val="0"/>
                <w14:ligatures w14:val="none"/>
              </w:rPr>
              <w:t>≥5</w:t>
            </w:r>
            <w:r w:rsidR="000E32E3">
              <w:rPr>
                <w:rFonts w:ascii="Times New Roman" w:eastAsia="Times New Roman" w:hAnsi="Times New Roman" w:cs="Times New Roman"/>
                <w:kern w:val="0"/>
                <w14:ligatures w14:val="none"/>
              </w:rPr>
              <w:t xml:space="preserve"> outpatient visits, 0 emergency visits, 1-2 emergency visits, 3-4 emergency visits, </w:t>
            </w:r>
            <w:r w:rsidR="000E32E3" w:rsidRPr="00AC2D96">
              <w:rPr>
                <w:rFonts w:ascii="Times New Roman" w:eastAsia="Times New Roman" w:hAnsi="Times New Roman" w:cs="Times New Roman" w:hint="eastAsia"/>
                <w:kern w:val="0"/>
                <w14:ligatures w14:val="none"/>
              </w:rPr>
              <w:t>≥5</w:t>
            </w:r>
            <w:r w:rsidR="000E32E3">
              <w:rPr>
                <w:rFonts w:ascii="Times New Roman" w:eastAsia="Times New Roman" w:hAnsi="Times New Roman" w:cs="Times New Roman"/>
                <w:kern w:val="0"/>
                <w14:ligatures w14:val="none"/>
              </w:rPr>
              <w:t xml:space="preserve"> emergency visits</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618FA0AD" w14:textId="15EB5A91" w:rsidR="00992B35" w:rsidRPr="00B9144C" w:rsidRDefault="00527026"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Based on the </w:t>
            </w:r>
            <w:r w:rsidR="00DE4DA8">
              <w:rPr>
                <w:rFonts w:ascii="Times New Roman" w:eastAsia="Times New Roman" w:hAnsi="Times New Roman" w:cs="Times New Roman"/>
                <w:kern w:val="0"/>
                <w14:ligatures w14:val="none"/>
              </w:rPr>
              <w:t>E</w:t>
            </w:r>
            <w:r>
              <w:rPr>
                <w:rFonts w:ascii="Times New Roman" w:eastAsia="Times New Roman" w:hAnsi="Times New Roman" w:cs="Times New Roman"/>
                <w:kern w:val="0"/>
                <w14:ligatures w14:val="none"/>
              </w:rPr>
              <w:t xml:space="preserve">ncounter domain and history </w:t>
            </w:r>
            <w:r w:rsidR="00F47941">
              <w:rPr>
                <w:rFonts w:ascii="Times New Roman" w:eastAsia="Times New Roman" w:hAnsi="Times New Roman" w:cs="Times New Roman"/>
                <w:kern w:val="0"/>
                <w14:ligatures w14:val="none"/>
              </w:rPr>
              <w:t xml:space="preserve">of </w:t>
            </w:r>
            <w:r>
              <w:rPr>
                <w:rFonts w:ascii="Times New Roman" w:eastAsia="Times New Roman" w:hAnsi="Times New Roman" w:cs="Times New Roman"/>
                <w:kern w:val="0"/>
                <w14:ligatures w14:val="none"/>
              </w:rPr>
              <w:t>encounter types in the past 3 years</w:t>
            </w:r>
            <w:r w:rsidR="00F47941">
              <w:rPr>
                <w:rFonts w:ascii="Times New Roman" w:eastAsia="Times New Roman" w:hAnsi="Times New Roman" w:cs="Times New Roman"/>
                <w:kern w:val="0"/>
                <w14:ligatures w14:val="none"/>
              </w:rPr>
              <w:t xml:space="preserve"> before </w:t>
            </w:r>
            <w:r w:rsidR="00C97A64">
              <w:rPr>
                <w:rFonts w:ascii="Times New Roman" w:eastAsia="Times New Roman" w:hAnsi="Times New Roman" w:cs="Times New Roman"/>
                <w:kern w:val="0"/>
                <w14:ligatures w14:val="none"/>
              </w:rPr>
              <w:t xml:space="preserve">the </w:t>
            </w:r>
            <w:r w:rsidR="00F47941">
              <w:rPr>
                <w:rFonts w:ascii="Times New Roman" w:eastAsia="Times New Roman" w:hAnsi="Times New Roman" w:cs="Times New Roman"/>
                <w:kern w:val="0"/>
                <w14:ligatures w14:val="none"/>
              </w:rPr>
              <w:t>index date</w:t>
            </w:r>
            <w:r>
              <w:rPr>
                <w:rFonts w:ascii="Times New Roman" w:eastAsia="Times New Roman" w:hAnsi="Times New Roman" w:cs="Times New Roman"/>
                <w:kern w:val="0"/>
                <w14:ligatures w14:val="none"/>
              </w:rPr>
              <w:t>.</w:t>
            </w:r>
          </w:p>
        </w:tc>
      </w:tr>
      <w:tr w:rsidR="00992B35" w:rsidRPr="00B9144C" w14:paraId="11EDAE3A"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3E68A9E2" w14:textId="6EDBBE7A" w:rsidR="00992B35" w:rsidRPr="00B9144C" w:rsidRDefault="00F52493"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Body mass index (kg/m</w:t>
            </w:r>
            <w:r w:rsidRPr="00F52493">
              <w:rPr>
                <w:rFonts w:ascii="Times New Roman" w:eastAsia="Times New Roman" w:hAnsi="Times New Roman" w:cs="Times New Roman"/>
                <w:kern w:val="0"/>
                <w:vertAlign w:val="superscript"/>
                <w14:ligatures w14:val="none"/>
              </w:rPr>
              <w:t>2</w:t>
            </w:r>
            <w:r>
              <w:rPr>
                <w:rFonts w:ascii="Times New Roman" w:eastAsia="Times New Roman" w:hAnsi="Times New Roman" w:cs="Times New Roman"/>
                <w:kern w:val="0"/>
                <w14:ligatures w14:val="none"/>
              </w:rPr>
              <w:t>)</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504A1AB1" w14:textId="131B1F2E" w:rsidR="00992B35" w:rsidRPr="00B9144C" w:rsidRDefault="007B19E2"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Categories</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671FB46" w14:textId="79D5466E" w:rsidR="00E13C14" w:rsidRPr="00E13C14" w:rsidRDefault="00E13C14" w:rsidP="00E13C14">
            <w:pPr>
              <w:spacing w:after="0" w:line="240" w:lineRule="auto"/>
              <w:rPr>
                <w:rFonts w:ascii="Times New Roman" w:eastAsia="Times New Roman" w:hAnsi="Times New Roman" w:cs="Times New Roman"/>
                <w:kern w:val="0"/>
                <w14:ligatures w14:val="none"/>
              </w:rPr>
            </w:pPr>
            <w:r w:rsidRPr="00E13C14">
              <w:rPr>
                <w:rFonts w:ascii="Times New Roman" w:eastAsia="Times New Roman" w:hAnsi="Times New Roman" w:cs="Times New Roman"/>
                <w:kern w:val="0"/>
                <w14:ligatures w14:val="none"/>
              </w:rPr>
              <w:t xml:space="preserve">&lt;18.5 underweight, </w:t>
            </w:r>
          </w:p>
          <w:p w14:paraId="45EEDF1A" w14:textId="2669C91B" w:rsidR="00992B35" w:rsidRPr="00B9144C" w:rsidRDefault="00E13C14" w:rsidP="000D1797">
            <w:pPr>
              <w:spacing w:after="0" w:line="240" w:lineRule="auto"/>
              <w:rPr>
                <w:rFonts w:ascii="Times New Roman" w:eastAsia="Times New Roman" w:hAnsi="Times New Roman" w:cs="Times New Roman"/>
                <w:kern w:val="0"/>
                <w14:ligatures w14:val="none"/>
              </w:rPr>
            </w:pPr>
            <w:r w:rsidRPr="00E13C14">
              <w:rPr>
                <w:rFonts w:ascii="Times New Roman" w:eastAsia="Times New Roman" w:hAnsi="Times New Roman" w:cs="Times New Roman"/>
                <w:kern w:val="0"/>
                <w14:ligatures w14:val="none"/>
              </w:rPr>
              <w:t>18.5</w:t>
            </w:r>
            <w:r>
              <w:rPr>
                <w:rFonts w:ascii="Times New Roman" w:eastAsia="Times New Roman" w:hAnsi="Times New Roman" w:cs="Times New Roman"/>
                <w:kern w:val="0"/>
                <w14:ligatures w14:val="none"/>
              </w:rPr>
              <w:t xml:space="preserve"> to </w:t>
            </w:r>
            <w:r w:rsidRPr="00E13C14">
              <w:rPr>
                <w:rFonts w:ascii="Times New Roman" w:eastAsia="Times New Roman" w:hAnsi="Times New Roman" w:cs="Times New Roman"/>
                <w:kern w:val="0"/>
                <w14:ligatures w14:val="none"/>
              </w:rPr>
              <w:t>&lt;25 normal weight, 25</w:t>
            </w:r>
            <w:r>
              <w:rPr>
                <w:rFonts w:ascii="Times New Roman" w:eastAsia="Times New Roman" w:hAnsi="Times New Roman" w:cs="Times New Roman"/>
                <w:kern w:val="0"/>
                <w14:ligatures w14:val="none"/>
              </w:rPr>
              <w:t xml:space="preserve"> to </w:t>
            </w:r>
            <w:r w:rsidRPr="00E13C14">
              <w:rPr>
                <w:rFonts w:ascii="Times New Roman" w:eastAsia="Times New Roman" w:hAnsi="Times New Roman" w:cs="Times New Roman"/>
                <w:kern w:val="0"/>
                <w14:ligatures w14:val="none"/>
              </w:rPr>
              <w:t xml:space="preserve">&lt;30 overweight, </w:t>
            </w:r>
            <w:r w:rsidRPr="00AC2D96">
              <w:rPr>
                <w:rFonts w:ascii="Times New Roman" w:eastAsia="Times New Roman" w:hAnsi="Times New Roman" w:cs="Times New Roman" w:hint="eastAsia"/>
                <w:kern w:val="0"/>
                <w14:ligatures w14:val="none"/>
              </w:rPr>
              <w:t>≥</w:t>
            </w:r>
            <w:r w:rsidRPr="00E13C14">
              <w:rPr>
                <w:rFonts w:ascii="Times New Roman" w:eastAsia="Times New Roman" w:hAnsi="Times New Roman" w:cs="Times New Roman"/>
                <w:kern w:val="0"/>
                <w14:ligatures w14:val="none"/>
              </w:rPr>
              <w:t>30 obese,</w:t>
            </w:r>
            <w:r>
              <w:rPr>
                <w:rFonts w:ascii="Times New Roman" w:eastAsia="Times New Roman" w:hAnsi="Times New Roman" w:cs="Times New Roman"/>
                <w:kern w:val="0"/>
                <w14:ligatures w14:val="none"/>
              </w:rPr>
              <w:t xml:space="preserve"> and </w:t>
            </w:r>
            <w:r w:rsidRPr="00E13C14">
              <w:rPr>
                <w:rFonts w:ascii="Times New Roman" w:eastAsia="Times New Roman" w:hAnsi="Times New Roman" w:cs="Times New Roman"/>
                <w:kern w:val="0"/>
                <w14:ligatures w14:val="none"/>
              </w:rPr>
              <w:t>missing,</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77F1CA60" w14:textId="2EE53832" w:rsidR="00992B35" w:rsidRPr="00B9144C" w:rsidRDefault="001C5B0A"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Based on the most recent records in the </w:t>
            </w:r>
            <w:r w:rsidR="00DE4DA8">
              <w:rPr>
                <w:rFonts w:ascii="Times New Roman" w:eastAsia="Times New Roman" w:hAnsi="Times New Roman" w:cs="Times New Roman"/>
                <w:kern w:val="0"/>
                <w14:ligatures w14:val="none"/>
              </w:rPr>
              <w:t>V</w:t>
            </w:r>
            <w:r>
              <w:rPr>
                <w:rFonts w:ascii="Times New Roman" w:eastAsia="Times New Roman" w:hAnsi="Times New Roman" w:cs="Times New Roman"/>
                <w:kern w:val="0"/>
                <w14:ligatures w14:val="none"/>
              </w:rPr>
              <w:t>ital domain.</w:t>
            </w:r>
          </w:p>
        </w:tc>
      </w:tr>
      <w:tr w:rsidR="00992B35" w:rsidRPr="00B9144C" w14:paraId="663A1E6E"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6641A988" w14:textId="5B764067" w:rsidR="00992B35" w:rsidRPr="00B9144C" w:rsidRDefault="00285860"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Smoking status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011A4AC" w14:textId="7802320E" w:rsidR="00992B35" w:rsidRPr="00B9144C" w:rsidRDefault="00285860"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Categories</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3FE6FAEE" w14:textId="44A14AB7" w:rsidR="00992B35" w:rsidRPr="00B9144C" w:rsidRDefault="00285860"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Never, current, former, and missing </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B3548E4" w14:textId="4A50995B" w:rsidR="00992B35" w:rsidRPr="00B9144C" w:rsidRDefault="002F7B07"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Based on the most recent records in the </w:t>
            </w:r>
            <w:r w:rsidR="00DE4DA8">
              <w:rPr>
                <w:rFonts w:ascii="Times New Roman" w:eastAsia="Times New Roman" w:hAnsi="Times New Roman" w:cs="Times New Roman"/>
                <w:kern w:val="0"/>
                <w14:ligatures w14:val="none"/>
              </w:rPr>
              <w:t>V</w:t>
            </w:r>
            <w:r>
              <w:rPr>
                <w:rFonts w:ascii="Times New Roman" w:eastAsia="Times New Roman" w:hAnsi="Times New Roman" w:cs="Times New Roman"/>
                <w:kern w:val="0"/>
                <w14:ligatures w14:val="none"/>
              </w:rPr>
              <w:t>ital domain.</w:t>
            </w:r>
          </w:p>
        </w:tc>
      </w:tr>
      <w:tr w:rsidR="00992B35" w:rsidRPr="00B9144C" w14:paraId="45593B17"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5EAE465D" w14:textId="598A8EBE" w:rsidR="00992B35" w:rsidRPr="00B9144C" w:rsidRDefault="006E6526"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COVID</w:t>
            </w:r>
            <w:r w:rsidR="00737463">
              <w:rPr>
                <w:rFonts w:ascii="Times New Roman" w:eastAsia="Times New Roman" w:hAnsi="Times New Roman" w:cs="Times New Roman"/>
                <w:kern w:val="0"/>
                <w14:ligatures w14:val="none"/>
              </w:rPr>
              <w:t>-19 v</w:t>
            </w:r>
            <w:r w:rsidR="00E808B2">
              <w:rPr>
                <w:rFonts w:ascii="Times New Roman" w:eastAsia="Times New Roman" w:hAnsi="Times New Roman" w:cs="Times New Roman"/>
                <w:kern w:val="0"/>
                <w14:ligatures w14:val="none"/>
              </w:rPr>
              <w:t>accine status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5ECE46E8" w14:textId="5FCB756B" w:rsidR="00992B35" w:rsidRPr="00B9144C" w:rsidRDefault="00E808B2"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Categories</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2A832C6A" w14:textId="28602775" w:rsidR="00992B35" w:rsidRPr="00B9144C" w:rsidRDefault="006512BA"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Fully vaccinated, partially vaccinated, no evidence</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54BBB33" w14:textId="76F0376D" w:rsidR="00992B35" w:rsidRPr="00B9144C" w:rsidRDefault="0034795D"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Based on </w:t>
            </w:r>
            <w:r w:rsidR="00DE4DA8">
              <w:rPr>
                <w:rFonts w:ascii="Times New Roman" w:eastAsia="Times New Roman" w:hAnsi="Times New Roman" w:cs="Times New Roman"/>
                <w:kern w:val="0"/>
                <w14:ligatures w14:val="none"/>
              </w:rPr>
              <w:t>the P</w:t>
            </w:r>
            <w:r>
              <w:rPr>
                <w:rFonts w:ascii="Times New Roman" w:eastAsia="Times New Roman" w:hAnsi="Times New Roman" w:cs="Times New Roman"/>
                <w:kern w:val="0"/>
                <w14:ligatures w14:val="none"/>
              </w:rPr>
              <w:t xml:space="preserve">rocedures domain and </w:t>
            </w:r>
            <w:r w:rsidR="00DE4DA8">
              <w:rPr>
                <w:rFonts w:ascii="Times New Roman" w:eastAsia="Times New Roman" w:hAnsi="Times New Roman" w:cs="Times New Roman"/>
                <w:kern w:val="0"/>
                <w14:ligatures w14:val="none"/>
              </w:rPr>
              <w:t>I</w:t>
            </w:r>
            <w:r>
              <w:rPr>
                <w:rFonts w:ascii="Times New Roman" w:eastAsia="Times New Roman" w:hAnsi="Times New Roman" w:cs="Times New Roman"/>
                <w:kern w:val="0"/>
                <w14:ligatures w14:val="none"/>
              </w:rPr>
              <w:t>mmunization domain</w:t>
            </w:r>
            <w:r w:rsidR="007C1866">
              <w:rPr>
                <w:rFonts w:ascii="Times New Roman" w:eastAsia="Times New Roman" w:hAnsi="Times New Roman" w:cs="Times New Roman"/>
                <w:kern w:val="0"/>
                <w14:ligatures w14:val="none"/>
              </w:rPr>
              <w:t>.</w:t>
            </w:r>
          </w:p>
        </w:tc>
      </w:tr>
      <w:tr w:rsidR="00992B35" w:rsidRPr="00B9144C" w14:paraId="2D51DECF"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B3CB79A" w14:textId="6F3C0D35" w:rsidR="00992B35" w:rsidRPr="00B9144C" w:rsidRDefault="00A732BF" w:rsidP="00992B35">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Cancer</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335C450B" w14:textId="7B80670F" w:rsidR="00992B35" w:rsidRPr="00B9144C" w:rsidRDefault="00DA1125"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75D19660" w14:textId="30BCB067" w:rsidR="00992B35" w:rsidRPr="00B9144C" w:rsidRDefault="0095542F"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482E9D9" w14:textId="5EEB9C3A" w:rsidR="00992B35" w:rsidRPr="00B9144C" w:rsidRDefault="00DE4DA8"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Based on the </w:t>
            </w:r>
            <w:r w:rsidR="00740637">
              <w:rPr>
                <w:rFonts w:ascii="Times New Roman" w:eastAsia="Times New Roman" w:hAnsi="Times New Roman" w:cs="Times New Roman"/>
                <w:kern w:val="0"/>
                <w14:ligatures w14:val="none"/>
              </w:rPr>
              <w:t>Diagnosis</w:t>
            </w:r>
            <w:r>
              <w:rPr>
                <w:rFonts w:ascii="Times New Roman" w:eastAsia="Times New Roman" w:hAnsi="Times New Roman" w:cs="Times New Roman"/>
                <w:kern w:val="0"/>
                <w14:ligatures w14:val="none"/>
              </w:rPr>
              <w:t xml:space="preserve"> domain </w:t>
            </w:r>
            <w:r w:rsidR="0027233A">
              <w:rPr>
                <w:rFonts w:ascii="Times New Roman" w:eastAsia="Times New Roman" w:hAnsi="Times New Roman" w:cs="Times New Roman"/>
                <w:kern w:val="0"/>
                <w14:ligatures w14:val="none"/>
              </w:rPr>
              <w:t xml:space="preserve">in the past 3 years before </w:t>
            </w:r>
            <w:r w:rsidR="00133C24">
              <w:rPr>
                <w:rFonts w:ascii="Times New Roman" w:eastAsia="Times New Roman" w:hAnsi="Times New Roman" w:cs="Times New Roman"/>
                <w:kern w:val="0"/>
                <w14:ligatures w14:val="none"/>
              </w:rPr>
              <w:t xml:space="preserve">the </w:t>
            </w:r>
            <w:r w:rsidR="0027233A">
              <w:rPr>
                <w:rFonts w:ascii="Times New Roman" w:eastAsia="Times New Roman" w:hAnsi="Times New Roman" w:cs="Times New Roman"/>
                <w:kern w:val="0"/>
                <w14:ligatures w14:val="none"/>
              </w:rPr>
              <w:t>index</w:t>
            </w:r>
          </w:p>
        </w:tc>
      </w:tr>
      <w:tr w:rsidR="00992B35" w:rsidRPr="00B9144C" w14:paraId="135B1546"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38DD6EC9" w14:textId="6FD89A6A" w:rsidR="00992B35" w:rsidRPr="00B9144C" w:rsidRDefault="00A732BF" w:rsidP="00992B35">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Chronic kidney disease</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21EFE8B7" w14:textId="2169FF4C" w:rsidR="00992B35" w:rsidRPr="00B9144C" w:rsidRDefault="0095542F"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BBF8A34" w14:textId="2A7A5DE3" w:rsidR="00992B35" w:rsidRPr="00B9144C" w:rsidRDefault="000009EA"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4E259893" w14:textId="42DB94CE" w:rsidR="00992B35" w:rsidRPr="00B9144C" w:rsidRDefault="00767996"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992B35" w:rsidRPr="00B9144C" w14:paraId="18340CD4"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284BD80D" w14:textId="0B8D11DD" w:rsidR="00992B35" w:rsidRPr="00B9144C" w:rsidRDefault="00A732BF" w:rsidP="00992B35">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Chronic liver disease</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0AC385A" w14:textId="40014304" w:rsidR="00992B35" w:rsidRPr="00B9144C" w:rsidRDefault="0095542F"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69FA8F10" w14:textId="1DB0FB4F" w:rsidR="00992B35" w:rsidRPr="00B9144C" w:rsidRDefault="000009EA"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4C4F45C2" w14:textId="731C77F2" w:rsidR="00992B35" w:rsidRPr="00B9144C" w:rsidRDefault="00767996" w:rsidP="00992B35">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67996" w:rsidRPr="00B9144C" w14:paraId="3C45EE7F"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FDCE354" w14:textId="46C377F0" w:rsidR="00767996" w:rsidRPr="00B9144C" w:rsidRDefault="00767996" w:rsidP="00767996">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Chronic lung disease</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7809DDD6" w14:textId="0B68816C"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2D905028" w14:textId="2C0DA3EB"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45FDA49" w14:textId="01DA21E1"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67996" w:rsidRPr="00B9144C" w14:paraId="201BCC7D"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61DB5F04" w14:textId="38186F7F" w:rsidR="00767996" w:rsidRPr="00B9144C" w:rsidRDefault="00767996" w:rsidP="00767996">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Cystic fibrosis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37D91756" w14:textId="25B55ADC"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1E6113E3" w14:textId="27D0911F"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D44B68C" w14:textId="73C3D618"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67996" w:rsidRPr="00B9144C" w14:paraId="4A67CE6F"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658090A7" w14:textId="11866568" w:rsidR="00767996" w:rsidRPr="00B9144C" w:rsidRDefault="00767996" w:rsidP="00767996">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Dementia or other neurological conditions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103A4E2F" w14:textId="59006C64"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27D609B0" w14:textId="2B1D19E5"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593E69A5" w14:textId="7927CAE0"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67996" w:rsidRPr="00B9144C" w14:paraId="06766E20"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B675CF5" w14:textId="250D1530" w:rsidR="00767996" w:rsidRPr="00B9144C" w:rsidRDefault="00767996" w:rsidP="00767996">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Diabetes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1765D44F" w14:textId="2B31AB27"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388EA21B" w14:textId="5437405C"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52EDC39E" w14:textId="77D03717"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67996" w:rsidRPr="00B9144C" w14:paraId="454B67A5"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86B806B" w14:textId="0E865909" w:rsidR="00767996" w:rsidRPr="00B9144C" w:rsidRDefault="00767996" w:rsidP="00767996">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Disabilities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1F2A4497" w14:textId="5B9B5037"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339625C7" w14:textId="582B155F"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223423BA" w14:textId="440E9030"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67996" w:rsidRPr="00B9144C" w14:paraId="64646E07"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78D3ECF2" w14:textId="336C0018" w:rsidR="00767996" w:rsidRPr="00B9144C" w:rsidRDefault="00767996" w:rsidP="00767996">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Heart conditions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7535EF1B" w14:textId="32A5924E"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3122CDEE" w14:textId="74C5CAF9"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F42E553" w14:textId="1D29E371"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67996" w:rsidRPr="00B9144C" w14:paraId="423D2357"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7BDDEA51" w14:textId="6AE981A3" w:rsidR="00767996" w:rsidRPr="00B9144C" w:rsidRDefault="00767996" w:rsidP="00767996">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Hypertension</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B731539" w14:textId="2B034E86"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5901DF7B" w14:textId="63CA4CC1"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37E75F3B" w14:textId="1314EA05"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67996" w:rsidRPr="00B9144C" w14:paraId="6A59C882"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14:paraId="4CA3FF5A" w14:textId="1D735061" w:rsidR="00767996" w:rsidRPr="00A732BF"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Pregnant</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tcPr>
          <w:p w14:paraId="4A87EFA5" w14:textId="4A35268A"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tcPr>
          <w:p w14:paraId="5C015F83" w14:textId="5547899F"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tcPr>
          <w:p w14:paraId="3BBA04E0" w14:textId="789FAF70"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Procedures domain, and Encounter domain</w:t>
            </w:r>
            <w:r w:rsidR="00B85548">
              <w:rPr>
                <w:rFonts w:ascii="Times New Roman" w:eastAsia="Times New Roman" w:hAnsi="Times New Roman" w:cs="Times New Roman"/>
                <w:kern w:val="0"/>
                <w14:ligatures w14:val="none"/>
              </w:rPr>
              <w:t>, the index date was required in the gestational period before the delivery event.</w:t>
            </w:r>
          </w:p>
        </w:tc>
      </w:tr>
      <w:tr w:rsidR="00767996" w:rsidRPr="00B9144C" w14:paraId="05B5B0F5"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3E819054" w14:textId="7DFD7D87" w:rsidR="00767996" w:rsidRPr="00B9144C" w:rsidRDefault="00767996" w:rsidP="00767996">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lastRenderedPageBreak/>
              <w:t>HIV infection</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B8ACA8C" w14:textId="3506B1C6"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66892324" w14:textId="2096D949"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36160474" w14:textId="0CB49FF3" w:rsidR="00767996" w:rsidRPr="00B9144C" w:rsidRDefault="00767996" w:rsidP="0076799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B85548" w:rsidRPr="00B9144C" w14:paraId="18979A2A"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2652602D" w14:textId="48CE8EE9" w:rsidR="00B85548" w:rsidRPr="00B9144C" w:rsidRDefault="00B85548" w:rsidP="00B85548">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Immune dysfunction</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41406887" w14:textId="05D9B2F7"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5EF6D623" w14:textId="425ED8B4"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3E81E76A" w14:textId="190C6101"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Prescribing domain, Dispensing domain, and Administered Medications domain in the past 3 years before the index</w:t>
            </w:r>
          </w:p>
        </w:tc>
      </w:tr>
      <w:tr w:rsidR="00B85548" w:rsidRPr="00B9144C" w14:paraId="11D73EDE"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B01E9C5" w14:textId="6DC035F9" w:rsidR="00B85548" w:rsidRPr="00B9144C" w:rsidRDefault="00B85548" w:rsidP="00B85548">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Mental health conditions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6371D9FF" w14:textId="7CA7C469"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21C4E4A7" w14:textId="54F736C0"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984AC6B" w14:textId="403894DE"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B85548" w:rsidRPr="00B9144C" w14:paraId="6F3E1821"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99394C2" w14:textId="2E5C4AFE" w:rsidR="00B85548" w:rsidRPr="00B9144C" w:rsidRDefault="00B85548" w:rsidP="00B85548">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Overweight and obesity</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7DBE7C3D" w14:textId="6B4B9F0E"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FB11EFB" w14:textId="10F48023"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8FE4F8A" w14:textId="3C970061"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w:t>
            </w:r>
            <w:r w:rsidR="00107CD1">
              <w:rPr>
                <w:rFonts w:ascii="Times New Roman" w:eastAsia="Times New Roman" w:hAnsi="Times New Roman" w:cs="Times New Roman"/>
                <w:kern w:val="0"/>
                <w14:ligatures w14:val="none"/>
              </w:rPr>
              <w:t xml:space="preserve"> </w:t>
            </w:r>
            <w:r w:rsidR="00B01B6B">
              <w:rPr>
                <w:rFonts w:ascii="Times New Roman" w:eastAsia="Times New Roman" w:hAnsi="Times New Roman" w:cs="Times New Roman"/>
                <w:kern w:val="0"/>
                <w14:ligatures w14:val="none"/>
              </w:rPr>
              <w:t xml:space="preserve">the past 3 years before the index </w:t>
            </w:r>
            <w:r w:rsidR="00107CD1">
              <w:rPr>
                <w:rFonts w:ascii="Times New Roman" w:eastAsia="Times New Roman" w:hAnsi="Times New Roman" w:cs="Times New Roman"/>
                <w:kern w:val="0"/>
                <w14:ligatures w14:val="none"/>
              </w:rPr>
              <w:t>and the most recen</w:t>
            </w:r>
            <w:r w:rsidR="00B01B6B">
              <w:rPr>
                <w:rFonts w:ascii="Times New Roman" w:eastAsia="Times New Roman" w:hAnsi="Times New Roman" w:cs="Times New Roman"/>
                <w:kern w:val="0"/>
                <w14:ligatures w14:val="none"/>
              </w:rPr>
              <w:t>t</w:t>
            </w:r>
            <w:r w:rsidR="00107CD1">
              <w:rPr>
                <w:rFonts w:ascii="Times New Roman" w:eastAsia="Times New Roman" w:hAnsi="Times New Roman" w:cs="Times New Roman"/>
                <w:kern w:val="0"/>
                <w14:ligatures w14:val="none"/>
              </w:rPr>
              <w:t xml:space="preserve"> record in the Vital domain</w:t>
            </w:r>
            <w:r>
              <w:rPr>
                <w:rFonts w:ascii="Times New Roman" w:eastAsia="Times New Roman" w:hAnsi="Times New Roman" w:cs="Times New Roman"/>
                <w:kern w:val="0"/>
                <w14:ligatures w14:val="none"/>
              </w:rPr>
              <w:t xml:space="preserve"> in </w:t>
            </w:r>
          </w:p>
        </w:tc>
      </w:tr>
      <w:tr w:rsidR="00B85548" w:rsidRPr="00B9144C" w14:paraId="5D12323B"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3C309044" w14:textId="33EDDE15" w:rsidR="00B85548" w:rsidRPr="00B9144C" w:rsidRDefault="00B85548" w:rsidP="00B85548">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Sickle cell disease or thalassemia</w:t>
            </w:r>
            <w:r w:rsidR="00886172">
              <w:rPr>
                <w:rFonts w:ascii="Times New Roman" w:eastAsia="Times New Roman" w:hAnsi="Times New Roman" w:cs="Times New Roman"/>
                <w:kern w:val="0"/>
                <w14:ligatures w14:val="none"/>
              </w:rPr>
              <w:t xml:space="preserve"> or anemia</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2E1B584C" w14:textId="19B71038"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6A171C0C" w14:textId="47A43B3B"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39BDA4B" w14:textId="2FD0F381"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B85548" w:rsidRPr="00B9144C" w14:paraId="7616EFC6"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1E1DEA1C" w14:textId="154A4453" w:rsidR="00B85548" w:rsidRPr="00B9144C" w:rsidRDefault="00B85548" w:rsidP="00B85548">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Smoking current or former</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7CAB047E" w14:textId="51DD5CE6"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47D84B30" w14:textId="7B6E3B3F"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4FC93C30" w14:textId="5C7ECE5D" w:rsidR="00B85548" w:rsidRPr="00B9144C" w:rsidRDefault="00B85548" w:rsidP="00B8554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Based on the </w:t>
            </w:r>
            <w:r w:rsidR="001B266C">
              <w:rPr>
                <w:rFonts w:ascii="Times New Roman" w:eastAsia="Times New Roman" w:hAnsi="Times New Roman" w:cs="Times New Roman"/>
                <w:kern w:val="0"/>
                <w14:ligatures w14:val="none"/>
              </w:rPr>
              <w:t xml:space="preserve">most recent record in the </w:t>
            </w:r>
            <w:r>
              <w:rPr>
                <w:rFonts w:ascii="Times New Roman" w:eastAsia="Times New Roman" w:hAnsi="Times New Roman" w:cs="Times New Roman"/>
                <w:kern w:val="0"/>
                <w14:ligatures w14:val="none"/>
              </w:rPr>
              <w:t>Vital domain</w:t>
            </w:r>
          </w:p>
        </w:tc>
      </w:tr>
      <w:tr w:rsidR="00AB7B5A" w:rsidRPr="00B9144C" w14:paraId="4DC72C6B"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68F9862C" w14:textId="6E2B36C3" w:rsidR="00AB7B5A" w:rsidRPr="00B9144C" w:rsidRDefault="00AB7B5A" w:rsidP="00AB7B5A">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Stroke or cerebrovascular disease</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479D40F1" w14:textId="7F0B991E"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76D13A29" w14:textId="74B7E253"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53B12437" w14:textId="7983826B"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AB7B5A" w:rsidRPr="00B9144C" w14:paraId="6F223F8F"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6CFFE7ED" w14:textId="6A24FD49" w:rsidR="00AB7B5A" w:rsidRPr="00B9144C" w:rsidRDefault="00AB7B5A" w:rsidP="00AB7B5A">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Substance use disorders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30714DE2" w14:textId="12B191A3"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05C5A867" w14:textId="0D5329D7"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ADA2DF8" w14:textId="4BD37CA3"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AB7B5A" w:rsidRPr="00B9144C" w14:paraId="7FDFAF58"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0FED4132" w14:textId="70C67647" w:rsidR="00AB7B5A" w:rsidRPr="00B9144C" w:rsidRDefault="00AB7B5A" w:rsidP="00AB7B5A">
            <w:pPr>
              <w:spacing w:after="0" w:line="240" w:lineRule="auto"/>
              <w:rPr>
                <w:rFonts w:ascii="Times New Roman" w:eastAsia="Times New Roman" w:hAnsi="Times New Roman" w:cs="Times New Roman"/>
                <w:kern w:val="0"/>
                <w14:ligatures w14:val="none"/>
              </w:rPr>
            </w:pPr>
            <w:r w:rsidRPr="00A732BF">
              <w:rPr>
                <w:rFonts w:ascii="Times New Roman" w:eastAsia="Times New Roman" w:hAnsi="Times New Roman" w:cs="Times New Roman"/>
                <w:kern w:val="0"/>
                <w14:ligatures w14:val="none"/>
              </w:rPr>
              <w:t>Tuberculosis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1BEAD28A" w14:textId="0ADBCB53"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1A9BB487" w14:textId="4C25FA45"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626961F4" w14:textId="6DD595C1"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AB7B5A" w:rsidRPr="00B9144C" w14:paraId="4445D6FF"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4356BDC7" w14:textId="1E508A90"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Severe liver disease</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71BB4A0A" w14:textId="08376D30"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39145E2A" w14:textId="51648C73"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5D6D46E6" w14:textId="313CA99E"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AB7B5A" w:rsidRPr="00B9144C" w14:paraId="1BF6A50A"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hideMark/>
          </w:tcPr>
          <w:p w14:paraId="4655CEA0" w14:textId="2E487E19"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Severe kidney disease or on</w:t>
            </w:r>
            <w:r w:rsidRPr="00F17BA1">
              <w:rPr>
                <w:rFonts w:ascii="Times New Roman" w:eastAsia="Times New Roman" w:hAnsi="Times New Roman" w:cs="Times New Roman"/>
                <w:kern w:val="0"/>
                <w14:ligatures w14:val="none"/>
              </w:rPr>
              <w:t xml:space="preserve"> dialysis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hideMark/>
          </w:tcPr>
          <w:p w14:paraId="64E4AFBB" w14:textId="6067127C"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hideMark/>
          </w:tcPr>
          <w:p w14:paraId="34369072" w14:textId="6D3D120F"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hideMark/>
          </w:tcPr>
          <w:p w14:paraId="2C503464" w14:textId="285C0F59" w:rsidR="00AB7B5A" w:rsidRPr="00B9144C" w:rsidRDefault="00AB7B5A" w:rsidP="00AB7B5A">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and Procedures domain in the past 3 years before the index</w:t>
            </w:r>
          </w:p>
        </w:tc>
      </w:tr>
      <w:tr w:rsidR="00754CB6" w:rsidRPr="00B9144C" w14:paraId="174BA889"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14:paraId="73EDABC9" w14:textId="5569A9E7" w:rsidR="00754CB6" w:rsidRDefault="00754CB6" w:rsidP="00754CB6">
            <w:pPr>
              <w:spacing w:after="0" w:line="240" w:lineRule="auto"/>
              <w:rPr>
                <w:rFonts w:ascii="Times New Roman" w:eastAsia="Times New Roman" w:hAnsi="Times New Roman" w:cs="Times New Roman"/>
                <w:kern w:val="0"/>
                <w14:ligatures w14:val="none"/>
              </w:rPr>
            </w:pPr>
            <w:r w:rsidRPr="008B6484">
              <w:rPr>
                <w:rFonts w:ascii="Times New Roman" w:eastAsia="Times New Roman" w:hAnsi="Times New Roman" w:cs="Times New Roman"/>
                <w:kern w:val="0"/>
                <w14:ligatures w14:val="none"/>
              </w:rPr>
              <w:t>Coagulopathy</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tcPr>
          <w:p w14:paraId="7FE4365A" w14:textId="383D64BF"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tcPr>
          <w:p w14:paraId="71061B7F" w14:textId="264ED086"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tcPr>
          <w:p w14:paraId="1259BA45" w14:textId="4A9C1D95"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54CB6" w:rsidRPr="00B9144C" w14:paraId="7835EFFA"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14:paraId="66B5C6CB" w14:textId="3109F6B7" w:rsidR="00754CB6" w:rsidRDefault="00754CB6" w:rsidP="00754CB6">
            <w:pPr>
              <w:spacing w:after="0" w:line="240" w:lineRule="auto"/>
              <w:rPr>
                <w:rFonts w:ascii="Times New Roman" w:eastAsia="Times New Roman" w:hAnsi="Times New Roman" w:cs="Times New Roman"/>
                <w:kern w:val="0"/>
                <w14:ligatures w14:val="none"/>
              </w:rPr>
            </w:pPr>
            <w:r w:rsidRPr="008B6484">
              <w:rPr>
                <w:rFonts w:ascii="Times New Roman" w:eastAsia="Times New Roman" w:hAnsi="Times New Roman" w:cs="Times New Roman"/>
                <w:kern w:val="0"/>
                <w14:ligatures w14:val="none"/>
              </w:rPr>
              <w:t>Peripheral vascular disorders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tcPr>
          <w:p w14:paraId="66983A67" w14:textId="5C060B95"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tcPr>
          <w:p w14:paraId="79056764" w14:textId="6EF739DA"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tcPr>
          <w:p w14:paraId="5F5C6FB2" w14:textId="3B62795A"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54CB6" w:rsidRPr="00B9144C" w14:paraId="2AEE7F54"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14:paraId="280E2162" w14:textId="0ED981A4" w:rsidR="00754CB6" w:rsidRDefault="00754CB6" w:rsidP="00754CB6">
            <w:pPr>
              <w:spacing w:after="0" w:line="240" w:lineRule="auto"/>
              <w:rPr>
                <w:rFonts w:ascii="Times New Roman" w:eastAsia="Times New Roman" w:hAnsi="Times New Roman" w:cs="Times New Roman"/>
                <w:kern w:val="0"/>
                <w14:ligatures w14:val="none"/>
              </w:rPr>
            </w:pPr>
            <w:r w:rsidRPr="008B6484">
              <w:rPr>
                <w:rFonts w:ascii="Times New Roman" w:eastAsia="Times New Roman" w:hAnsi="Times New Roman" w:cs="Times New Roman"/>
                <w:kern w:val="0"/>
                <w14:ligatures w14:val="none"/>
              </w:rPr>
              <w:t>Seizure</w:t>
            </w:r>
            <w:r>
              <w:rPr>
                <w:rFonts w:ascii="Times New Roman" w:eastAsia="Times New Roman" w:hAnsi="Times New Roman" w:cs="Times New Roman"/>
                <w:kern w:val="0"/>
                <w14:ligatures w14:val="none"/>
              </w:rPr>
              <w:t xml:space="preserve"> or </w:t>
            </w:r>
            <w:r w:rsidRPr="008B6484">
              <w:rPr>
                <w:rFonts w:ascii="Times New Roman" w:eastAsia="Times New Roman" w:hAnsi="Times New Roman" w:cs="Times New Roman"/>
                <w:kern w:val="0"/>
                <w14:ligatures w14:val="none"/>
              </w:rPr>
              <w:t>Epilepsy</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tcPr>
          <w:p w14:paraId="41237EE0" w14:textId="511A0AA7"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tcPr>
          <w:p w14:paraId="09C71BCA" w14:textId="6F17898C"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tcPr>
          <w:p w14:paraId="3681C1A4" w14:textId="38398F55"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54CB6" w:rsidRPr="00B9144C" w14:paraId="218E3CA3"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14:paraId="2E73FFE9" w14:textId="1B86AFC1" w:rsidR="00754CB6" w:rsidRDefault="00754CB6" w:rsidP="00754CB6">
            <w:pPr>
              <w:spacing w:after="0" w:line="240" w:lineRule="auto"/>
              <w:rPr>
                <w:rFonts w:ascii="Times New Roman" w:eastAsia="Times New Roman" w:hAnsi="Times New Roman" w:cs="Times New Roman"/>
                <w:kern w:val="0"/>
                <w14:ligatures w14:val="none"/>
              </w:rPr>
            </w:pPr>
            <w:r w:rsidRPr="008610CA">
              <w:rPr>
                <w:rFonts w:ascii="Times New Roman" w:eastAsia="Times New Roman" w:hAnsi="Times New Roman" w:cs="Times New Roman"/>
                <w:kern w:val="0"/>
                <w14:ligatures w14:val="none"/>
              </w:rPr>
              <w:t>Weight Loss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tcPr>
          <w:p w14:paraId="332D65D6" w14:textId="34263A74"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tcPr>
          <w:p w14:paraId="6FA89490" w14:textId="399D45BD"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tcPr>
          <w:p w14:paraId="31583FA4" w14:textId="18BFDC4B"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54CB6" w:rsidRPr="00B9144C" w14:paraId="250FE117"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14:paraId="79E2979C" w14:textId="219FDB91" w:rsidR="00754CB6" w:rsidRDefault="00754CB6" w:rsidP="00754CB6">
            <w:pPr>
              <w:spacing w:after="0" w:line="240" w:lineRule="auto"/>
              <w:rPr>
                <w:rFonts w:ascii="Times New Roman" w:eastAsia="Times New Roman" w:hAnsi="Times New Roman" w:cs="Times New Roman"/>
                <w:kern w:val="0"/>
                <w14:ligatures w14:val="none"/>
              </w:rPr>
            </w:pPr>
            <w:r w:rsidRPr="008610CA">
              <w:rPr>
                <w:rFonts w:ascii="Times New Roman" w:eastAsia="Times New Roman" w:hAnsi="Times New Roman" w:cs="Times New Roman"/>
                <w:kern w:val="0"/>
                <w14:ligatures w14:val="none"/>
              </w:rPr>
              <w:t>Obstructive sleep apnea</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tcPr>
          <w:p w14:paraId="04DF41DF" w14:textId="58EABABE"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tcPr>
          <w:p w14:paraId="03EEC7C8" w14:textId="400AE4A3"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tcPr>
          <w:p w14:paraId="7A72E6DF" w14:textId="7262B399"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54CB6" w:rsidRPr="00B9144C" w14:paraId="1E666140"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14:paraId="388CC06B" w14:textId="2E31433A" w:rsidR="00754CB6" w:rsidRDefault="00754CB6" w:rsidP="00754CB6">
            <w:pPr>
              <w:spacing w:after="0" w:line="240" w:lineRule="auto"/>
              <w:rPr>
                <w:rFonts w:ascii="Times New Roman" w:eastAsia="Times New Roman" w:hAnsi="Times New Roman" w:cs="Times New Roman"/>
                <w:kern w:val="0"/>
                <w14:ligatures w14:val="none"/>
              </w:rPr>
            </w:pPr>
            <w:r w:rsidRPr="008610CA">
              <w:rPr>
                <w:rFonts w:ascii="Times New Roman" w:eastAsia="Times New Roman" w:hAnsi="Times New Roman" w:cs="Times New Roman"/>
                <w:kern w:val="0"/>
                <w14:ligatures w14:val="none"/>
              </w:rPr>
              <w:t>Epstein-Barr and Infectious Mononucleosis</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tcPr>
          <w:p w14:paraId="0ABE9FCB" w14:textId="56170C89"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tcPr>
          <w:p w14:paraId="4E04D6D5" w14:textId="4D48BBCF"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tcPr>
          <w:p w14:paraId="2AB28A0A" w14:textId="3EFD4C81"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and Lab results domain in the past 3 years before the index</w:t>
            </w:r>
          </w:p>
        </w:tc>
      </w:tr>
      <w:tr w:rsidR="00754CB6" w:rsidRPr="00B9144C" w14:paraId="61158DA5"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14:paraId="21E97433" w14:textId="18522D0F" w:rsidR="00754CB6" w:rsidRDefault="00754CB6" w:rsidP="00754CB6">
            <w:pPr>
              <w:spacing w:after="0" w:line="240" w:lineRule="auto"/>
              <w:rPr>
                <w:rFonts w:ascii="Times New Roman" w:eastAsia="Times New Roman" w:hAnsi="Times New Roman" w:cs="Times New Roman"/>
                <w:kern w:val="0"/>
                <w14:ligatures w14:val="none"/>
              </w:rPr>
            </w:pPr>
            <w:r w:rsidRPr="008610CA">
              <w:rPr>
                <w:rFonts w:ascii="Times New Roman" w:eastAsia="Times New Roman" w:hAnsi="Times New Roman" w:cs="Times New Roman"/>
                <w:kern w:val="0"/>
                <w14:ligatures w14:val="none"/>
              </w:rPr>
              <w:t>Herpes Zoster</w:t>
            </w: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tcPr>
          <w:p w14:paraId="141B8D04" w14:textId="75AA328F"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Indicator</w:t>
            </w: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tcPr>
          <w:p w14:paraId="7FFD86AD" w14:textId="1D62990E"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Yes/No</w:t>
            </w: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tcPr>
          <w:p w14:paraId="3C248BD7" w14:textId="6E66954E" w:rsidR="00754CB6" w:rsidRDefault="00754CB6" w:rsidP="00754CB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Based on the Diagnosis domain in the past 3 years before the index</w:t>
            </w:r>
          </w:p>
        </w:tc>
      </w:tr>
      <w:tr w:rsidR="00754CB6" w:rsidRPr="00B9144C" w14:paraId="0BD4A5ED" w14:textId="77777777" w:rsidTr="004A1220">
        <w:trPr>
          <w:trHeight w:val="300"/>
        </w:trPr>
        <w:tc>
          <w:tcPr>
            <w:tcW w:w="1435" w:type="dxa"/>
            <w:tcBorders>
              <w:top w:val="single" w:sz="4" w:space="0" w:color="000000"/>
              <w:left w:val="single" w:sz="4" w:space="0" w:color="000000"/>
              <w:bottom w:val="single" w:sz="4" w:space="0" w:color="000000"/>
              <w:right w:val="single" w:sz="4" w:space="0" w:color="000000"/>
            </w:tcBorders>
            <w:shd w:val="clear" w:color="auto" w:fill="auto"/>
            <w:noWrap/>
          </w:tcPr>
          <w:p w14:paraId="19AD5D2A" w14:textId="77777777" w:rsidR="00754CB6" w:rsidRDefault="00754CB6" w:rsidP="00754CB6">
            <w:pPr>
              <w:spacing w:after="0" w:line="240" w:lineRule="auto"/>
              <w:rPr>
                <w:rFonts w:ascii="Times New Roman" w:eastAsia="Times New Roman" w:hAnsi="Times New Roman" w:cs="Times New Roman"/>
                <w:kern w:val="0"/>
                <w14:ligatures w14:val="none"/>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noWrap/>
          </w:tcPr>
          <w:p w14:paraId="2ADBC915" w14:textId="2D17D1DD" w:rsidR="00754CB6" w:rsidRDefault="00754CB6" w:rsidP="00754CB6">
            <w:pPr>
              <w:spacing w:after="0" w:line="240" w:lineRule="auto"/>
              <w:rPr>
                <w:rFonts w:ascii="Times New Roman" w:eastAsia="Times New Roman" w:hAnsi="Times New Roman" w:cs="Times New Roman"/>
                <w:kern w:val="0"/>
                <w14:ligatures w14:val="none"/>
              </w:rPr>
            </w:pPr>
          </w:p>
        </w:tc>
        <w:tc>
          <w:tcPr>
            <w:tcW w:w="2520" w:type="dxa"/>
            <w:tcBorders>
              <w:top w:val="single" w:sz="4" w:space="0" w:color="000000"/>
              <w:left w:val="single" w:sz="4" w:space="0" w:color="000000"/>
              <w:bottom w:val="single" w:sz="4" w:space="0" w:color="000000"/>
              <w:right w:val="single" w:sz="4" w:space="0" w:color="000000"/>
            </w:tcBorders>
            <w:shd w:val="clear" w:color="auto" w:fill="auto"/>
            <w:noWrap/>
          </w:tcPr>
          <w:p w14:paraId="4CBE06A4" w14:textId="5A87F6E7" w:rsidR="00754CB6" w:rsidRDefault="00754CB6" w:rsidP="00754CB6">
            <w:pPr>
              <w:spacing w:after="0" w:line="240" w:lineRule="auto"/>
              <w:rPr>
                <w:rFonts w:ascii="Times New Roman" w:eastAsia="Times New Roman" w:hAnsi="Times New Roman" w:cs="Times New Roman"/>
                <w:kern w:val="0"/>
                <w14:ligatures w14:val="none"/>
              </w:rPr>
            </w:pPr>
          </w:p>
        </w:tc>
        <w:tc>
          <w:tcPr>
            <w:tcW w:w="3955" w:type="dxa"/>
            <w:tcBorders>
              <w:top w:val="single" w:sz="4" w:space="0" w:color="000000"/>
              <w:left w:val="single" w:sz="4" w:space="0" w:color="000000"/>
              <w:bottom w:val="single" w:sz="4" w:space="0" w:color="000000"/>
              <w:right w:val="single" w:sz="4" w:space="0" w:color="000000"/>
            </w:tcBorders>
            <w:shd w:val="clear" w:color="auto" w:fill="auto"/>
            <w:noWrap/>
          </w:tcPr>
          <w:p w14:paraId="31119D84" w14:textId="77777777" w:rsidR="00754CB6" w:rsidRDefault="00754CB6" w:rsidP="00754CB6">
            <w:pPr>
              <w:spacing w:after="0" w:line="240" w:lineRule="auto"/>
              <w:rPr>
                <w:rFonts w:ascii="Times New Roman" w:eastAsia="Times New Roman" w:hAnsi="Times New Roman" w:cs="Times New Roman"/>
                <w:kern w:val="0"/>
                <w14:ligatures w14:val="none"/>
              </w:rPr>
            </w:pPr>
          </w:p>
        </w:tc>
      </w:tr>
    </w:tbl>
    <w:p w14:paraId="601CB6B4" w14:textId="3993DC04" w:rsidR="00D2757B" w:rsidRDefault="00D2757B" w:rsidP="008122D0">
      <w:pPr>
        <w:jc w:val="both"/>
        <w:rPr>
          <w:rStyle w:val="Hyperlink"/>
          <w:rFonts w:ascii="Times New Roman" w:hAnsi="Times New Roman" w:cs="Times New Roman"/>
          <w:sz w:val="24"/>
          <w:szCs w:val="24"/>
        </w:rPr>
      </w:pPr>
      <w:r>
        <w:rPr>
          <w:rFonts w:ascii="Times New Roman" w:hAnsi="Times New Roman" w:cs="Times New Roman"/>
          <w:sz w:val="24"/>
          <w:szCs w:val="24"/>
        </w:rPr>
        <w:lastRenderedPageBreak/>
        <w:t xml:space="preserve">a. See the specification of </w:t>
      </w:r>
      <w:proofErr w:type="spellStart"/>
      <w:r>
        <w:rPr>
          <w:rFonts w:ascii="Times New Roman" w:hAnsi="Times New Roman" w:cs="Times New Roman"/>
          <w:sz w:val="24"/>
          <w:szCs w:val="24"/>
        </w:rPr>
        <w:t>PCORNet</w:t>
      </w:r>
      <w:proofErr w:type="spellEnd"/>
      <w:r>
        <w:rPr>
          <w:rFonts w:ascii="Times New Roman" w:hAnsi="Times New Roman" w:cs="Times New Roman"/>
          <w:sz w:val="24"/>
          <w:szCs w:val="24"/>
        </w:rPr>
        <w:t xml:space="preserve"> common data model and domains at </w:t>
      </w:r>
      <w:hyperlink r:id="rId19" w:history="1">
        <w:r w:rsidR="008122D0" w:rsidRPr="009958A1">
          <w:rPr>
            <w:rStyle w:val="Hyperlink"/>
            <w:rFonts w:ascii="Times New Roman" w:hAnsi="Times New Roman" w:cs="Times New Roman"/>
            <w:sz w:val="24"/>
            <w:szCs w:val="24"/>
          </w:rPr>
          <w:t>https://pcornet.org/data/</w:t>
        </w:r>
      </w:hyperlink>
    </w:p>
    <w:p w14:paraId="0E023B5D" w14:textId="2D93CD79" w:rsidR="008244A8" w:rsidRDefault="008244A8">
      <w:pPr>
        <w:rPr>
          <w:rFonts w:ascii="Times New Roman" w:hAnsi="Times New Roman" w:cs="Times New Roman"/>
          <w:sz w:val="24"/>
          <w:szCs w:val="24"/>
        </w:rPr>
      </w:pPr>
      <w:r>
        <w:rPr>
          <w:rFonts w:ascii="Times New Roman" w:hAnsi="Times New Roman" w:cs="Times New Roman"/>
          <w:sz w:val="24"/>
          <w:szCs w:val="24"/>
        </w:rPr>
        <w:br w:type="page"/>
      </w:r>
    </w:p>
    <w:p w14:paraId="410C7453" w14:textId="77777777" w:rsidR="008244A8" w:rsidRDefault="008244A8" w:rsidP="008122D0">
      <w:pPr>
        <w:jc w:val="both"/>
        <w:rPr>
          <w:rFonts w:ascii="Times New Roman" w:hAnsi="Times New Roman" w:cs="Times New Roman"/>
          <w:sz w:val="24"/>
          <w:szCs w:val="24"/>
        </w:rPr>
        <w:sectPr w:rsidR="008244A8" w:rsidSect="00431764">
          <w:pgSz w:w="12240" w:h="15840"/>
          <w:pgMar w:top="1440" w:right="1440" w:bottom="1440" w:left="1440" w:header="720" w:footer="720" w:gutter="0"/>
          <w:cols w:space="720"/>
          <w:docGrid w:linePitch="360"/>
        </w:sectPr>
      </w:pPr>
    </w:p>
    <w:p w14:paraId="352C93C6" w14:textId="4A243AB4" w:rsidR="0000300F" w:rsidRPr="00495E6E" w:rsidRDefault="00495E6E" w:rsidP="00495E6E">
      <w:pPr>
        <w:pStyle w:val="Heading1"/>
        <w:spacing w:line="480" w:lineRule="auto"/>
        <w:rPr>
          <w:rFonts w:ascii="Times New Roman" w:hAnsi="Times New Roman" w:cs="Times New Roman"/>
          <w:b/>
          <w:bCs/>
          <w:color w:val="000000" w:themeColor="text1"/>
          <w:sz w:val="28"/>
          <w:szCs w:val="28"/>
        </w:rPr>
      </w:pPr>
      <w:r w:rsidRPr="005A1D2F">
        <w:rPr>
          <w:rFonts w:ascii="Times New Roman" w:hAnsi="Times New Roman" w:cs="Times New Roman"/>
          <w:b/>
          <w:bCs/>
          <w:color w:val="000000" w:themeColor="text1"/>
          <w:sz w:val="28"/>
          <w:szCs w:val="28"/>
        </w:rPr>
        <w:lastRenderedPageBreak/>
        <w:t>Table S</w:t>
      </w:r>
      <w:r>
        <w:rPr>
          <w:rFonts w:ascii="Times New Roman" w:hAnsi="Times New Roman" w:cs="Times New Roman"/>
          <w:b/>
          <w:bCs/>
          <w:color w:val="000000" w:themeColor="text1"/>
          <w:sz w:val="28"/>
          <w:szCs w:val="28"/>
        </w:rPr>
        <w:t>3</w:t>
      </w:r>
      <w:r w:rsidRPr="005A1D2F">
        <w:rPr>
          <w:rFonts w:ascii="Times New Roman" w:hAnsi="Times New Roman" w:cs="Times New Roman"/>
          <w:b/>
          <w:bCs/>
          <w:color w:val="000000" w:themeColor="text1"/>
          <w:sz w:val="28"/>
          <w:szCs w:val="28"/>
        </w:rPr>
        <w:t xml:space="preserve">. </w:t>
      </w:r>
      <w:r w:rsidR="004005B0">
        <w:rPr>
          <w:rFonts w:ascii="Times New Roman" w:hAnsi="Times New Roman" w:cs="Times New Roman"/>
          <w:b/>
          <w:bCs/>
          <w:color w:val="000000" w:themeColor="text1"/>
          <w:sz w:val="28"/>
          <w:szCs w:val="28"/>
        </w:rPr>
        <w:t>Sensitivity analysis of comparing primary results with bootstrapping results and percentile-based 95% confidence intervals for the risks and risk reductions.</w:t>
      </w:r>
      <w:r w:rsidR="00046FCA">
        <w:rPr>
          <w:rFonts w:ascii="Times New Roman" w:hAnsi="Times New Roman" w:cs="Times New Roman"/>
          <w:b/>
          <w:bCs/>
          <w:color w:val="000000" w:themeColor="text1"/>
          <w:sz w:val="28"/>
          <w:szCs w:val="28"/>
        </w:rPr>
        <w:t xml:space="preserve"> </w:t>
      </w:r>
    </w:p>
    <w:tbl>
      <w:tblPr>
        <w:tblW w:w="0" w:type="auto"/>
        <w:tblLayout w:type="fixed"/>
        <w:tblLook w:val="04A0" w:firstRow="1" w:lastRow="0" w:firstColumn="1" w:lastColumn="0" w:noHBand="0" w:noVBand="1"/>
      </w:tblPr>
      <w:tblGrid>
        <w:gridCol w:w="1685"/>
        <w:gridCol w:w="1603"/>
        <w:gridCol w:w="1604"/>
        <w:gridCol w:w="1501"/>
        <w:gridCol w:w="924"/>
        <w:gridCol w:w="1604"/>
        <w:gridCol w:w="1604"/>
        <w:gridCol w:w="1501"/>
        <w:gridCol w:w="924"/>
      </w:tblGrid>
      <w:tr w:rsidR="0000300F" w:rsidRPr="0000300F" w14:paraId="29CD04BF" w14:textId="77777777" w:rsidTr="0000300F">
        <w:trPr>
          <w:trHeight w:val="300"/>
        </w:trPr>
        <w:tc>
          <w:tcPr>
            <w:tcW w:w="16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701E2E"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 </w:t>
            </w:r>
          </w:p>
        </w:tc>
        <w:tc>
          <w:tcPr>
            <w:tcW w:w="5632" w:type="dxa"/>
            <w:gridSpan w:val="4"/>
            <w:tcBorders>
              <w:top w:val="single" w:sz="4" w:space="0" w:color="auto"/>
              <w:left w:val="nil"/>
              <w:bottom w:val="single" w:sz="4" w:space="0" w:color="auto"/>
              <w:right w:val="single" w:sz="4" w:space="0" w:color="auto"/>
            </w:tcBorders>
            <w:shd w:val="clear" w:color="auto" w:fill="auto"/>
            <w:noWrap/>
            <w:vAlign w:val="bottom"/>
            <w:hideMark/>
          </w:tcPr>
          <w:p w14:paraId="0E42B4E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Primary Results</w:t>
            </w:r>
          </w:p>
        </w:tc>
        <w:tc>
          <w:tcPr>
            <w:tcW w:w="5633" w:type="dxa"/>
            <w:gridSpan w:val="4"/>
            <w:tcBorders>
              <w:top w:val="single" w:sz="4" w:space="0" w:color="auto"/>
              <w:left w:val="nil"/>
              <w:bottom w:val="single" w:sz="4" w:space="0" w:color="auto"/>
              <w:right w:val="single" w:sz="4" w:space="0" w:color="auto"/>
            </w:tcBorders>
            <w:shd w:val="clear" w:color="auto" w:fill="auto"/>
            <w:noWrap/>
            <w:vAlign w:val="bottom"/>
            <w:hideMark/>
          </w:tcPr>
          <w:p w14:paraId="30222AB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Bootstrapping Results</w:t>
            </w:r>
          </w:p>
        </w:tc>
      </w:tr>
      <w:tr w:rsidR="0000300F" w:rsidRPr="00495E6E" w14:paraId="44CF83AF" w14:textId="77777777" w:rsidTr="0000300F">
        <w:trPr>
          <w:trHeight w:val="1200"/>
        </w:trPr>
        <w:tc>
          <w:tcPr>
            <w:tcW w:w="1685" w:type="dxa"/>
            <w:tcBorders>
              <w:top w:val="nil"/>
              <w:left w:val="single" w:sz="4" w:space="0" w:color="auto"/>
              <w:bottom w:val="single" w:sz="4" w:space="0" w:color="auto"/>
              <w:right w:val="single" w:sz="4" w:space="0" w:color="auto"/>
            </w:tcBorders>
            <w:shd w:val="clear" w:color="auto" w:fill="auto"/>
            <w:vAlign w:val="center"/>
            <w:hideMark/>
          </w:tcPr>
          <w:p w14:paraId="393BE68F" w14:textId="7AAC6DD5"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p>
        </w:tc>
        <w:tc>
          <w:tcPr>
            <w:tcW w:w="1603" w:type="dxa"/>
            <w:tcBorders>
              <w:top w:val="nil"/>
              <w:left w:val="nil"/>
              <w:bottom w:val="single" w:sz="4" w:space="0" w:color="auto"/>
              <w:right w:val="single" w:sz="4" w:space="0" w:color="auto"/>
            </w:tcBorders>
            <w:shd w:val="clear" w:color="auto" w:fill="auto"/>
            <w:vAlign w:val="center"/>
            <w:hideMark/>
          </w:tcPr>
          <w:p w14:paraId="4A08C74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CIF/100 in Paxlovid (95% CI)</w:t>
            </w:r>
          </w:p>
        </w:tc>
        <w:tc>
          <w:tcPr>
            <w:tcW w:w="1604" w:type="dxa"/>
            <w:tcBorders>
              <w:top w:val="nil"/>
              <w:left w:val="nil"/>
              <w:bottom w:val="single" w:sz="4" w:space="0" w:color="auto"/>
              <w:right w:val="single" w:sz="4" w:space="0" w:color="auto"/>
            </w:tcBorders>
            <w:shd w:val="clear" w:color="auto" w:fill="auto"/>
            <w:vAlign w:val="center"/>
            <w:hideMark/>
          </w:tcPr>
          <w:p w14:paraId="4DD0D12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CIF/100 in Ctrl (95% CI)</w:t>
            </w:r>
          </w:p>
        </w:tc>
        <w:tc>
          <w:tcPr>
            <w:tcW w:w="1501" w:type="dxa"/>
            <w:tcBorders>
              <w:top w:val="nil"/>
              <w:left w:val="nil"/>
              <w:bottom w:val="single" w:sz="4" w:space="0" w:color="auto"/>
              <w:right w:val="single" w:sz="4" w:space="0" w:color="auto"/>
            </w:tcBorders>
            <w:shd w:val="clear" w:color="auto" w:fill="auto"/>
            <w:vAlign w:val="center"/>
            <w:hideMark/>
          </w:tcPr>
          <w:p w14:paraId="5EF44BA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DIFF/100 (95% CI)</w:t>
            </w:r>
          </w:p>
        </w:tc>
        <w:tc>
          <w:tcPr>
            <w:tcW w:w="924" w:type="dxa"/>
            <w:tcBorders>
              <w:top w:val="nil"/>
              <w:left w:val="nil"/>
              <w:bottom w:val="single" w:sz="4" w:space="0" w:color="auto"/>
              <w:right w:val="single" w:sz="4" w:space="0" w:color="auto"/>
            </w:tcBorders>
            <w:shd w:val="clear" w:color="auto" w:fill="auto"/>
            <w:vAlign w:val="center"/>
            <w:hideMark/>
          </w:tcPr>
          <w:p w14:paraId="5D08713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Chi squared test of difference</w:t>
            </w:r>
          </w:p>
        </w:tc>
        <w:tc>
          <w:tcPr>
            <w:tcW w:w="1604" w:type="dxa"/>
            <w:tcBorders>
              <w:top w:val="nil"/>
              <w:left w:val="nil"/>
              <w:bottom w:val="single" w:sz="4" w:space="0" w:color="auto"/>
              <w:right w:val="single" w:sz="4" w:space="0" w:color="auto"/>
            </w:tcBorders>
            <w:shd w:val="clear" w:color="auto" w:fill="auto"/>
            <w:vAlign w:val="center"/>
            <w:hideMark/>
          </w:tcPr>
          <w:p w14:paraId="27EBE90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CIF/100 in Paxlovid (95% CI)</w:t>
            </w:r>
          </w:p>
        </w:tc>
        <w:tc>
          <w:tcPr>
            <w:tcW w:w="1604" w:type="dxa"/>
            <w:tcBorders>
              <w:top w:val="nil"/>
              <w:left w:val="nil"/>
              <w:bottom w:val="single" w:sz="4" w:space="0" w:color="auto"/>
              <w:right w:val="single" w:sz="4" w:space="0" w:color="auto"/>
            </w:tcBorders>
            <w:shd w:val="clear" w:color="auto" w:fill="auto"/>
            <w:vAlign w:val="center"/>
            <w:hideMark/>
          </w:tcPr>
          <w:p w14:paraId="2057852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CIF/100 in Ctrl (95% CI)</w:t>
            </w:r>
          </w:p>
        </w:tc>
        <w:tc>
          <w:tcPr>
            <w:tcW w:w="1501" w:type="dxa"/>
            <w:tcBorders>
              <w:top w:val="nil"/>
              <w:left w:val="nil"/>
              <w:bottom w:val="single" w:sz="4" w:space="0" w:color="auto"/>
              <w:right w:val="single" w:sz="4" w:space="0" w:color="auto"/>
            </w:tcBorders>
            <w:shd w:val="clear" w:color="auto" w:fill="auto"/>
            <w:vAlign w:val="center"/>
            <w:hideMark/>
          </w:tcPr>
          <w:p w14:paraId="589C6B0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DIFF/100 (95% CI)</w:t>
            </w:r>
          </w:p>
        </w:tc>
        <w:tc>
          <w:tcPr>
            <w:tcW w:w="924" w:type="dxa"/>
            <w:tcBorders>
              <w:top w:val="nil"/>
              <w:left w:val="nil"/>
              <w:bottom w:val="single" w:sz="4" w:space="0" w:color="auto"/>
              <w:right w:val="single" w:sz="4" w:space="0" w:color="auto"/>
            </w:tcBorders>
            <w:shd w:val="clear" w:color="auto" w:fill="auto"/>
            <w:vAlign w:val="center"/>
            <w:hideMark/>
          </w:tcPr>
          <w:p w14:paraId="03C201E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Chi squared test of difference</w:t>
            </w:r>
          </w:p>
        </w:tc>
      </w:tr>
      <w:tr w:rsidR="0000300F" w:rsidRPr="00495E6E" w14:paraId="2EFF83C3"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67FBB414"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Long COVID</w:t>
            </w:r>
          </w:p>
        </w:tc>
        <w:tc>
          <w:tcPr>
            <w:tcW w:w="1603" w:type="dxa"/>
            <w:tcBorders>
              <w:top w:val="nil"/>
              <w:left w:val="nil"/>
              <w:bottom w:val="single" w:sz="4" w:space="0" w:color="auto"/>
              <w:right w:val="single" w:sz="4" w:space="0" w:color="auto"/>
            </w:tcBorders>
            <w:shd w:val="clear" w:color="auto" w:fill="auto"/>
            <w:noWrap/>
            <w:vAlign w:val="bottom"/>
            <w:hideMark/>
          </w:tcPr>
          <w:p w14:paraId="3E38457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30.51 (30.25, 30.77)</w:t>
            </w:r>
          </w:p>
        </w:tc>
        <w:tc>
          <w:tcPr>
            <w:tcW w:w="1604" w:type="dxa"/>
            <w:tcBorders>
              <w:top w:val="nil"/>
              <w:left w:val="nil"/>
              <w:bottom w:val="single" w:sz="4" w:space="0" w:color="auto"/>
              <w:right w:val="single" w:sz="4" w:space="0" w:color="auto"/>
            </w:tcBorders>
            <w:shd w:val="clear" w:color="auto" w:fill="auto"/>
            <w:noWrap/>
            <w:vAlign w:val="bottom"/>
            <w:hideMark/>
          </w:tcPr>
          <w:p w14:paraId="0FCEF80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33.50 (33.28, 33.71)</w:t>
            </w:r>
          </w:p>
        </w:tc>
        <w:tc>
          <w:tcPr>
            <w:tcW w:w="1501" w:type="dxa"/>
            <w:tcBorders>
              <w:top w:val="nil"/>
              <w:left w:val="nil"/>
              <w:bottom w:val="single" w:sz="4" w:space="0" w:color="auto"/>
              <w:right w:val="single" w:sz="4" w:space="0" w:color="auto"/>
            </w:tcBorders>
            <w:shd w:val="clear" w:color="auto" w:fill="auto"/>
            <w:noWrap/>
            <w:vAlign w:val="bottom"/>
            <w:hideMark/>
          </w:tcPr>
          <w:p w14:paraId="120CC9D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-2.99 (-3.32, -2.65)</w:t>
            </w:r>
          </w:p>
        </w:tc>
        <w:tc>
          <w:tcPr>
            <w:tcW w:w="924" w:type="dxa"/>
            <w:tcBorders>
              <w:top w:val="nil"/>
              <w:left w:val="nil"/>
              <w:bottom w:val="single" w:sz="4" w:space="0" w:color="auto"/>
              <w:right w:val="single" w:sz="4" w:space="0" w:color="auto"/>
            </w:tcBorders>
            <w:shd w:val="clear" w:color="auto" w:fill="auto"/>
            <w:noWrap/>
            <w:vAlign w:val="bottom"/>
            <w:hideMark/>
          </w:tcPr>
          <w:p w14:paraId="0FA79BD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8.80E-140</w:t>
            </w:r>
          </w:p>
        </w:tc>
        <w:tc>
          <w:tcPr>
            <w:tcW w:w="1604" w:type="dxa"/>
            <w:tcBorders>
              <w:top w:val="nil"/>
              <w:left w:val="nil"/>
              <w:bottom w:val="single" w:sz="4" w:space="0" w:color="auto"/>
              <w:right w:val="single" w:sz="4" w:space="0" w:color="auto"/>
            </w:tcBorders>
            <w:shd w:val="clear" w:color="auto" w:fill="auto"/>
            <w:noWrap/>
            <w:vAlign w:val="bottom"/>
            <w:hideMark/>
          </w:tcPr>
          <w:p w14:paraId="2C12481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30.52 (30.25, 30.79)</w:t>
            </w:r>
          </w:p>
        </w:tc>
        <w:tc>
          <w:tcPr>
            <w:tcW w:w="1604" w:type="dxa"/>
            <w:tcBorders>
              <w:top w:val="nil"/>
              <w:left w:val="nil"/>
              <w:bottom w:val="single" w:sz="4" w:space="0" w:color="auto"/>
              <w:right w:val="single" w:sz="4" w:space="0" w:color="auto"/>
            </w:tcBorders>
            <w:shd w:val="clear" w:color="auto" w:fill="auto"/>
            <w:noWrap/>
            <w:vAlign w:val="bottom"/>
            <w:hideMark/>
          </w:tcPr>
          <w:p w14:paraId="5463A08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33.50 (33.27, 33.74)</w:t>
            </w:r>
          </w:p>
        </w:tc>
        <w:tc>
          <w:tcPr>
            <w:tcW w:w="1501" w:type="dxa"/>
            <w:tcBorders>
              <w:top w:val="nil"/>
              <w:left w:val="nil"/>
              <w:bottom w:val="single" w:sz="4" w:space="0" w:color="auto"/>
              <w:right w:val="single" w:sz="4" w:space="0" w:color="auto"/>
            </w:tcBorders>
            <w:shd w:val="clear" w:color="auto" w:fill="auto"/>
            <w:noWrap/>
            <w:vAlign w:val="bottom"/>
            <w:hideMark/>
          </w:tcPr>
          <w:p w14:paraId="0D12012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-2.98 (-3.33, -2.60)</w:t>
            </w:r>
          </w:p>
        </w:tc>
        <w:tc>
          <w:tcPr>
            <w:tcW w:w="924" w:type="dxa"/>
            <w:tcBorders>
              <w:top w:val="nil"/>
              <w:left w:val="nil"/>
              <w:bottom w:val="single" w:sz="4" w:space="0" w:color="auto"/>
              <w:right w:val="single" w:sz="4" w:space="0" w:color="auto"/>
            </w:tcBorders>
            <w:shd w:val="clear" w:color="auto" w:fill="auto"/>
            <w:noWrap/>
            <w:vAlign w:val="bottom"/>
            <w:hideMark/>
          </w:tcPr>
          <w:p w14:paraId="06C42D0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3.70E-123</w:t>
            </w:r>
          </w:p>
        </w:tc>
      </w:tr>
      <w:tr w:rsidR="0000300F" w:rsidRPr="00495E6E" w14:paraId="21DB9887"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1B6EA81C"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Death</w:t>
            </w:r>
          </w:p>
        </w:tc>
        <w:tc>
          <w:tcPr>
            <w:tcW w:w="1603" w:type="dxa"/>
            <w:tcBorders>
              <w:top w:val="nil"/>
              <w:left w:val="nil"/>
              <w:bottom w:val="single" w:sz="4" w:space="0" w:color="auto"/>
              <w:right w:val="single" w:sz="4" w:space="0" w:color="auto"/>
            </w:tcBorders>
            <w:shd w:val="clear" w:color="auto" w:fill="auto"/>
            <w:noWrap/>
            <w:vAlign w:val="bottom"/>
            <w:hideMark/>
          </w:tcPr>
          <w:p w14:paraId="7F33EC9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0.28 (0.25, 0.31)</w:t>
            </w:r>
          </w:p>
        </w:tc>
        <w:tc>
          <w:tcPr>
            <w:tcW w:w="1604" w:type="dxa"/>
            <w:tcBorders>
              <w:top w:val="nil"/>
              <w:left w:val="nil"/>
              <w:bottom w:val="single" w:sz="4" w:space="0" w:color="auto"/>
              <w:right w:val="single" w:sz="4" w:space="0" w:color="auto"/>
            </w:tcBorders>
            <w:shd w:val="clear" w:color="auto" w:fill="auto"/>
            <w:noWrap/>
            <w:vAlign w:val="bottom"/>
            <w:hideMark/>
          </w:tcPr>
          <w:p w14:paraId="06088CC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0.52 (0.48, 0.55)</w:t>
            </w:r>
          </w:p>
        </w:tc>
        <w:tc>
          <w:tcPr>
            <w:tcW w:w="1501" w:type="dxa"/>
            <w:tcBorders>
              <w:top w:val="nil"/>
              <w:left w:val="nil"/>
              <w:bottom w:val="single" w:sz="4" w:space="0" w:color="auto"/>
              <w:right w:val="single" w:sz="4" w:space="0" w:color="auto"/>
            </w:tcBorders>
            <w:shd w:val="clear" w:color="auto" w:fill="auto"/>
            <w:noWrap/>
            <w:vAlign w:val="bottom"/>
            <w:hideMark/>
          </w:tcPr>
          <w:p w14:paraId="110DE7B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-0.23 (-0.28, -0.19)</w:t>
            </w:r>
          </w:p>
        </w:tc>
        <w:tc>
          <w:tcPr>
            <w:tcW w:w="924" w:type="dxa"/>
            <w:tcBorders>
              <w:top w:val="nil"/>
              <w:left w:val="nil"/>
              <w:bottom w:val="single" w:sz="4" w:space="0" w:color="auto"/>
              <w:right w:val="single" w:sz="4" w:space="0" w:color="auto"/>
            </w:tcBorders>
            <w:shd w:val="clear" w:color="auto" w:fill="auto"/>
            <w:noWrap/>
            <w:vAlign w:val="bottom"/>
            <w:hideMark/>
          </w:tcPr>
          <w:p w14:paraId="5D802D0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8.40E-22</w:t>
            </w:r>
          </w:p>
        </w:tc>
        <w:tc>
          <w:tcPr>
            <w:tcW w:w="1604" w:type="dxa"/>
            <w:tcBorders>
              <w:top w:val="nil"/>
              <w:left w:val="nil"/>
              <w:bottom w:val="single" w:sz="4" w:space="0" w:color="auto"/>
              <w:right w:val="single" w:sz="4" w:space="0" w:color="auto"/>
            </w:tcBorders>
            <w:shd w:val="clear" w:color="auto" w:fill="auto"/>
            <w:noWrap/>
            <w:vAlign w:val="bottom"/>
            <w:hideMark/>
          </w:tcPr>
          <w:p w14:paraId="194B560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0.28 (0.25, 0.31)</w:t>
            </w:r>
          </w:p>
        </w:tc>
        <w:tc>
          <w:tcPr>
            <w:tcW w:w="1604" w:type="dxa"/>
            <w:tcBorders>
              <w:top w:val="nil"/>
              <w:left w:val="nil"/>
              <w:bottom w:val="single" w:sz="4" w:space="0" w:color="auto"/>
              <w:right w:val="single" w:sz="4" w:space="0" w:color="auto"/>
            </w:tcBorders>
            <w:shd w:val="clear" w:color="auto" w:fill="auto"/>
            <w:noWrap/>
            <w:vAlign w:val="bottom"/>
            <w:hideMark/>
          </w:tcPr>
          <w:p w14:paraId="7A3136F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0.52 (0.48, 0.55)</w:t>
            </w:r>
          </w:p>
        </w:tc>
        <w:tc>
          <w:tcPr>
            <w:tcW w:w="1501" w:type="dxa"/>
            <w:tcBorders>
              <w:top w:val="nil"/>
              <w:left w:val="nil"/>
              <w:bottom w:val="single" w:sz="4" w:space="0" w:color="auto"/>
              <w:right w:val="single" w:sz="4" w:space="0" w:color="auto"/>
            </w:tcBorders>
            <w:shd w:val="clear" w:color="auto" w:fill="auto"/>
            <w:noWrap/>
            <w:vAlign w:val="bottom"/>
            <w:hideMark/>
          </w:tcPr>
          <w:p w14:paraId="4D179B4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-0.23 (-0.28, -0.18)</w:t>
            </w:r>
          </w:p>
        </w:tc>
        <w:tc>
          <w:tcPr>
            <w:tcW w:w="924" w:type="dxa"/>
            <w:tcBorders>
              <w:top w:val="nil"/>
              <w:left w:val="nil"/>
              <w:bottom w:val="single" w:sz="4" w:space="0" w:color="auto"/>
              <w:right w:val="single" w:sz="4" w:space="0" w:color="auto"/>
            </w:tcBorders>
            <w:shd w:val="clear" w:color="auto" w:fill="auto"/>
            <w:noWrap/>
            <w:vAlign w:val="bottom"/>
            <w:hideMark/>
          </w:tcPr>
          <w:p w14:paraId="1DAD712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9.70E-20</w:t>
            </w:r>
          </w:p>
        </w:tc>
      </w:tr>
      <w:tr w:rsidR="0000300F" w:rsidRPr="00495E6E" w14:paraId="3B355FAD"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007729F8"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Hospitalization</w:t>
            </w:r>
          </w:p>
        </w:tc>
        <w:tc>
          <w:tcPr>
            <w:tcW w:w="1603" w:type="dxa"/>
            <w:tcBorders>
              <w:top w:val="nil"/>
              <w:left w:val="nil"/>
              <w:bottom w:val="single" w:sz="4" w:space="0" w:color="auto"/>
              <w:right w:val="single" w:sz="4" w:space="0" w:color="auto"/>
            </w:tcBorders>
            <w:shd w:val="clear" w:color="auto" w:fill="auto"/>
            <w:noWrap/>
            <w:vAlign w:val="bottom"/>
            <w:hideMark/>
          </w:tcPr>
          <w:p w14:paraId="7691C80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6.06 (5.93, 6.20)</w:t>
            </w:r>
          </w:p>
        </w:tc>
        <w:tc>
          <w:tcPr>
            <w:tcW w:w="1604" w:type="dxa"/>
            <w:tcBorders>
              <w:top w:val="nil"/>
              <w:left w:val="nil"/>
              <w:bottom w:val="single" w:sz="4" w:space="0" w:color="auto"/>
              <w:right w:val="single" w:sz="4" w:space="0" w:color="auto"/>
            </w:tcBorders>
            <w:shd w:val="clear" w:color="auto" w:fill="auto"/>
            <w:noWrap/>
            <w:vAlign w:val="bottom"/>
            <w:hideMark/>
          </w:tcPr>
          <w:p w14:paraId="51B4034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8.44 (8.31, 8.56)</w:t>
            </w:r>
          </w:p>
        </w:tc>
        <w:tc>
          <w:tcPr>
            <w:tcW w:w="1501" w:type="dxa"/>
            <w:tcBorders>
              <w:top w:val="nil"/>
              <w:left w:val="nil"/>
              <w:bottom w:val="single" w:sz="4" w:space="0" w:color="auto"/>
              <w:right w:val="single" w:sz="4" w:space="0" w:color="auto"/>
            </w:tcBorders>
            <w:shd w:val="clear" w:color="auto" w:fill="auto"/>
            <w:noWrap/>
            <w:vAlign w:val="bottom"/>
            <w:hideMark/>
          </w:tcPr>
          <w:p w14:paraId="01EE592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-2.37 (-2.56, -2.19)</w:t>
            </w:r>
          </w:p>
        </w:tc>
        <w:tc>
          <w:tcPr>
            <w:tcW w:w="924" w:type="dxa"/>
            <w:tcBorders>
              <w:top w:val="nil"/>
              <w:left w:val="nil"/>
              <w:bottom w:val="single" w:sz="4" w:space="0" w:color="auto"/>
              <w:right w:val="single" w:sz="4" w:space="0" w:color="auto"/>
            </w:tcBorders>
            <w:shd w:val="clear" w:color="auto" w:fill="auto"/>
            <w:noWrap/>
            <w:vAlign w:val="bottom"/>
            <w:hideMark/>
          </w:tcPr>
          <w:p w14:paraId="2FDE833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1.60E-148</w:t>
            </w:r>
          </w:p>
        </w:tc>
        <w:tc>
          <w:tcPr>
            <w:tcW w:w="1604" w:type="dxa"/>
            <w:tcBorders>
              <w:top w:val="nil"/>
              <w:left w:val="nil"/>
              <w:bottom w:val="single" w:sz="4" w:space="0" w:color="auto"/>
              <w:right w:val="single" w:sz="4" w:space="0" w:color="auto"/>
            </w:tcBorders>
            <w:shd w:val="clear" w:color="auto" w:fill="auto"/>
            <w:noWrap/>
            <w:vAlign w:val="bottom"/>
            <w:hideMark/>
          </w:tcPr>
          <w:p w14:paraId="065C6CE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6.07 (5.92, 6.23)</w:t>
            </w:r>
          </w:p>
        </w:tc>
        <w:tc>
          <w:tcPr>
            <w:tcW w:w="1604" w:type="dxa"/>
            <w:tcBorders>
              <w:top w:val="nil"/>
              <w:left w:val="nil"/>
              <w:bottom w:val="single" w:sz="4" w:space="0" w:color="auto"/>
              <w:right w:val="single" w:sz="4" w:space="0" w:color="auto"/>
            </w:tcBorders>
            <w:shd w:val="clear" w:color="auto" w:fill="auto"/>
            <w:noWrap/>
            <w:vAlign w:val="bottom"/>
            <w:hideMark/>
          </w:tcPr>
          <w:p w14:paraId="22CA08C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8.44 (8.29, 8.57)</w:t>
            </w:r>
          </w:p>
        </w:tc>
        <w:tc>
          <w:tcPr>
            <w:tcW w:w="1501" w:type="dxa"/>
            <w:tcBorders>
              <w:top w:val="nil"/>
              <w:left w:val="nil"/>
              <w:bottom w:val="single" w:sz="4" w:space="0" w:color="auto"/>
              <w:right w:val="single" w:sz="4" w:space="0" w:color="auto"/>
            </w:tcBorders>
            <w:shd w:val="clear" w:color="auto" w:fill="auto"/>
            <w:noWrap/>
            <w:vAlign w:val="bottom"/>
            <w:hideMark/>
          </w:tcPr>
          <w:p w14:paraId="3BBF524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-2.37 (-2.57, -2.16)</w:t>
            </w:r>
          </w:p>
        </w:tc>
        <w:tc>
          <w:tcPr>
            <w:tcW w:w="924" w:type="dxa"/>
            <w:tcBorders>
              <w:top w:val="nil"/>
              <w:left w:val="nil"/>
              <w:bottom w:val="single" w:sz="4" w:space="0" w:color="auto"/>
              <w:right w:val="single" w:sz="4" w:space="0" w:color="auto"/>
            </w:tcBorders>
            <w:shd w:val="clear" w:color="auto" w:fill="auto"/>
            <w:noWrap/>
            <w:vAlign w:val="bottom"/>
            <w:hideMark/>
          </w:tcPr>
          <w:p w14:paraId="35C3FFB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1.70E-120</w:t>
            </w:r>
          </w:p>
        </w:tc>
      </w:tr>
      <w:tr w:rsidR="0000300F" w:rsidRPr="00495E6E" w14:paraId="2887E358"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09A44E09"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Dementia</w:t>
            </w:r>
          </w:p>
        </w:tc>
        <w:tc>
          <w:tcPr>
            <w:tcW w:w="1603" w:type="dxa"/>
            <w:tcBorders>
              <w:top w:val="nil"/>
              <w:left w:val="nil"/>
              <w:bottom w:val="single" w:sz="4" w:space="0" w:color="auto"/>
              <w:right w:val="single" w:sz="4" w:space="0" w:color="auto"/>
            </w:tcBorders>
            <w:shd w:val="clear" w:color="auto" w:fill="auto"/>
            <w:noWrap/>
            <w:vAlign w:val="bottom"/>
            <w:hideMark/>
          </w:tcPr>
          <w:p w14:paraId="7F526F1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0.26 (0.23, 0.29)</w:t>
            </w:r>
          </w:p>
        </w:tc>
        <w:tc>
          <w:tcPr>
            <w:tcW w:w="1604" w:type="dxa"/>
            <w:tcBorders>
              <w:top w:val="nil"/>
              <w:left w:val="nil"/>
              <w:bottom w:val="single" w:sz="4" w:space="0" w:color="auto"/>
              <w:right w:val="single" w:sz="4" w:space="0" w:color="auto"/>
            </w:tcBorders>
            <w:shd w:val="clear" w:color="auto" w:fill="auto"/>
            <w:noWrap/>
            <w:vAlign w:val="bottom"/>
            <w:hideMark/>
          </w:tcPr>
          <w:p w14:paraId="187D55B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0.34 (0.32, 0.37)</w:t>
            </w:r>
          </w:p>
        </w:tc>
        <w:tc>
          <w:tcPr>
            <w:tcW w:w="1501" w:type="dxa"/>
            <w:tcBorders>
              <w:top w:val="nil"/>
              <w:left w:val="nil"/>
              <w:bottom w:val="single" w:sz="4" w:space="0" w:color="auto"/>
              <w:right w:val="single" w:sz="4" w:space="0" w:color="auto"/>
            </w:tcBorders>
            <w:shd w:val="clear" w:color="auto" w:fill="auto"/>
            <w:noWrap/>
            <w:vAlign w:val="bottom"/>
            <w:hideMark/>
          </w:tcPr>
          <w:p w14:paraId="1B4E57E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-0.09 (-0.12, -0.05)</w:t>
            </w:r>
          </w:p>
        </w:tc>
        <w:tc>
          <w:tcPr>
            <w:tcW w:w="924" w:type="dxa"/>
            <w:tcBorders>
              <w:top w:val="nil"/>
              <w:left w:val="nil"/>
              <w:bottom w:val="single" w:sz="4" w:space="0" w:color="auto"/>
              <w:right w:val="single" w:sz="4" w:space="0" w:color="auto"/>
            </w:tcBorders>
            <w:shd w:val="clear" w:color="auto" w:fill="auto"/>
            <w:noWrap/>
            <w:vAlign w:val="bottom"/>
            <w:hideMark/>
          </w:tcPr>
          <w:p w14:paraId="278DF2A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4.00E-05</w:t>
            </w:r>
          </w:p>
        </w:tc>
        <w:tc>
          <w:tcPr>
            <w:tcW w:w="1604" w:type="dxa"/>
            <w:tcBorders>
              <w:top w:val="nil"/>
              <w:left w:val="nil"/>
              <w:bottom w:val="single" w:sz="4" w:space="0" w:color="auto"/>
              <w:right w:val="single" w:sz="4" w:space="0" w:color="auto"/>
            </w:tcBorders>
            <w:shd w:val="clear" w:color="auto" w:fill="auto"/>
            <w:noWrap/>
            <w:vAlign w:val="bottom"/>
            <w:hideMark/>
          </w:tcPr>
          <w:p w14:paraId="0BA2FF6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0.26 (0.23, 0.29)</w:t>
            </w:r>
          </w:p>
        </w:tc>
        <w:tc>
          <w:tcPr>
            <w:tcW w:w="1604" w:type="dxa"/>
            <w:tcBorders>
              <w:top w:val="nil"/>
              <w:left w:val="nil"/>
              <w:bottom w:val="single" w:sz="4" w:space="0" w:color="auto"/>
              <w:right w:val="single" w:sz="4" w:space="0" w:color="auto"/>
            </w:tcBorders>
            <w:shd w:val="clear" w:color="auto" w:fill="auto"/>
            <w:noWrap/>
            <w:vAlign w:val="bottom"/>
            <w:hideMark/>
          </w:tcPr>
          <w:p w14:paraId="072D139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0.34 (0.31, 0.37)</w:t>
            </w:r>
          </w:p>
        </w:tc>
        <w:tc>
          <w:tcPr>
            <w:tcW w:w="1501" w:type="dxa"/>
            <w:tcBorders>
              <w:top w:val="nil"/>
              <w:left w:val="nil"/>
              <w:bottom w:val="single" w:sz="4" w:space="0" w:color="auto"/>
              <w:right w:val="single" w:sz="4" w:space="0" w:color="auto"/>
            </w:tcBorders>
            <w:shd w:val="clear" w:color="auto" w:fill="auto"/>
            <w:noWrap/>
            <w:vAlign w:val="bottom"/>
            <w:hideMark/>
          </w:tcPr>
          <w:p w14:paraId="67558DC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-0.09 (-0.12, -0.05)</w:t>
            </w:r>
          </w:p>
        </w:tc>
        <w:tc>
          <w:tcPr>
            <w:tcW w:w="924" w:type="dxa"/>
            <w:tcBorders>
              <w:top w:val="nil"/>
              <w:left w:val="nil"/>
              <w:bottom w:val="single" w:sz="4" w:space="0" w:color="auto"/>
              <w:right w:val="single" w:sz="4" w:space="0" w:color="auto"/>
            </w:tcBorders>
            <w:shd w:val="clear" w:color="auto" w:fill="auto"/>
            <w:noWrap/>
            <w:vAlign w:val="bottom"/>
            <w:hideMark/>
          </w:tcPr>
          <w:p w14:paraId="582BEF4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7.10E-05</w:t>
            </w:r>
          </w:p>
        </w:tc>
      </w:tr>
      <w:tr w:rsidR="0000300F" w:rsidRPr="00495E6E" w14:paraId="4174532A"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00296B4F"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Encephalopathy</w:t>
            </w:r>
          </w:p>
        </w:tc>
        <w:tc>
          <w:tcPr>
            <w:tcW w:w="1603" w:type="dxa"/>
            <w:tcBorders>
              <w:top w:val="nil"/>
              <w:left w:val="nil"/>
              <w:bottom w:val="single" w:sz="4" w:space="0" w:color="auto"/>
              <w:right w:val="single" w:sz="4" w:space="0" w:color="auto"/>
            </w:tcBorders>
            <w:shd w:val="clear" w:color="auto" w:fill="auto"/>
            <w:noWrap/>
            <w:vAlign w:val="bottom"/>
            <w:hideMark/>
          </w:tcPr>
          <w:p w14:paraId="50065BF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0.74 (0.69, 0.79)</w:t>
            </w:r>
          </w:p>
        </w:tc>
        <w:tc>
          <w:tcPr>
            <w:tcW w:w="1604" w:type="dxa"/>
            <w:tcBorders>
              <w:top w:val="nil"/>
              <w:left w:val="nil"/>
              <w:bottom w:val="single" w:sz="4" w:space="0" w:color="auto"/>
              <w:right w:val="single" w:sz="4" w:space="0" w:color="auto"/>
            </w:tcBorders>
            <w:shd w:val="clear" w:color="auto" w:fill="auto"/>
            <w:noWrap/>
            <w:vAlign w:val="bottom"/>
            <w:hideMark/>
          </w:tcPr>
          <w:p w14:paraId="1F03CBC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0.89 (0.85, 0.94)</w:t>
            </w:r>
          </w:p>
        </w:tc>
        <w:tc>
          <w:tcPr>
            <w:tcW w:w="1501" w:type="dxa"/>
            <w:tcBorders>
              <w:top w:val="nil"/>
              <w:left w:val="nil"/>
              <w:bottom w:val="single" w:sz="4" w:space="0" w:color="auto"/>
              <w:right w:val="single" w:sz="4" w:space="0" w:color="auto"/>
            </w:tcBorders>
            <w:shd w:val="clear" w:color="auto" w:fill="auto"/>
            <w:noWrap/>
            <w:vAlign w:val="bottom"/>
            <w:hideMark/>
          </w:tcPr>
          <w:p w14:paraId="6FAD9BD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-0.15 (-0.22, -0.08)</w:t>
            </w:r>
          </w:p>
        </w:tc>
        <w:tc>
          <w:tcPr>
            <w:tcW w:w="924" w:type="dxa"/>
            <w:tcBorders>
              <w:top w:val="nil"/>
              <w:left w:val="nil"/>
              <w:bottom w:val="single" w:sz="4" w:space="0" w:color="auto"/>
              <w:right w:val="single" w:sz="4" w:space="0" w:color="auto"/>
            </w:tcBorders>
            <w:shd w:val="clear" w:color="auto" w:fill="auto"/>
            <w:noWrap/>
            <w:vAlign w:val="bottom"/>
            <w:hideMark/>
          </w:tcPr>
          <w:p w14:paraId="724034F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9.20E-06</w:t>
            </w:r>
          </w:p>
        </w:tc>
        <w:tc>
          <w:tcPr>
            <w:tcW w:w="1604" w:type="dxa"/>
            <w:tcBorders>
              <w:top w:val="nil"/>
              <w:left w:val="nil"/>
              <w:bottom w:val="single" w:sz="4" w:space="0" w:color="auto"/>
              <w:right w:val="single" w:sz="4" w:space="0" w:color="auto"/>
            </w:tcBorders>
            <w:shd w:val="clear" w:color="auto" w:fill="auto"/>
            <w:noWrap/>
            <w:vAlign w:val="bottom"/>
            <w:hideMark/>
          </w:tcPr>
          <w:p w14:paraId="243CA18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0.74 (0.69, 0.79)</w:t>
            </w:r>
          </w:p>
        </w:tc>
        <w:tc>
          <w:tcPr>
            <w:tcW w:w="1604" w:type="dxa"/>
            <w:tcBorders>
              <w:top w:val="nil"/>
              <w:left w:val="nil"/>
              <w:bottom w:val="single" w:sz="4" w:space="0" w:color="auto"/>
              <w:right w:val="single" w:sz="4" w:space="0" w:color="auto"/>
            </w:tcBorders>
            <w:shd w:val="clear" w:color="auto" w:fill="auto"/>
            <w:noWrap/>
            <w:vAlign w:val="bottom"/>
            <w:hideMark/>
          </w:tcPr>
          <w:p w14:paraId="450C872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0.89 (0.84, 0.93)</w:t>
            </w:r>
          </w:p>
        </w:tc>
        <w:tc>
          <w:tcPr>
            <w:tcW w:w="1501" w:type="dxa"/>
            <w:tcBorders>
              <w:top w:val="nil"/>
              <w:left w:val="nil"/>
              <w:bottom w:val="single" w:sz="4" w:space="0" w:color="auto"/>
              <w:right w:val="single" w:sz="4" w:space="0" w:color="auto"/>
            </w:tcBorders>
            <w:shd w:val="clear" w:color="auto" w:fill="auto"/>
            <w:noWrap/>
            <w:vAlign w:val="bottom"/>
            <w:hideMark/>
          </w:tcPr>
          <w:p w14:paraId="0CA9292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-0.15 (-0.22, -0.08)</w:t>
            </w:r>
          </w:p>
        </w:tc>
        <w:tc>
          <w:tcPr>
            <w:tcW w:w="924" w:type="dxa"/>
            <w:tcBorders>
              <w:top w:val="nil"/>
              <w:left w:val="nil"/>
              <w:bottom w:val="single" w:sz="4" w:space="0" w:color="auto"/>
              <w:right w:val="single" w:sz="4" w:space="0" w:color="auto"/>
            </w:tcBorders>
            <w:shd w:val="clear" w:color="auto" w:fill="auto"/>
            <w:noWrap/>
            <w:vAlign w:val="bottom"/>
            <w:hideMark/>
          </w:tcPr>
          <w:p w14:paraId="509D668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3.80E-05</w:t>
            </w:r>
          </w:p>
        </w:tc>
      </w:tr>
      <w:tr w:rsidR="0000300F" w:rsidRPr="00495E6E" w14:paraId="17C8CDA1"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26A75C95"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Headache</w:t>
            </w:r>
          </w:p>
        </w:tc>
        <w:tc>
          <w:tcPr>
            <w:tcW w:w="1603" w:type="dxa"/>
            <w:tcBorders>
              <w:top w:val="nil"/>
              <w:left w:val="nil"/>
              <w:bottom w:val="single" w:sz="4" w:space="0" w:color="auto"/>
              <w:right w:val="single" w:sz="4" w:space="0" w:color="auto"/>
            </w:tcBorders>
            <w:shd w:val="clear" w:color="auto" w:fill="auto"/>
            <w:noWrap/>
            <w:vAlign w:val="bottom"/>
            <w:hideMark/>
          </w:tcPr>
          <w:p w14:paraId="7D97904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2.64 (2.55, 2.75)</w:t>
            </w:r>
          </w:p>
        </w:tc>
        <w:tc>
          <w:tcPr>
            <w:tcW w:w="1604" w:type="dxa"/>
            <w:tcBorders>
              <w:top w:val="nil"/>
              <w:left w:val="nil"/>
              <w:bottom w:val="single" w:sz="4" w:space="0" w:color="auto"/>
              <w:right w:val="single" w:sz="4" w:space="0" w:color="auto"/>
            </w:tcBorders>
            <w:shd w:val="clear" w:color="auto" w:fill="auto"/>
            <w:noWrap/>
            <w:vAlign w:val="bottom"/>
            <w:hideMark/>
          </w:tcPr>
          <w:p w14:paraId="3A87C17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2.91 (2.82, 3.00)</w:t>
            </w:r>
          </w:p>
        </w:tc>
        <w:tc>
          <w:tcPr>
            <w:tcW w:w="1501" w:type="dxa"/>
            <w:tcBorders>
              <w:top w:val="nil"/>
              <w:left w:val="nil"/>
              <w:bottom w:val="single" w:sz="4" w:space="0" w:color="auto"/>
              <w:right w:val="single" w:sz="4" w:space="0" w:color="auto"/>
            </w:tcBorders>
            <w:shd w:val="clear" w:color="auto" w:fill="auto"/>
            <w:noWrap/>
            <w:vAlign w:val="bottom"/>
            <w:hideMark/>
          </w:tcPr>
          <w:p w14:paraId="05152CC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-0.27 (-0.40, -0.13)</w:t>
            </w:r>
          </w:p>
        </w:tc>
        <w:tc>
          <w:tcPr>
            <w:tcW w:w="924" w:type="dxa"/>
            <w:tcBorders>
              <w:top w:val="nil"/>
              <w:left w:val="nil"/>
              <w:bottom w:val="single" w:sz="4" w:space="0" w:color="auto"/>
              <w:right w:val="single" w:sz="4" w:space="0" w:color="auto"/>
            </w:tcBorders>
            <w:shd w:val="clear" w:color="auto" w:fill="auto"/>
            <w:noWrap/>
            <w:vAlign w:val="bottom"/>
            <w:hideMark/>
          </w:tcPr>
          <w:p w14:paraId="1863732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6.00E-05</w:t>
            </w:r>
          </w:p>
        </w:tc>
        <w:tc>
          <w:tcPr>
            <w:tcW w:w="1604" w:type="dxa"/>
            <w:tcBorders>
              <w:top w:val="nil"/>
              <w:left w:val="nil"/>
              <w:bottom w:val="single" w:sz="4" w:space="0" w:color="auto"/>
              <w:right w:val="single" w:sz="4" w:space="0" w:color="auto"/>
            </w:tcBorders>
            <w:shd w:val="clear" w:color="auto" w:fill="auto"/>
            <w:noWrap/>
            <w:vAlign w:val="bottom"/>
            <w:hideMark/>
          </w:tcPr>
          <w:p w14:paraId="3A45AD7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2.65 (2.53, 2.76)</w:t>
            </w:r>
          </w:p>
        </w:tc>
        <w:tc>
          <w:tcPr>
            <w:tcW w:w="1604" w:type="dxa"/>
            <w:tcBorders>
              <w:top w:val="nil"/>
              <w:left w:val="nil"/>
              <w:bottom w:val="single" w:sz="4" w:space="0" w:color="auto"/>
              <w:right w:val="single" w:sz="4" w:space="0" w:color="auto"/>
            </w:tcBorders>
            <w:shd w:val="clear" w:color="auto" w:fill="auto"/>
            <w:noWrap/>
            <w:vAlign w:val="bottom"/>
            <w:hideMark/>
          </w:tcPr>
          <w:p w14:paraId="1E1C38D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2.92 (2.83, 3.00)</w:t>
            </w:r>
          </w:p>
        </w:tc>
        <w:tc>
          <w:tcPr>
            <w:tcW w:w="1501" w:type="dxa"/>
            <w:tcBorders>
              <w:top w:val="nil"/>
              <w:left w:val="nil"/>
              <w:bottom w:val="single" w:sz="4" w:space="0" w:color="auto"/>
              <w:right w:val="single" w:sz="4" w:space="0" w:color="auto"/>
            </w:tcBorders>
            <w:shd w:val="clear" w:color="auto" w:fill="auto"/>
            <w:noWrap/>
            <w:vAlign w:val="bottom"/>
            <w:hideMark/>
          </w:tcPr>
          <w:p w14:paraId="3BBE94E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-0.27 (-0.41, -0.13)</w:t>
            </w:r>
          </w:p>
        </w:tc>
        <w:tc>
          <w:tcPr>
            <w:tcW w:w="924" w:type="dxa"/>
            <w:tcBorders>
              <w:top w:val="nil"/>
              <w:left w:val="nil"/>
              <w:bottom w:val="single" w:sz="4" w:space="0" w:color="auto"/>
              <w:right w:val="single" w:sz="4" w:space="0" w:color="auto"/>
            </w:tcBorders>
            <w:shd w:val="clear" w:color="auto" w:fill="auto"/>
            <w:noWrap/>
            <w:vAlign w:val="bottom"/>
            <w:hideMark/>
          </w:tcPr>
          <w:p w14:paraId="1963769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1.60E-04</w:t>
            </w:r>
          </w:p>
        </w:tc>
      </w:tr>
      <w:tr w:rsidR="0000300F" w:rsidRPr="00495E6E" w14:paraId="70D45671"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0D85665E"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Cognitive problems</w:t>
            </w:r>
          </w:p>
        </w:tc>
        <w:tc>
          <w:tcPr>
            <w:tcW w:w="1603" w:type="dxa"/>
            <w:tcBorders>
              <w:top w:val="nil"/>
              <w:left w:val="nil"/>
              <w:bottom w:val="single" w:sz="4" w:space="0" w:color="auto"/>
              <w:right w:val="single" w:sz="4" w:space="0" w:color="auto"/>
            </w:tcBorders>
            <w:shd w:val="clear" w:color="auto" w:fill="auto"/>
            <w:noWrap/>
            <w:vAlign w:val="bottom"/>
            <w:hideMark/>
          </w:tcPr>
          <w:p w14:paraId="51B4E58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2.74 (2.64, 2.84)</w:t>
            </w:r>
          </w:p>
        </w:tc>
        <w:tc>
          <w:tcPr>
            <w:tcW w:w="1604" w:type="dxa"/>
            <w:tcBorders>
              <w:top w:val="nil"/>
              <w:left w:val="nil"/>
              <w:bottom w:val="single" w:sz="4" w:space="0" w:color="auto"/>
              <w:right w:val="single" w:sz="4" w:space="0" w:color="auto"/>
            </w:tcBorders>
            <w:shd w:val="clear" w:color="auto" w:fill="auto"/>
            <w:noWrap/>
            <w:vAlign w:val="bottom"/>
            <w:hideMark/>
          </w:tcPr>
          <w:p w14:paraId="23D78EB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2.96 (2.88, 3.04)</w:t>
            </w:r>
          </w:p>
        </w:tc>
        <w:tc>
          <w:tcPr>
            <w:tcW w:w="1501" w:type="dxa"/>
            <w:tcBorders>
              <w:top w:val="nil"/>
              <w:left w:val="nil"/>
              <w:bottom w:val="single" w:sz="4" w:space="0" w:color="auto"/>
              <w:right w:val="single" w:sz="4" w:space="0" w:color="auto"/>
            </w:tcBorders>
            <w:shd w:val="clear" w:color="auto" w:fill="auto"/>
            <w:noWrap/>
            <w:vAlign w:val="bottom"/>
            <w:hideMark/>
          </w:tcPr>
          <w:p w14:paraId="1F8BE92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-0.22 (-0.35, -0.09)</w:t>
            </w:r>
          </w:p>
        </w:tc>
        <w:tc>
          <w:tcPr>
            <w:tcW w:w="924" w:type="dxa"/>
            <w:tcBorders>
              <w:top w:val="nil"/>
              <w:left w:val="nil"/>
              <w:bottom w:val="single" w:sz="4" w:space="0" w:color="auto"/>
              <w:right w:val="single" w:sz="4" w:space="0" w:color="auto"/>
            </w:tcBorders>
            <w:shd w:val="clear" w:color="auto" w:fill="auto"/>
            <w:noWrap/>
            <w:vAlign w:val="bottom"/>
            <w:hideMark/>
          </w:tcPr>
          <w:p w14:paraId="557CB77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6.90E-04</w:t>
            </w:r>
          </w:p>
        </w:tc>
        <w:tc>
          <w:tcPr>
            <w:tcW w:w="1604" w:type="dxa"/>
            <w:tcBorders>
              <w:top w:val="nil"/>
              <w:left w:val="nil"/>
              <w:bottom w:val="single" w:sz="4" w:space="0" w:color="auto"/>
              <w:right w:val="single" w:sz="4" w:space="0" w:color="auto"/>
            </w:tcBorders>
            <w:shd w:val="clear" w:color="auto" w:fill="auto"/>
            <w:noWrap/>
            <w:vAlign w:val="bottom"/>
            <w:hideMark/>
          </w:tcPr>
          <w:p w14:paraId="2C9632F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2.74 (2.63, 2.84)</w:t>
            </w:r>
          </w:p>
        </w:tc>
        <w:tc>
          <w:tcPr>
            <w:tcW w:w="1604" w:type="dxa"/>
            <w:tcBorders>
              <w:top w:val="nil"/>
              <w:left w:val="nil"/>
              <w:bottom w:val="single" w:sz="4" w:space="0" w:color="auto"/>
              <w:right w:val="single" w:sz="4" w:space="0" w:color="auto"/>
            </w:tcBorders>
            <w:shd w:val="clear" w:color="auto" w:fill="auto"/>
            <w:noWrap/>
            <w:vAlign w:val="bottom"/>
            <w:hideMark/>
          </w:tcPr>
          <w:p w14:paraId="192DB0B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2.96 (2.87, 3.05)</w:t>
            </w:r>
          </w:p>
        </w:tc>
        <w:tc>
          <w:tcPr>
            <w:tcW w:w="1501" w:type="dxa"/>
            <w:tcBorders>
              <w:top w:val="nil"/>
              <w:left w:val="nil"/>
              <w:bottom w:val="single" w:sz="4" w:space="0" w:color="auto"/>
              <w:right w:val="single" w:sz="4" w:space="0" w:color="auto"/>
            </w:tcBorders>
            <w:shd w:val="clear" w:color="auto" w:fill="auto"/>
            <w:noWrap/>
            <w:vAlign w:val="bottom"/>
            <w:hideMark/>
          </w:tcPr>
          <w:p w14:paraId="08E1B39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-0.22 (-0.35, -0.08)</w:t>
            </w:r>
          </w:p>
        </w:tc>
        <w:tc>
          <w:tcPr>
            <w:tcW w:w="924" w:type="dxa"/>
            <w:tcBorders>
              <w:top w:val="nil"/>
              <w:left w:val="nil"/>
              <w:bottom w:val="single" w:sz="4" w:space="0" w:color="auto"/>
              <w:right w:val="single" w:sz="4" w:space="0" w:color="auto"/>
            </w:tcBorders>
            <w:shd w:val="clear" w:color="auto" w:fill="auto"/>
            <w:noWrap/>
            <w:vAlign w:val="bottom"/>
            <w:hideMark/>
          </w:tcPr>
          <w:p w14:paraId="55B3E13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0.002</w:t>
            </w:r>
          </w:p>
        </w:tc>
      </w:tr>
      <w:tr w:rsidR="0000300F" w:rsidRPr="00495E6E" w14:paraId="1DA396A5"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1D052E3B"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Sleep disorders</w:t>
            </w:r>
          </w:p>
        </w:tc>
        <w:tc>
          <w:tcPr>
            <w:tcW w:w="1603" w:type="dxa"/>
            <w:tcBorders>
              <w:top w:val="nil"/>
              <w:left w:val="nil"/>
              <w:bottom w:val="single" w:sz="4" w:space="0" w:color="auto"/>
              <w:right w:val="single" w:sz="4" w:space="0" w:color="auto"/>
            </w:tcBorders>
            <w:shd w:val="clear" w:color="auto" w:fill="auto"/>
            <w:noWrap/>
            <w:vAlign w:val="bottom"/>
            <w:hideMark/>
          </w:tcPr>
          <w:p w14:paraId="6ACB469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3.45 (3.33, 3.57)</w:t>
            </w:r>
          </w:p>
        </w:tc>
        <w:tc>
          <w:tcPr>
            <w:tcW w:w="1604" w:type="dxa"/>
            <w:tcBorders>
              <w:top w:val="nil"/>
              <w:left w:val="nil"/>
              <w:bottom w:val="single" w:sz="4" w:space="0" w:color="auto"/>
              <w:right w:val="single" w:sz="4" w:space="0" w:color="auto"/>
            </w:tcBorders>
            <w:shd w:val="clear" w:color="auto" w:fill="auto"/>
            <w:noWrap/>
            <w:vAlign w:val="bottom"/>
            <w:hideMark/>
          </w:tcPr>
          <w:p w14:paraId="1360727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3.63 (3.53, 3.73)</w:t>
            </w:r>
          </w:p>
        </w:tc>
        <w:tc>
          <w:tcPr>
            <w:tcW w:w="1501" w:type="dxa"/>
            <w:tcBorders>
              <w:top w:val="nil"/>
              <w:left w:val="nil"/>
              <w:bottom w:val="single" w:sz="4" w:space="0" w:color="auto"/>
              <w:right w:val="single" w:sz="4" w:space="0" w:color="auto"/>
            </w:tcBorders>
            <w:shd w:val="clear" w:color="auto" w:fill="auto"/>
            <w:noWrap/>
            <w:vAlign w:val="bottom"/>
            <w:hideMark/>
          </w:tcPr>
          <w:p w14:paraId="7614F8A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-0.18 (-0.33, -0.03)</w:t>
            </w:r>
          </w:p>
        </w:tc>
        <w:tc>
          <w:tcPr>
            <w:tcW w:w="924" w:type="dxa"/>
            <w:tcBorders>
              <w:top w:val="nil"/>
              <w:left w:val="nil"/>
              <w:bottom w:val="single" w:sz="4" w:space="0" w:color="auto"/>
              <w:right w:val="single" w:sz="4" w:space="0" w:color="auto"/>
            </w:tcBorders>
            <w:shd w:val="clear" w:color="auto" w:fill="auto"/>
            <w:noWrap/>
            <w:vAlign w:val="bottom"/>
            <w:hideMark/>
          </w:tcPr>
          <w:p w14:paraId="1D94174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0.018</w:t>
            </w:r>
          </w:p>
        </w:tc>
        <w:tc>
          <w:tcPr>
            <w:tcW w:w="1604" w:type="dxa"/>
            <w:tcBorders>
              <w:top w:val="nil"/>
              <w:left w:val="nil"/>
              <w:bottom w:val="single" w:sz="4" w:space="0" w:color="auto"/>
              <w:right w:val="single" w:sz="4" w:space="0" w:color="auto"/>
            </w:tcBorders>
            <w:shd w:val="clear" w:color="auto" w:fill="auto"/>
            <w:noWrap/>
            <w:vAlign w:val="bottom"/>
            <w:hideMark/>
          </w:tcPr>
          <w:p w14:paraId="554ECFE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3.45 (3.32, 3.58)</w:t>
            </w:r>
          </w:p>
        </w:tc>
        <w:tc>
          <w:tcPr>
            <w:tcW w:w="1604" w:type="dxa"/>
            <w:tcBorders>
              <w:top w:val="nil"/>
              <w:left w:val="nil"/>
              <w:bottom w:val="single" w:sz="4" w:space="0" w:color="auto"/>
              <w:right w:val="single" w:sz="4" w:space="0" w:color="auto"/>
            </w:tcBorders>
            <w:shd w:val="clear" w:color="auto" w:fill="auto"/>
            <w:noWrap/>
            <w:vAlign w:val="bottom"/>
            <w:hideMark/>
          </w:tcPr>
          <w:p w14:paraId="4B8A65B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3.63 (3.53, 3.74)</w:t>
            </w:r>
          </w:p>
        </w:tc>
        <w:tc>
          <w:tcPr>
            <w:tcW w:w="1501" w:type="dxa"/>
            <w:tcBorders>
              <w:top w:val="nil"/>
              <w:left w:val="nil"/>
              <w:bottom w:val="single" w:sz="4" w:space="0" w:color="auto"/>
              <w:right w:val="single" w:sz="4" w:space="0" w:color="auto"/>
            </w:tcBorders>
            <w:shd w:val="clear" w:color="auto" w:fill="auto"/>
            <w:noWrap/>
            <w:vAlign w:val="bottom"/>
            <w:hideMark/>
          </w:tcPr>
          <w:p w14:paraId="176E3D4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-0.18 (-0.34, -0.02)</w:t>
            </w:r>
          </w:p>
        </w:tc>
        <w:tc>
          <w:tcPr>
            <w:tcW w:w="924" w:type="dxa"/>
            <w:tcBorders>
              <w:top w:val="nil"/>
              <w:left w:val="nil"/>
              <w:bottom w:val="single" w:sz="4" w:space="0" w:color="auto"/>
              <w:right w:val="single" w:sz="4" w:space="0" w:color="auto"/>
            </w:tcBorders>
            <w:shd w:val="clear" w:color="auto" w:fill="auto"/>
            <w:noWrap/>
            <w:vAlign w:val="bottom"/>
            <w:hideMark/>
          </w:tcPr>
          <w:p w14:paraId="7B30E3E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0.023</w:t>
            </w:r>
          </w:p>
        </w:tc>
      </w:tr>
      <w:tr w:rsidR="0000300F" w:rsidRPr="00495E6E" w14:paraId="1CC21748"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27D6F250"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Hair loss</w:t>
            </w:r>
          </w:p>
        </w:tc>
        <w:tc>
          <w:tcPr>
            <w:tcW w:w="1603" w:type="dxa"/>
            <w:tcBorders>
              <w:top w:val="nil"/>
              <w:left w:val="nil"/>
              <w:bottom w:val="single" w:sz="4" w:space="0" w:color="auto"/>
              <w:right w:val="single" w:sz="4" w:space="0" w:color="auto"/>
            </w:tcBorders>
            <w:shd w:val="clear" w:color="auto" w:fill="auto"/>
            <w:noWrap/>
            <w:vAlign w:val="bottom"/>
            <w:hideMark/>
          </w:tcPr>
          <w:p w14:paraId="7C1AADA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0.75 (0.70, 0.80)</w:t>
            </w:r>
          </w:p>
        </w:tc>
        <w:tc>
          <w:tcPr>
            <w:tcW w:w="1604" w:type="dxa"/>
            <w:tcBorders>
              <w:top w:val="nil"/>
              <w:left w:val="nil"/>
              <w:bottom w:val="single" w:sz="4" w:space="0" w:color="auto"/>
              <w:right w:val="single" w:sz="4" w:space="0" w:color="auto"/>
            </w:tcBorders>
            <w:shd w:val="clear" w:color="auto" w:fill="auto"/>
            <w:noWrap/>
            <w:vAlign w:val="bottom"/>
            <w:hideMark/>
          </w:tcPr>
          <w:p w14:paraId="268470D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0.72 (0.68, 0.76)</w:t>
            </w:r>
          </w:p>
        </w:tc>
        <w:tc>
          <w:tcPr>
            <w:tcW w:w="1501" w:type="dxa"/>
            <w:tcBorders>
              <w:top w:val="nil"/>
              <w:left w:val="nil"/>
              <w:bottom w:val="single" w:sz="4" w:space="0" w:color="auto"/>
              <w:right w:val="single" w:sz="4" w:space="0" w:color="auto"/>
            </w:tcBorders>
            <w:shd w:val="clear" w:color="auto" w:fill="auto"/>
            <w:noWrap/>
            <w:vAlign w:val="bottom"/>
            <w:hideMark/>
          </w:tcPr>
          <w:p w14:paraId="41E93F6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0.03 (-0.03, 0.10)</w:t>
            </w:r>
          </w:p>
        </w:tc>
        <w:tc>
          <w:tcPr>
            <w:tcW w:w="924" w:type="dxa"/>
            <w:tcBorders>
              <w:top w:val="nil"/>
              <w:left w:val="nil"/>
              <w:bottom w:val="single" w:sz="4" w:space="0" w:color="auto"/>
              <w:right w:val="single" w:sz="4" w:space="0" w:color="auto"/>
            </w:tcBorders>
            <w:shd w:val="clear" w:color="auto" w:fill="auto"/>
            <w:noWrap/>
            <w:vAlign w:val="bottom"/>
            <w:hideMark/>
          </w:tcPr>
          <w:p w14:paraId="2C32D3E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0.326</w:t>
            </w:r>
          </w:p>
        </w:tc>
        <w:tc>
          <w:tcPr>
            <w:tcW w:w="1604" w:type="dxa"/>
            <w:tcBorders>
              <w:top w:val="nil"/>
              <w:left w:val="nil"/>
              <w:bottom w:val="single" w:sz="4" w:space="0" w:color="auto"/>
              <w:right w:val="single" w:sz="4" w:space="0" w:color="auto"/>
            </w:tcBorders>
            <w:shd w:val="clear" w:color="auto" w:fill="auto"/>
            <w:noWrap/>
            <w:vAlign w:val="bottom"/>
            <w:hideMark/>
          </w:tcPr>
          <w:p w14:paraId="34F6F05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0.75 (0.70, 0.80)</w:t>
            </w:r>
          </w:p>
        </w:tc>
        <w:tc>
          <w:tcPr>
            <w:tcW w:w="1604" w:type="dxa"/>
            <w:tcBorders>
              <w:top w:val="nil"/>
              <w:left w:val="nil"/>
              <w:bottom w:val="single" w:sz="4" w:space="0" w:color="auto"/>
              <w:right w:val="single" w:sz="4" w:space="0" w:color="auto"/>
            </w:tcBorders>
            <w:shd w:val="clear" w:color="auto" w:fill="auto"/>
            <w:noWrap/>
            <w:vAlign w:val="bottom"/>
            <w:hideMark/>
          </w:tcPr>
          <w:p w14:paraId="006F541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0.72 (0.68, 0.77)</w:t>
            </w:r>
          </w:p>
        </w:tc>
        <w:tc>
          <w:tcPr>
            <w:tcW w:w="1501" w:type="dxa"/>
            <w:tcBorders>
              <w:top w:val="nil"/>
              <w:left w:val="nil"/>
              <w:bottom w:val="single" w:sz="4" w:space="0" w:color="auto"/>
              <w:right w:val="single" w:sz="4" w:space="0" w:color="auto"/>
            </w:tcBorders>
            <w:shd w:val="clear" w:color="auto" w:fill="auto"/>
            <w:noWrap/>
            <w:vAlign w:val="bottom"/>
            <w:hideMark/>
          </w:tcPr>
          <w:p w14:paraId="49FA7E7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0.03 (-0.04, 0.09)</w:t>
            </w:r>
          </w:p>
        </w:tc>
        <w:tc>
          <w:tcPr>
            <w:tcW w:w="924" w:type="dxa"/>
            <w:tcBorders>
              <w:top w:val="nil"/>
              <w:left w:val="nil"/>
              <w:bottom w:val="single" w:sz="4" w:space="0" w:color="auto"/>
              <w:right w:val="single" w:sz="4" w:space="0" w:color="auto"/>
            </w:tcBorders>
            <w:shd w:val="clear" w:color="auto" w:fill="auto"/>
            <w:noWrap/>
            <w:vAlign w:val="bottom"/>
            <w:hideMark/>
          </w:tcPr>
          <w:p w14:paraId="29D2F30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0.379</w:t>
            </w:r>
          </w:p>
        </w:tc>
      </w:tr>
      <w:tr w:rsidR="0000300F" w:rsidRPr="00495E6E" w14:paraId="48751D60"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5D03E06C"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Shortness of breath</w:t>
            </w:r>
          </w:p>
        </w:tc>
        <w:tc>
          <w:tcPr>
            <w:tcW w:w="1603" w:type="dxa"/>
            <w:tcBorders>
              <w:top w:val="nil"/>
              <w:left w:val="nil"/>
              <w:bottom w:val="single" w:sz="4" w:space="0" w:color="auto"/>
              <w:right w:val="single" w:sz="4" w:space="0" w:color="auto"/>
            </w:tcBorders>
            <w:shd w:val="clear" w:color="auto" w:fill="auto"/>
            <w:noWrap/>
            <w:vAlign w:val="bottom"/>
            <w:hideMark/>
          </w:tcPr>
          <w:p w14:paraId="78C5831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8.86 (8.66, 9.07)</w:t>
            </w:r>
          </w:p>
        </w:tc>
        <w:tc>
          <w:tcPr>
            <w:tcW w:w="1604" w:type="dxa"/>
            <w:tcBorders>
              <w:top w:val="nil"/>
              <w:left w:val="nil"/>
              <w:bottom w:val="single" w:sz="4" w:space="0" w:color="auto"/>
              <w:right w:val="single" w:sz="4" w:space="0" w:color="auto"/>
            </w:tcBorders>
            <w:shd w:val="clear" w:color="auto" w:fill="auto"/>
            <w:noWrap/>
            <w:vAlign w:val="bottom"/>
            <w:hideMark/>
          </w:tcPr>
          <w:p w14:paraId="4C4242B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9.89 (9.72, 10.07)</w:t>
            </w:r>
          </w:p>
        </w:tc>
        <w:tc>
          <w:tcPr>
            <w:tcW w:w="1501" w:type="dxa"/>
            <w:tcBorders>
              <w:top w:val="nil"/>
              <w:left w:val="nil"/>
              <w:bottom w:val="single" w:sz="4" w:space="0" w:color="auto"/>
              <w:right w:val="single" w:sz="4" w:space="0" w:color="auto"/>
            </w:tcBorders>
            <w:shd w:val="clear" w:color="auto" w:fill="auto"/>
            <w:noWrap/>
            <w:vAlign w:val="bottom"/>
            <w:hideMark/>
          </w:tcPr>
          <w:p w14:paraId="25059BE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-1.03 (-1.30, -0.76)</w:t>
            </w:r>
          </w:p>
        </w:tc>
        <w:tc>
          <w:tcPr>
            <w:tcW w:w="924" w:type="dxa"/>
            <w:tcBorders>
              <w:top w:val="nil"/>
              <w:left w:val="nil"/>
              <w:bottom w:val="single" w:sz="4" w:space="0" w:color="auto"/>
              <w:right w:val="single" w:sz="4" w:space="0" w:color="auto"/>
            </w:tcBorders>
            <w:shd w:val="clear" w:color="auto" w:fill="auto"/>
            <w:noWrap/>
            <w:vAlign w:val="bottom"/>
            <w:hideMark/>
          </w:tcPr>
          <w:p w14:paraId="633BB73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5.20E-16</w:t>
            </w:r>
          </w:p>
        </w:tc>
        <w:tc>
          <w:tcPr>
            <w:tcW w:w="1604" w:type="dxa"/>
            <w:tcBorders>
              <w:top w:val="nil"/>
              <w:left w:val="nil"/>
              <w:bottom w:val="single" w:sz="4" w:space="0" w:color="auto"/>
              <w:right w:val="single" w:sz="4" w:space="0" w:color="auto"/>
            </w:tcBorders>
            <w:shd w:val="clear" w:color="auto" w:fill="auto"/>
            <w:noWrap/>
            <w:vAlign w:val="bottom"/>
            <w:hideMark/>
          </w:tcPr>
          <w:p w14:paraId="04F0132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8.86 (8.65, 9.09)</w:t>
            </w:r>
          </w:p>
        </w:tc>
        <w:tc>
          <w:tcPr>
            <w:tcW w:w="1604" w:type="dxa"/>
            <w:tcBorders>
              <w:top w:val="nil"/>
              <w:left w:val="nil"/>
              <w:bottom w:val="single" w:sz="4" w:space="0" w:color="auto"/>
              <w:right w:val="single" w:sz="4" w:space="0" w:color="auto"/>
            </w:tcBorders>
            <w:shd w:val="clear" w:color="auto" w:fill="auto"/>
            <w:noWrap/>
            <w:vAlign w:val="bottom"/>
            <w:hideMark/>
          </w:tcPr>
          <w:p w14:paraId="091B305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9.90 (9.71, 10.08)</w:t>
            </w:r>
          </w:p>
        </w:tc>
        <w:tc>
          <w:tcPr>
            <w:tcW w:w="1501" w:type="dxa"/>
            <w:tcBorders>
              <w:top w:val="nil"/>
              <w:left w:val="nil"/>
              <w:bottom w:val="single" w:sz="4" w:space="0" w:color="auto"/>
              <w:right w:val="single" w:sz="4" w:space="0" w:color="auto"/>
            </w:tcBorders>
            <w:shd w:val="clear" w:color="auto" w:fill="auto"/>
            <w:noWrap/>
            <w:vAlign w:val="bottom"/>
            <w:hideMark/>
          </w:tcPr>
          <w:p w14:paraId="731A081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-1.04 (-1.32, -0.75)</w:t>
            </w:r>
          </w:p>
        </w:tc>
        <w:tc>
          <w:tcPr>
            <w:tcW w:w="924" w:type="dxa"/>
            <w:tcBorders>
              <w:top w:val="nil"/>
              <w:left w:val="nil"/>
              <w:bottom w:val="single" w:sz="4" w:space="0" w:color="auto"/>
              <w:right w:val="single" w:sz="4" w:space="0" w:color="auto"/>
            </w:tcBorders>
            <w:shd w:val="clear" w:color="auto" w:fill="auto"/>
            <w:noWrap/>
            <w:vAlign w:val="bottom"/>
            <w:hideMark/>
          </w:tcPr>
          <w:p w14:paraId="48B4503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5.00E-14</w:t>
            </w:r>
          </w:p>
        </w:tc>
      </w:tr>
      <w:tr w:rsidR="0000300F" w:rsidRPr="00495E6E" w14:paraId="7DA1EC54"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4FF4C0D8"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Acute pharyngitis</w:t>
            </w:r>
          </w:p>
        </w:tc>
        <w:tc>
          <w:tcPr>
            <w:tcW w:w="1603" w:type="dxa"/>
            <w:tcBorders>
              <w:top w:val="nil"/>
              <w:left w:val="nil"/>
              <w:bottom w:val="single" w:sz="4" w:space="0" w:color="auto"/>
              <w:right w:val="single" w:sz="4" w:space="0" w:color="auto"/>
            </w:tcBorders>
            <w:shd w:val="clear" w:color="auto" w:fill="auto"/>
            <w:noWrap/>
            <w:vAlign w:val="bottom"/>
            <w:hideMark/>
          </w:tcPr>
          <w:p w14:paraId="7B96F78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3.96 (3.84, 4.08)</w:t>
            </w:r>
          </w:p>
        </w:tc>
        <w:tc>
          <w:tcPr>
            <w:tcW w:w="1604" w:type="dxa"/>
            <w:tcBorders>
              <w:top w:val="nil"/>
              <w:left w:val="nil"/>
              <w:bottom w:val="single" w:sz="4" w:space="0" w:color="auto"/>
              <w:right w:val="single" w:sz="4" w:space="0" w:color="auto"/>
            </w:tcBorders>
            <w:shd w:val="clear" w:color="auto" w:fill="auto"/>
            <w:noWrap/>
            <w:vAlign w:val="bottom"/>
            <w:hideMark/>
          </w:tcPr>
          <w:p w14:paraId="69A401A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4.42 (4.32, 4.53)</w:t>
            </w:r>
          </w:p>
        </w:tc>
        <w:tc>
          <w:tcPr>
            <w:tcW w:w="1501" w:type="dxa"/>
            <w:tcBorders>
              <w:top w:val="nil"/>
              <w:left w:val="nil"/>
              <w:bottom w:val="single" w:sz="4" w:space="0" w:color="auto"/>
              <w:right w:val="single" w:sz="4" w:space="0" w:color="auto"/>
            </w:tcBorders>
            <w:shd w:val="clear" w:color="auto" w:fill="auto"/>
            <w:noWrap/>
            <w:vAlign w:val="bottom"/>
            <w:hideMark/>
          </w:tcPr>
          <w:p w14:paraId="53E0B2F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-0.46 (-0.63, -0.30)</w:t>
            </w:r>
          </w:p>
        </w:tc>
        <w:tc>
          <w:tcPr>
            <w:tcW w:w="924" w:type="dxa"/>
            <w:tcBorders>
              <w:top w:val="nil"/>
              <w:left w:val="nil"/>
              <w:bottom w:val="single" w:sz="4" w:space="0" w:color="auto"/>
              <w:right w:val="single" w:sz="4" w:space="0" w:color="auto"/>
            </w:tcBorders>
            <w:shd w:val="clear" w:color="auto" w:fill="auto"/>
            <w:noWrap/>
            <w:vAlign w:val="bottom"/>
            <w:hideMark/>
          </w:tcPr>
          <w:p w14:paraId="6E3FAB1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7.40E-09</w:t>
            </w:r>
          </w:p>
        </w:tc>
        <w:tc>
          <w:tcPr>
            <w:tcW w:w="1604" w:type="dxa"/>
            <w:tcBorders>
              <w:top w:val="nil"/>
              <w:left w:val="nil"/>
              <w:bottom w:val="single" w:sz="4" w:space="0" w:color="auto"/>
              <w:right w:val="single" w:sz="4" w:space="0" w:color="auto"/>
            </w:tcBorders>
            <w:shd w:val="clear" w:color="auto" w:fill="auto"/>
            <w:noWrap/>
            <w:vAlign w:val="bottom"/>
            <w:hideMark/>
          </w:tcPr>
          <w:p w14:paraId="1B94668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3.95 (3.82, 4.08)</w:t>
            </w:r>
          </w:p>
        </w:tc>
        <w:tc>
          <w:tcPr>
            <w:tcW w:w="1604" w:type="dxa"/>
            <w:tcBorders>
              <w:top w:val="nil"/>
              <w:left w:val="nil"/>
              <w:bottom w:val="single" w:sz="4" w:space="0" w:color="auto"/>
              <w:right w:val="single" w:sz="4" w:space="0" w:color="auto"/>
            </w:tcBorders>
            <w:shd w:val="clear" w:color="auto" w:fill="auto"/>
            <w:noWrap/>
            <w:vAlign w:val="bottom"/>
            <w:hideMark/>
          </w:tcPr>
          <w:p w14:paraId="272D3D2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4.42 (4.32, 4.53)</w:t>
            </w:r>
          </w:p>
        </w:tc>
        <w:tc>
          <w:tcPr>
            <w:tcW w:w="1501" w:type="dxa"/>
            <w:tcBorders>
              <w:top w:val="nil"/>
              <w:left w:val="nil"/>
              <w:bottom w:val="single" w:sz="4" w:space="0" w:color="auto"/>
              <w:right w:val="single" w:sz="4" w:space="0" w:color="auto"/>
            </w:tcBorders>
            <w:shd w:val="clear" w:color="auto" w:fill="auto"/>
            <w:noWrap/>
            <w:vAlign w:val="bottom"/>
            <w:hideMark/>
          </w:tcPr>
          <w:p w14:paraId="0D8FD64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-0.47 (-0.64, -0.30)</w:t>
            </w:r>
          </w:p>
        </w:tc>
        <w:tc>
          <w:tcPr>
            <w:tcW w:w="924" w:type="dxa"/>
            <w:tcBorders>
              <w:top w:val="nil"/>
              <w:left w:val="nil"/>
              <w:bottom w:val="single" w:sz="4" w:space="0" w:color="auto"/>
              <w:right w:val="single" w:sz="4" w:space="0" w:color="auto"/>
            </w:tcBorders>
            <w:shd w:val="clear" w:color="auto" w:fill="auto"/>
            <w:noWrap/>
            <w:vAlign w:val="bottom"/>
            <w:hideMark/>
          </w:tcPr>
          <w:p w14:paraId="621C958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4.60E-08</w:t>
            </w:r>
          </w:p>
        </w:tc>
      </w:tr>
      <w:tr w:rsidR="0000300F" w:rsidRPr="00495E6E" w14:paraId="6BDC6A48"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47F455DD"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Pulmonary fibrosis</w:t>
            </w:r>
          </w:p>
        </w:tc>
        <w:tc>
          <w:tcPr>
            <w:tcW w:w="1603" w:type="dxa"/>
            <w:tcBorders>
              <w:top w:val="nil"/>
              <w:left w:val="nil"/>
              <w:bottom w:val="single" w:sz="4" w:space="0" w:color="auto"/>
              <w:right w:val="single" w:sz="4" w:space="0" w:color="auto"/>
            </w:tcBorders>
            <w:shd w:val="clear" w:color="auto" w:fill="auto"/>
            <w:noWrap/>
            <w:vAlign w:val="bottom"/>
            <w:hideMark/>
          </w:tcPr>
          <w:p w14:paraId="038EE92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1.15 (1.09, 1.22)</w:t>
            </w:r>
          </w:p>
        </w:tc>
        <w:tc>
          <w:tcPr>
            <w:tcW w:w="1604" w:type="dxa"/>
            <w:tcBorders>
              <w:top w:val="nil"/>
              <w:left w:val="nil"/>
              <w:bottom w:val="single" w:sz="4" w:space="0" w:color="auto"/>
              <w:right w:val="single" w:sz="4" w:space="0" w:color="auto"/>
            </w:tcBorders>
            <w:shd w:val="clear" w:color="auto" w:fill="auto"/>
            <w:noWrap/>
            <w:vAlign w:val="bottom"/>
            <w:hideMark/>
          </w:tcPr>
          <w:p w14:paraId="1C9396A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1.27 (1.22, 1.32)</w:t>
            </w:r>
          </w:p>
        </w:tc>
        <w:tc>
          <w:tcPr>
            <w:tcW w:w="1501" w:type="dxa"/>
            <w:tcBorders>
              <w:top w:val="nil"/>
              <w:left w:val="nil"/>
              <w:bottom w:val="single" w:sz="4" w:space="0" w:color="auto"/>
              <w:right w:val="single" w:sz="4" w:space="0" w:color="auto"/>
            </w:tcBorders>
            <w:shd w:val="clear" w:color="auto" w:fill="auto"/>
            <w:noWrap/>
            <w:vAlign w:val="bottom"/>
            <w:hideMark/>
          </w:tcPr>
          <w:p w14:paraId="65062B9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-0.12 (-0.20, -0.03)</w:t>
            </w:r>
          </w:p>
        </w:tc>
        <w:tc>
          <w:tcPr>
            <w:tcW w:w="924" w:type="dxa"/>
            <w:tcBorders>
              <w:top w:val="nil"/>
              <w:left w:val="nil"/>
              <w:bottom w:val="single" w:sz="4" w:space="0" w:color="auto"/>
              <w:right w:val="single" w:sz="4" w:space="0" w:color="auto"/>
            </w:tcBorders>
            <w:shd w:val="clear" w:color="auto" w:fill="auto"/>
            <w:noWrap/>
            <w:vAlign w:val="bottom"/>
            <w:hideMark/>
          </w:tcPr>
          <w:p w14:paraId="38C3849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0.006</w:t>
            </w:r>
          </w:p>
        </w:tc>
        <w:tc>
          <w:tcPr>
            <w:tcW w:w="1604" w:type="dxa"/>
            <w:tcBorders>
              <w:top w:val="nil"/>
              <w:left w:val="nil"/>
              <w:bottom w:val="single" w:sz="4" w:space="0" w:color="auto"/>
              <w:right w:val="single" w:sz="4" w:space="0" w:color="auto"/>
            </w:tcBorders>
            <w:shd w:val="clear" w:color="auto" w:fill="auto"/>
            <w:noWrap/>
            <w:vAlign w:val="bottom"/>
            <w:hideMark/>
          </w:tcPr>
          <w:p w14:paraId="3FC37AC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1.15 (1.08, 1.22)</w:t>
            </w:r>
          </w:p>
        </w:tc>
        <w:tc>
          <w:tcPr>
            <w:tcW w:w="1604" w:type="dxa"/>
            <w:tcBorders>
              <w:top w:val="nil"/>
              <w:left w:val="nil"/>
              <w:bottom w:val="single" w:sz="4" w:space="0" w:color="auto"/>
              <w:right w:val="single" w:sz="4" w:space="0" w:color="auto"/>
            </w:tcBorders>
            <w:shd w:val="clear" w:color="auto" w:fill="auto"/>
            <w:noWrap/>
            <w:vAlign w:val="bottom"/>
            <w:hideMark/>
          </w:tcPr>
          <w:p w14:paraId="494A659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1.27 (1.21, 1.32)</w:t>
            </w:r>
          </w:p>
        </w:tc>
        <w:tc>
          <w:tcPr>
            <w:tcW w:w="1501" w:type="dxa"/>
            <w:tcBorders>
              <w:top w:val="nil"/>
              <w:left w:val="nil"/>
              <w:bottom w:val="single" w:sz="4" w:space="0" w:color="auto"/>
              <w:right w:val="single" w:sz="4" w:space="0" w:color="auto"/>
            </w:tcBorders>
            <w:shd w:val="clear" w:color="auto" w:fill="auto"/>
            <w:noWrap/>
            <w:vAlign w:val="bottom"/>
            <w:hideMark/>
          </w:tcPr>
          <w:p w14:paraId="4628DD6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-0.12 (-0.20, -0.03)</w:t>
            </w:r>
          </w:p>
        </w:tc>
        <w:tc>
          <w:tcPr>
            <w:tcW w:w="924" w:type="dxa"/>
            <w:tcBorders>
              <w:top w:val="nil"/>
              <w:left w:val="nil"/>
              <w:bottom w:val="single" w:sz="4" w:space="0" w:color="auto"/>
              <w:right w:val="single" w:sz="4" w:space="0" w:color="auto"/>
            </w:tcBorders>
            <w:shd w:val="clear" w:color="auto" w:fill="auto"/>
            <w:noWrap/>
            <w:vAlign w:val="bottom"/>
            <w:hideMark/>
          </w:tcPr>
          <w:p w14:paraId="28C36A9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0.008</w:t>
            </w:r>
          </w:p>
        </w:tc>
      </w:tr>
      <w:tr w:rsidR="0000300F" w:rsidRPr="00495E6E" w14:paraId="04DDB76C"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01E6470B"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lastRenderedPageBreak/>
              <w:t>Pulmonary embolism</w:t>
            </w:r>
          </w:p>
        </w:tc>
        <w:tc>
          <w:tcPr>
            <w:tcW w:w="1603" w:type="dxa"/>
            <w:tcBorders>
              <w:top w:val="nil"/>
              <w:left w:val="nil"/>
              <w:bottom w:val="single" w:sz="4" w:space="0" w:color="auto"/>
              <w:right w:val="single" w:sz="4" w:space="0" w:color="auto"/>
            </w:tcBorders>
            <w:shd w:val="clear" w:color="auto" w:fill="auto"/>
            <w:noWrap/>
            <w:vAlign w:val="bottom"/>
            <w:hideMark/>
          </w:tcPr>
          <w:p w14:paraId="7A40204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0.19 (0.17, 0.22)</w:t>
            </w:r>
          </w:p>
        </w:tc>
        <w:tc>
          <w:tcPr>
            <w:tcW w:w="1604" w:type="dxa"/>
            <w:tcBorders>
              <w:top w:val="nil"/>
              <w:left w:val="nil"/>
              <w:bottom w:val="single" w:sz="4" w:space="0" w:color="auto"/>
              <w:right w:val="single" w:sz="4" w:space="0" w:color="auto"/>
            </w:tcBorders>
            <w:shd w:val="clear" w:color="auto" w:fill="auto"/>
            <w:noWrap/>
            <w:vAlign w:val="bottom"/>
            <w:hideMark/>
          </w:tcPr>
          <w:p w14:paraId="09230EE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0.29 (0.26, 0.31)</w:t>
            </w:r>
          </w:p>
        </w:tc>
        <w:tc>
          <w:tcPr>
            <w:tcW w:w="1501" w:type="dxa"/>
            <w:tcBorders>
              <w:top w:val="nil"/>
              <w:left w:val="nil"/>
              <w:bottom w:val="single" w:sz="4" w:space="0" w:color="auto"/>
              <w:right w:val="single" w:sz="4" w:space="0" w:color="auto"/>
            </w:tcBorders>
            <w:shd w:val="clear" w:color="auto" w:fill="auto"/>
            <w:noWrap/>
            <w:vAlign w:val="bottom"/>
            <w:hideMark/>
          </w:tcPr>
          <w:p w14:paraId="20FE721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-0.09 (-0.13, -0.06)</w:t>
            </w:r>
          </w:p>
        </w:tc>
        <w:tc>
          <w:tcPr>
            <w:tcW w:w="924" w:type="dxa"/>
            <w:tcBorders>
              <w:top w:val="nil"/>
              <w:left w:val="nil"/>
              <w:bottom w:val="single" w:sz="4" w:space="0" w:color="auto"/>
              <w:right w:val="single" w:sz="4" w:space="0" w:color="auto"/>
            </w:tcBorders>
            <w:shd w:val="clear" w:color="auto" w:fill="auto"/>
            <w:noWrap/>
            <w:vAlign w:val="bottom"/>
            <w:hideMark/>
          </w:tcPr>
          <w:p w14:paraId="5C6B46C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4.90E-07</w:t>
            </w:r>
          </w:p>
        </w:tc>
        <w:tc>
          <w:tcPr>
            <w:tcW w:w="1604" w:type="dxa"/>
            <w:tcBorders>
              <w:top w:val="nil"/>
              <w:left w:val="nil"/>
              <w:bottom w:val="single" w:sz="4" w:space="0" w:color="auto"/>
              <w:right w:val="single" w:sz="4" w:space="0" w:color="auto"/>
            </w:tcBorders>
            <w:shd w:val="clear" w:color="auto" w:fill="auto"/>
            <w:noWrap/>
            <w:vAlign w:val="bottom"/>
            <w:hideMark/>
          </w:tcPr>
          <w:p w14:paraId="1A870E2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0.19 (0.17, 0.22)</w:t>
            </w:r>
          </w:p>
        </w:tc>
        <w:tc>
          <w:tcPr>
            <w:tcW w:w="1604" w:type="dxa"/>
            <w:tcBorders>
              <w:top w:val="nil"/>
              <w:left w:val="nil"/>
              <w:bottom w:val="single" w:sz="4" w:space="0" w:color="auto"/>
              <w:right w:val="single" w:sz="4" w:space="0" w:color="auto"/>
            </w:tcBorders>
            <w:shd w:val="clear" w:color="auto" w:fill="auto"/>
            <w:noWrap/>
            <w:vAlign w:val="bottom"/>
            <w:hideMark/>
          </w:tcPr>
          <w:p w14:paraId="4A3670B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0.29 (0.26, 0.31)</w:t>
            </w:r>
          </w:p>
        </w:tc>
        <w:tc>
          <w:tcPr>
            <w:tcW w:w="1501" w:type="dxa"/>
            <w:tcBorders>
              <w:top w:val="nil"/>
              <w:left w:val="nil"/>
              <w:bottom w:val="single" w:sz="4" w:space="0" w:color="auto"/>
              <w:right w:val="single" w:sz="4" w:space="0" w:color="auto"/>
            </w:tcBorders>
            <w:shd w:val="clear" w:color="auto" w:fill="auto"/>
            <w:noWrap/>
            <w:vAlign w:val="bottom"/>
            <w:hideMark/>
          </w:tcPr>
          <w:p w14:paraId="258EFD1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-0.09 (-0.13, -0.06)</w:t>
            </w:r>
          </w:p>
        </w:tc>
        <w:tc>
          <w:tcPr>
            <w:tcW w:w="924" w:type="dxa"/>
            <w:tcBorders>
              <w:top w:val="nil"/>
              <w:left w:val="nil"/>
              <w:bottom w:val="single" w:sz="4" w:space="0" w:color="auto"/>
              <w:right w:val="single" w:sz="4" w:space="0" w:color="auto"/>
            </w:tcBorders>
            <w:shd w:val="clear" w:color="auto" w:fill="auto"/>
            <w:noWrap/>
            <w:vAlign w:val="bottom"/>
            <w:hideMark/>
          </w:tcPr>
          <w:p w14:paraId="798F2DD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2.90E-06</w:t>
            </w:r>
          </w:p>
        </w:tc>
      </w:tr>
      <w:tr w:rsidR="0000300F" w:rsidRPr="00495E6E" w14:paraId="38579FDB"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48D24D87"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Thromboembolism</w:t>
            </w:r>
          </w:p>
        </w:tc>
        <w:tc>
          <w:tcPr>
            <w:tcW w:w="1603" w:type="dxa"/>
            <w:tcBorders>
              <w:top w:val="nil"/>
              <w:left w:val="nil"/>
              <w:bottom w:val="single" w:sz="4" w:space="0" w:color="auto"/>
              <w:right w:val="single" w:sz="4" w:space="0" w:color="auto"/>
            </w:tcBorders>
            <w:shd w:val="clear" w:color="auto" w:fill="auto"/>
            <w:noWrap/>
            <w:vAlign w:val="bottom"/>
            <w:hideMark/>
          </w:tcPr>
          <w:p w14:paraId="46F4FCB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0.34 (0.31, 0.37)</w:t>
            </w:r>
          </w:p>
        </w:tc>
        <w:tc>
          <w:tcPr>
            <w:tcW w:w="1604" w:type="dxa"/>
            <w:tcBorders>
              <w:top w:val="nil"/>
              <w:left w:val="nil"/>
              <w:bottom w:val="single" w:sz="4" w:space="0" w:color="auto"/>
              <w:right w:val="single" w:sz="4" w:space="0" w:color="auto"/>
            </w:tcBorders>
            <w:shd w:val="clear" w:color="auto" w:fill="auto"/>
            <w:noWrap/>
            <w:vAlign w:val="bottom"/>
            <w:hideMark/>
          </w:tcPr>
          <w:p w14:paraId="3F90266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0.44 (0.41, 0.47)</w:t>
            </w:r>
          </w:p>
        </w:tc>
        <w:tc>
          <w:tcPr>
            <w:tcW w:w="1501" w:type="dxa"/>
            <w:tcBorders>
              <w:top w:val="nil"/>
              <w:left w:val="nil"/>
              <w:bottom w:val="single" w:sz="4" w:space="0" w:color="auto"/>
              <w:right w:val="single" w:sz="4" w:space="0" w:color="auto"/>
            </w:tcBorders>
            <w:shd w:val="clear" w:color="auto" w:fill="auto"/>
            <w:noWrap/>
            <w:vAlign w:val="bottom"/>
            <w:hideMark/>
          </w:tcPr>
          <w:p w14:paraId="181D945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-0.10 (-0.14, -0.05)</w:t>
            </w:r>
          </w:p>
        </w:tc>
        <w:tc>
          <w:tcPr>
            <w:tcW w:w="924" w:type="dxa"/>
            <w:tcBorders>
              <w:top w:val="nil"/>
              <w:left w:val="nil"/>
              <w:bottom w:val="single" w:sz="4" w:space="0" w:color="auto"/>
              <w:right w:val="single" w:sz="4" w:space="0" w:color="auto"/>
            </w:tcBorders>
            <w:shd w:val="clear" w:color="auto" w:fill="auto"/>
            <w:noWrap/>
            <w:vAlign w:val="bottom"/>
            <w:hideMark/>
          </w:tcPr>
          <w:p w14:paraId="41D1529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2.90E-05</w:t>
            </w:r>
          </w:p>
        </w:tc>
        <w:tc>
          <w:tcPr>
            <w:tcW w:w="1604" w:type="dxa"/>
            <w:tcBorders>
              <w:top w:val="nil"/>
              <w:left w:val="nil"/>
              <w:bottom w:val="single" w:sz="4" w:space="0" w:color="auto"/>
              <w:right w:val="single" w:sz="4" w:space="0" w:color="auto"/>
            </w:tcBorders>
            <w:shd w:val="clear" w:color="auto" w:fill="auto"/>
            <w:noWrap/>
            <w:vAlign w:val="bottom"/>
            <w:hideMark/>
          </w:tcPr>
          <w:p w14:paraId="1659EAB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0.34 (0.30, 0.37)</w:t>
            </w:r>
          </w:p>
        </w:tc>
        <w:tc>
          <w:tcPr>
            <w:tcW w:w="1604" w:type="dxa"/>
            <w:tcBorders>
              <w:top w:val="nil"/>
              <w:left w:val="nil"/>
              <w:bottom w:val="single" w:sz="4" w:space="0" w:color="auto"/>
              <w:right w:val="single" w:sz="4" w:space="0" w:color="auto"/>
            </w:tcBorders>
            <w:shd w:val="clear" w:color="auto" w:fill="auto"/>
            <w:noWrap/>
            <w:vAlign w:val="bottom"/>
            <w:hideMark/>
          </w:tcPr>
          <w:p w14:paraId="128DEDA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0.44 (0.41, 0.47)</w:t>
            </w:r>
          </w:p>
        </w:tc>
        <w:tc>
          <w:tcPr>
            <w:tcW w:w="1501" w:type="dxa"/>
            <w:tcBorders>
              <w:top w:val="nil"/>
              <w:left w:val="nil"/>
              <w:bottom w:val="single" w:sz="4" w:space="0" w:color="auto"/>
              <w:right w:val="single" w:sz="4" w:space="0" w:color="auto"/>
            </w:tcBorders>
            <w:shd w:val="clear" w:color="auto" w:fill="auto"/>
            <w:noWrap/>
            <w:vAlign w:val="bottom"/>
            <w:hideMark/>
          </w:tcPr>
          <w:p w14:paraId="69E31FF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-0.10 (-0.15, -0.05)</w:t>
            </w:r>
          </w:p>
        </w:tc>
        <w:tc>
          <w:tcPr>
            <w:tcW w:w="924" w:type="dxa"/>
            <w:tcBorders>
              <w:top w:val="nil"/>
              <w:left w:val="nil"/>
              <w:bottom w:val="single" w:sz="4" w:space="0" w:color="auto"/>
              <w:right w:val="single" w:sz="4" w:space="0" w:color="auto"/>
            </w:tcBorders>
            <w:shd w:val="clear" w:color="auto" w:fill="auto"/>
            <w:noWrap/>
            <w:vAlign w:val="bottom"/>
            <w:hideMark/>
          </w:tcPr>
          <w:p w14:paraId="494D5F8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6.70E-05</w:t>
            </w:r>
          </w:p>
        </w:tc>
      </w:tr>
      <w:tr w:rsidR="0000300F" w:rsidRPr="00495E6E" w14:paraId="5E24FD2B"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149C6329"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Chest pain</w:t>
            </w:r>
          </w:p>
        </w:tc>
        <w:tc>
          <w:tcPr>
            <w:tcW w:w="1603" w:type="dxa"/>
            <w:tcBorders>
              <w:top w:val="nil"/>
              <w:left w:val="nil"/>
              <w:bottom w:val="single" w:sz="4" w:space="0" w:color="auto"/>
              <w:right w:val="single" w:sz="4" w:space="0" w:color="auto"/>
            </w:tcBorders>
            <w:shd w:val="clear" w:color="auto" w:fill="auto"/>
            <w:noWrap/>
            <w:vAlign w:val="bottom"/>
            <w:hideMark/>
          </w:tcPr>
          <w:p w14:paraId="4E94E42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3.26 (3.15, 3.37)</w:t>
            </w:r>
          </w:p>
        </w:tc>
        <w:tc>
          <w:tcPr>
            <w:tcW w:w="1604" w:type="dxa"/>
            <w:tcBorders>
              <w:top w:val="nil"/>
              <w:left w:val="nil"/>
              <w:bottom w:val="single" w:sz="4" w:space="0" w:color="auto"/>
              <w:right w:val="single" w:sz="4" w:space="0" w:color="auto"/>
            </w:tcBorders>
            <w:shd w:val="clear" w:color="auto" w:fill="auto"/>
            <w:noWrap/>
            <w:vAlign w:val="bottom"/>
            <w:hideMark/>
          </w:tcPr>
          <w:p w14:paraId="41007D5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3.74 (3.64, 3.84)</w:t>
            </w:r>
          </w:p>
        </w:tc>
        <w:tc>
          <w:tcPr>
            <w:tcW w:w="1501" w:type="dxa"/>
            <w:tcBorders>
              <w:top w:val="nil"/>
              <w:left w:val="nil"/>
              <w:bottom w:val="single" w:sz="4" w:space="0" w:color="auto"/>
              <w:right w:val="single" w:sz="4" w:space="0" w:color="auto"/>
            </w:tcBorders>
            <w:shd w:val="clear" w:color="auto" w:fill="auto"/>
            <w:noWrap/>
            <w:vAlign w:val="bottom"/>
            <w:hideMark/>
          </w:tcPr>
          <w:p w14:paraId="4AD6152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-0.48 (-0.62, -0.33)</w:t>
            </w:r>
          </w:p>
        </w:tc>
        <w:tc>
          <w:tcPr>
            <w:tcW w:w="924" w:type="dxa"/>
            <w:tcBorders>
              <w:top w:val="nil"/>
              <w:left w:val="nil"/>
              <w:bottom w:val="single" w:sz="4" w:space="0" w:color="auto"/>
              <w:right w:val="single" w:sz="4" w:space="0" w:color="auto"/>
            </w:tcBorders>
            <w:shd w:val="clear" w:color="auto" w:fill="auto"/>
            <w:noWrap/>
            <w:vAlign w:val="bottom"/>
            <w:hideMark/>
          </w:tcPr>
          <w:p w14:paraId="11F748A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6.00E-11</w:t>
            </w:r>
          </w:p>
        </w:tc>
        <w:tc>
          <w:tcPr>
            <w:tcW w:w="1604" w:type="dxa"/>
            <w:tcBorders>
              <w:top w:val="nil"/>
              <w:left w:val="nil"/>
              <w:bottom w:val="single" w:sz="4" w:space="0" w:color="auto"/>
              <w:right w:val="single" w:sz="4" w:space="0" w:color="auto"/>
            </w:tcBorders>
            <w:shd w:val="clear" w:color="auto" w:fill="auto"/>
            <w:noWrap/>
            <w:vAlign w:val="bottom"/>
            <w:hideMark/>
          </w:tcPr>
          <w:p w14:paraId="56A9DD7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3.26 (3.14, 3.39)</w:t>
            </w:r>
          </w:p>
        </w:tc>
        <w:tc>
          <w:tcPr>
            <w:tcW w:w="1604" w:type="dxa"/>
            <w:tcBorders>
              <w:top w:val="nil"/>
              <w:left w:val="nil"/>
              <w:bottom w:val="single" w:sz="4" w:space="0" w:color="auto"/>
              <w:right w:val="single" w:sz="4" w:space="0" w:color="auto"/>
            </w:tcBorders>
            <w:shd w:val="clear" w:color="auto" w:fill="auto"/>
            <w:noWrap/>
            <w:vAlign w:val="bottom"/>
            <w:hideMark/>
          </w:tcPr>
          <w:p w14:paraId="4DA2190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3.74 (3.64, 3.84)</w:t>
            </w:r>
          </w:p>
        </w:tc>
        <w:tc>
          <w:tcPr>
            <w:tcW w:w="1501" w:type="dxa"/>
            <w:tcBorders>
              <w:top w:val="nil"/>
              <w:left w:val="nil"/>
              <w:bottom w:val="single" w:sz="4" w:space="0" w:color="auto"/>
              <w:right w:val="single" w:sz="4" w:space="0" w:color="auto"/>
            </w:tcBorders>
            <w:shd w:val="clear" w:color="auto" w:fill="auto"/>
            <w:noWrap/>
            <w:vAlign w:val="bottom"/>
            <w:hideMark/>
          </w:tcPr>
          <w:p w14:paraId="5EA7634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-0.48 (-0.63, -0.31)</w:t>
            </w:r>
          </w:p>
        </w:tc>
        <w:tc>
          <w:tcPr>
            <w:tcW w:w="924" w:type="dxa"/>
            <w:tcBorders>
              <w:top w:val="nil"/>
              <w:left w:val="nil"/>
              <w:bottom w:val="single" w:sz="4" w:space="0" w:color="auto"/>
              <w:right w:val="single" w:sz="4" w:space="0" w:color="auto"/>
            </w:tcBorders>
            <w:shd w:val="clear" w:color="auto" w:fill="auto"/>
            <w:noWrap/>
            <w:vAlign w:val="bottom"/>
            <w:hideMark/>
          </w:tcPr>
          <w:p w14:paraId="56999CE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1.60E-09</w:t>
            </w:r>
          </w:p>
        </w:tc>
      </w:tr>
      <w:tr w:rsidR="0000300F" w:rsidRPr="00495E6E" w14:paraId="47B40D3E"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4C113DC0"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Dysrhythmia</w:t>
            </w:r>
          </w:p>
        </w:tc>
        <w:tc>
          <w:tcPr>
            <w:tcW w:w="1603" w:type="dxa"/>
            <w:tcBorders>
              <w:top w:val="nil"/>
              <w:left w:val="nil"/>
              <w:bottom w:val="single" w:sz="4" w:space="0" w:color="auto"/>
              <w:right w:val="single" w:sz="4" w:space="0" w:color="auto"/>
            </w:tcBorders>
            <w:shd w:val="clear" w:color="auto" w:fill="auto"/>
            <w:noWrap/>
            <w:vAlign w:val="bottom"/>
            <w:hideMark/>
          </w:tcPr>
          <w:p w14:paraId="4C7AD48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3.89 (3.76, 4.01)</w:t>
            </w:r>
          </w:p>
        </w:tc>
        <w:tc>
          <w:tcPr>
            <w:tcW w:w="1604" w:type="dxa"/>
            <w:tcBorders>
              <w:top w:val="nil"/>
              <w:left w:val="nil"/>
              <w:bottom w:val="single" w:sz="4" w:space="0" w:color="auto"/>
              <w:right w:val="single" w:sz="4" w:space="0" w:color="auto"/>
            </w:tcBorders>
            <w:shd w:val="clear" w:color="auto" w:fill="auto"/>
            <w:noWrap/>
            <w:vAlign w:val="bottom"/>
            <w:hideMark/>
          </w:tcPr>
          <w:p w14:paraId="1F3725F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4.24 (4.14, 4.35)</w:t>
            </w:r>
          </w:p>
        </w:tc>
        <w:tc>
          <w:tcPr>
            <w:tcW w:w="1501" w:type="dxa"/>
            <w:tcBorders>
              <w:top w:val="nil"/>
              <w:left w:val="nil"/>
              <w:bottom w:val="single" w:sz="4" w:space="0" w:color="auto"/>
              <w:right w:val="single" w:sz="4" w:space="0" w:color="auto"/>
            </w:tcBorders>
            <w:shd w:val="clear" w:color="auto" w:fill="auto"/>
            <w:noWrap/>
            <w:vAlign w:val="bottom"/>
            <w:hideMark/>
          </w:tcPr>
          <w:p w14:paraId="21B84B0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-0.36 (-0.52, -0.20)</w:t>
            </w:r>
          </w:p>
        </w:tc>
        <w:tc>
          <w:tcPr>
            <w:tcW w:w="924" w:type="dxa"/>
            <w:tcBorders>
              <w:top w:val="nil"/>
              <w:left w:val="nil"/>
              <w:bottom w:val="single" w:sz="4" w:space="0" w:color="auto"/>
              <w:right w:val="single" w:sz="4" w:space="0" w:color="auto"/>
            </w:tcBorders>
            <w:shd w:val="clear" w:color="auto" w:fill="auto"/>
            <w:noWrap/>
            <w:vAlign w:val="bottom"/>
            <w:hideMark/>
          </w:tcPr>
          <w:p w14:paraId="3623EEC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6.80E-06</w:t>
            </w:r>
          </w:p>
        </w:tc>
        <w:tc>
          <w:tcPr>
            <w:tcW w:w="1604" w:type="dxa"/>
            <w:tcBorders>
              <w:top w:val="nil"/>
              <w:left w:val="nil"/>
              <w:bottom w:val="single" w:sz="4" w:space="0" w:color="auto"/>
              <w:right w:val="single" w:sz="4" w:space="0" w:color="auto"/>
            </w:tcBorders>
            <w:shd w:val="clear" w:color="auto" w:fill="auto"/>
            <w:noWrap/>
            <w:vAlign w:val="bottom"/>
            <w:hideMark/>
          </w:tcPr>
          <w:p w14:paraId="1B8C96A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3.89 (3.76, 4.02)</w:t>
            </w:r>
          </w:p>
        </w:tc>
        <w:tc>
          <w:tcPr>
            <w:tcW w:w="1604" w:type="dxa"/>
            <w:tcBorders>
              <w:top w:val="nil"/>
              <w:left w:val="nil"/>
              <w:bottom w:val="single" w:sz="4" w:space="0" w:color="auto"/>
              <w:right w:val="single" w:sz="4" w:space="0" w:color="auto"/>
            </w:tcBorders>
            <w:shd w:val="clear" w:color="auto" w:fill="auto"/>
            <w:noWrap/>
            <w:vAlign w:val="bottom"/>
            <w:hideMark/>
          </w:tcPr>
          <w:p w14:paraId="7B7C1AE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4.24 (4.14, 4.36)</w:t>
            </w:r>
          </w:p>
        </w:tc>
        <w:tc>
          <w:tcPr>
            <w:tcW w:w="1501" w:type="dxa"/>
            <w:tcBorders>
              <w:top w:val="nil"/>
              <w:left w:val="nil"/>
              <w:bottom w:val="single" w:sz="4" w:space="0" w:color="auto"/>
              <w:right w:val="single" w:sz="4" w:space="0" w:color="auto"/>
            </w:tcBorders>
            <w:shd w:val="clear" w:color="auto" w:fill="auto"/>
            <w:noWrap/>
            <w:vAlign w:val="bottom"/>
            <w:hideMark/>
          </w:tcPr>
          <w:p w14:paraId="6321A78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-0.36 (-0.52, -0.20)</w:t>
            </w:r>
          </w:p>
        </w:tc>
        <w:tc>
          <w:tcPr>
            <w:tcW w:w="924" w:type="dxa"/>
            <w:tcBorders>
              <w:top w:val="nil"/>
              <w:left w:val="nil"/>
              <w:bottom w:val="single" w:sz="4" w:space="0" w:color="auto"/>
              <w:right w:val="single" w:sz="4" w:space="0" w:color="auto"/>
            </w:tcBorders>
            <w:shd w:val="clear" w:color="auto" w:fill="auto"/>
            <w:noWrap/>
            <w:vAlign w:val="bottom"/>
            <w:hideMark/>
          </w:tcPr>
          <w:p w14:paraId="1D25A19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1.70E-05</w:t>
            </w:r>
          </w:p>
        </w:tc>
      </w:tr>
      <w:tr w:rsidR="0000300F" w:rsidRPr="00495E6E" w14:paraId="40B3ABDE"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616CEDFF"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Anemia</w:t>
            </w:r>
          </w:p>
        </w:tc>
        <w:tc>
          <w:tcPr>
            <w:tcW w:w="1603" w:type="dxa"/>
            <w:tcBorders>
              <w:top w:val="nil"/>
              <w:left w:val="nil"/>
              <w:bottom w:val="single" w:sz="4" w:space="0" w:color="auto"/>
              <w:right w:val="single" w:sz="4" w:space="0" w:color="auto"/>
            </w:tcBorders>
            <w:shd w:val="clear" w:color="auto" w:fill="auto"/>
            <w:noWrap/>
            <w:vAlign w:val="bottom"/>
            <w:hideMark/>
          </w:tcPr>
          <w:p w14:paraId="2AF32DC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2.29 (2.20, 2.38)</w:t>
            </w:r>
          </w:p>
        </w:tc>
        <w:tc>
          <w:tcPr>
            <w:tcW w:w="1604" w:type="dxa"/>
            <w:tcBorders>
              <w:top w:val="nil"/>
              <w:left w:val="nil"/>
              <w:bottom w:val="single" w:sz="4" w:space="0" w:color="auto"/>
              <w:right w:val="single" w:sz="4" w:space="0" w:color="auto"/>
            </w:tcBorders>
            <w:shd w:val="clear" w:color="auto" w:fill="auto"/>
            <w:noWrap/>
            <w:vAlign w:val="bottom"/>
            <w:hideMark/>
          </w:tcPr>
          <w:p w14:paraId="4E2ED79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2.78 (2.70, 2.86)</w:t>
            </w:r>
          </w:p>
        </w:tc>
        <w:tc>
          <w:tcPr>
            <w:tcW w:w="1501" w:type="dxa"/>
            <w:tcBorders>
              <w:top w:val="nil"/>
              <w:left w:val="nil"/>
              <w:bottom w:val="single" w:sz="4" w:space="0" w:color="auto"/>
              <w:right w:val="single" w:sz="4" w:space="0" w:color="auto"/>
            </w:tcBorders>
            <w:shd w:val="clear" w:color="auto" w:fill="auto"/>
            <w:noWrap/>
            <w:vAlign w:val="bottom"/>
            <w:hideMark/>
          </w:tcPr>
          <w:p w14:paraId="7612C36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-0.49 (-0.61, -0.37)</w:t>
            </w:r>
          </w:p>
        </w:tc>
        <w:tc>
          <w:tcPr>
            <w:tcW w:w="924" w:type="dxa"/>
            <w:tcBorders>
              <w:top w:val="nil"/>
              <w:left w:val="nil"/>
              <w:bottom w:val="single" w:sz="4" w:space="0" w:color="auto"/>
              <w:right w:val="single" w:sz="4" w:space="0" w:color="auto"/>
            </w:tcBorders>
            <w:shd w:val="clear" w:color="auto" w:fill="auto"/>
            <w:noWrap/>
            <w:vAlign w:val="bottom"/>
            <w:hideMark/>
          </w:tcPr>
          <w:p w14:paraId="48E0368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8.70E-16</w:t>
            </w:r>
          </w:p>
        </w:tc>
        <w:tc>
          <w:tcPr>
            <w:tcW w:w="1604" w:type="dxa"/>
            <w:tcBorders>
              <w:top w:val="nil"/>
              <w:left w:val="nil"/>
              <w:bottom w:val="single" w:sz="4" w:space="0" w:color="auto"/>
              <w:right w:val="single" w:sz="4" w:space="0" w:color="auto"/>
            </w:tcBorders>
            <w:shd w:val="clear" w:color="auto" w:fill="auto"/>
            <w:noWrap/>
            <w:vAlign w:val="bottom"/>
            <w:hideMark/>
          </w:tcPr>
          <w:p w14:paraId="5C99356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2.29 (2.19, 2.39)</w:t>
            </w:r>
          </w:p>
        </w:tc>
        <w:tc>
          <w:tcPr>
            <w:tcW w:w="1604" w:type="dxa"/>
            <w:tcBorders>
              <w:top w:val="nil"/>
              <w:left w:val="nil"/>
              <w:bottom w:val="single" w:sz="4" w:space="0" w:color="auto"/>
              <w:right w:val="single" w:sz="4" w:space="0" w:color="auto"/>
            </w:tcBorders>
            <w:shd w:val="clear" w:color="auto" w:fill="auto"/>
            <w:noWrap/>
            <w:vAlign w:val="bottom"/>
            <w:hideMark/>
          </w:tcPr>
          <w:p w14:paraId="7CA2B87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2.78 (2.70, 2.87)</w:t>
            </w:r>
          </w:p>
        </w:tc>
        <w:tc>
          <w:tcPr>
            <w:tcW w:w="1501" w:type="dxa"/>
            <w:tcBorders>
              <w:top w:val="nil"/>
              <w:left w:val="nil"/>
              <w:bottom w:val="single" w:sz="4" w:space="0" w:color="auto"/>
              <w:right w:val="single" w:sz="4" w:space="0" w:color="auto"/>
            </w:tcBorders>
            <w:shd w:val="clear" w:color="auto" w:fill="auto"/>
            <w:noWrap/>
            <w:vAlign w:val="bottom"/>
            <w:hideMark/>
          </w:tcPr>
          <w:p w14:paraId="098C67D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-0.49 (-0.63, -0.36)</w:t>
            </w:r>
          </w:p>
        </w:tc>
        <w:tc>
          <w:tcPr>
            <w:tcW w:w="924" w:type="dxa"/>
            <w:tcBorders>
              <w:top w:val="nil"/>
              <w:left w:val="nil"/>
              <w:bottom w:val="single" w:sz="4" w:space="0" w:color="auto"/>
              <w:right w:val="single" w:sz="4" w:space="0" w:color="auto"/>
            </w:tcBorders>
            <w:shd w:val="clear" w:color="auto" w:fill="auto"/>
            <w:noWrap/>
            <w:vAlign w:val="bottom"/>
            <w:hideMark/>
          </w:tcPr>
          <w:p w14:paraId="6A790B4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4.90E-13</w:t>
            </w:r>
          </w:p>
        </w:tc>
      </w:tr>
      <w:tr w:rsidR="0000300F" w:rsidRPr="00495E6E" w14:paraId="65DEC4F3"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47D53924"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Malnutrition</w:t>
            </w:r>
          </w:p>
        </w:tc>
        <w:tc>
          <w:tcPr>
            <w:tcW w:w="1603" w:type="dxa"/>
            <w:tcBorders>
              <w:top w:val="nil"/>
              <w:left w:val="nil"/>
              <w:bottom w:val="single" w:sz="4" w:space="0" w:color="auto"/>
              <w:right w:val="single" w:sz="4" w:space="0" w:color="auto"/>
            </w:tcBorders>
            <w:shd w:val="clear" w:color="auto" w:fill="auto"/>
            <w:noWrap/>
            <w:vAlign w:val="bottom"/>
            <w:hideMark/>
          </w:tcPr>
          <w:p w14:paraId="59FDFD9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0.30 (0.27, 0.34)</w:t>
            </w:r>
          </w:p>
        </w:tc>
        <w:tc>
          <w:tcPr>
            <w:tcW w:w="1604" w:type="dxa"/>
            <w:tcBorders>
              <w:top w:val="nil"/>
              <w:left w:val="nil"/>
              <w:bottom w:val="single" w:sz="4" w:space="0" w:color="auto"/>
              <w:right w:val="single" w:sz="4" w:space="0" w:color="auto"/>
            </w:tcBorders>
            <w:shd w:val="clear" w:color="auto" w:fill="auto"/>
            <w:noWrap/>
            <w:vAlign w:val="bottom"/>
            <w:hideMark/>
          </w:tcPr>
          <w:p w14:paraId="7FF61F5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0.47 (0.44, 0.50)</w:t>
            </w:r>
          </w:p>
        </w:tc>
        <w:tc>
          <w:tcPr>
            <w:tcW w:w="1501" w:type="dxa"/>
            <w:tcBorders>
              <w:top w:val="nil"/>
              <w:left w:val="nil"/>
              <w:bottom w:val="single" w:sz="4" w:space="0" w:color="auto"/>
              <w:right w:val="single" w:sz="4" w:space="0" w:color="auto"/>
            </w:tcBorders>
            <w:shd w:val="clear" w:color="auto" w:fill="auto"/>
            <w:noWrap/>
            <w:vAlign w:val="bottom"/>
            <w:hideMark/>
          </w:tcPr>
          <w:p w14:paraId="201DEB4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-0.16 (-0.21, -0.12)</w:t>
            </w:r>
          </w:p>
        </w:tc>
        <w:tc>
          <w:tcPr>
            <w:tcW w:w="924" w:type="dxa"/>
            <w:tcBorders>
              <w:top w:val="nil"/>
              <w:left w:val="nil"/>
              <w:bottom w:val="single" w:sz="4" w:space="0" w:color="auto"/>
              <w:right w:val="single" w:sz="4" w:space="0" w:color="auto"/>
            </w:tcBorders>
            <w:shd w:val="clear" w:color="auto" w:fill="auto"/>
            <w:noWrap/>
            <w:vAlign w:val="bottom"/>
            <w:hideMark/>
          </w:tcPr>
          <w:p w14:paraId="36D8017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4.60E-12</w:t>
            </w:r>
          </w:p>
        </w:tc>
        <w:tc>
          <w:tcPr>
            <w:tcW w:w="1604" w:type="dxa"/>
            <w:tcBorders>
              <w:top w:val="nil"/>
              <w:left w:val="nil"/>
              <w:bottom w:val="single" w:sz="4" w:space="0" w:color="auto"/>
              <w:right w:val="single" w:sz="4" w:space="0" w:color="auto"/>
            </w:tcBorders>
            <w:shd w:val="clear" w:color="auto" w:fill="auto"/>
            <w:noWrap/>
            <w:vAlign w:val="bottom"/>
            <w:hideMark/>
          </w:tcPr>
          <w:p w14:paraId="17BE44E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0.30 (0.27, 0.34)</w:t>
            </w:r>
          </w:p>
        </w:tc>
        <w:tc>
          <w:tcPr>
            <w:tcW w:w="1604" w:type="dxa"/>
            <w:tcBorders>
              <w:top w:val="nil"/>
              <w:left w:val="nil"/>
              <w:bottom w:val="single" w:sz="4" w:space="0" w:color="auto"/>
              <w:right w:val="single" w:sz="4" w:space="0" w:color="auto"/>
            </w:tcBorders>
            <w:shd w:val="clear" w:color="auto" w:fill="auto"/>
            <w:noWrap/>
            <w:vAlign w:val="bottom"/>
            <w:hideMark/>
          </w:tcPr>
          <w:p w14:paraId="7965E44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0.47 (0.44, 0.51)</w:t>
            </w:r>
          </w:p>
        </w:tc>
        <w:tc>
          <w:tcPr>
            <w:tcW w:w="1501" w:type="dxa"/>
            <w:tcBorders>
              <w:top w:val="nil"/>
              <w:left w:val="nil"/>
              <w:bottom w:val="single" w:sz="4" w:space="0" w:color="auto"/>
              <w:right w:val="single" w:sz="4" w:space="0" w:color="auto"/>
            </w:tcBorders>
            <w:shd w:val="clear" w:color="auto" w:fill="auto"/>
            <w:noWrap/>
            <w:vAlign w:val="bottom"/>
            <w:hideMark/>
          </w:tcPr>
          <w:p w14:paraId="54F33E8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-0.17 (-0.22, -0.12)</w:t>
            </w:r>
          </w:p>
        </w:tc>
        <w:tc>
          <w:tcPr>
            <w:tcW w:w="924" w:type="dxa"/>
            <w:tcBorders>
              <w:top w:val="nil"/>
              <w:left w:val="nil"/>
              <w:bottom w:val="single" w:sz="4" w:space="0" w:color="auto"/>
              <w:right w:val="single" w:sz="4" w:space="0" w:color="auto"/>
            </w:tcBorders>
            <w:shd w:val="clear" w:color="auto" w:fill="auto"/>
            <w:noWrap/>
            <w:vAlign w:val="bottom"/>
            <w:hideMark/>
          </w:tcPr>
          <w:p w14:paraId="12B2868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4.10E-11</w:t>
            </w:r>
          </w:p>
        </w:tc>
      </w:tr>
      <w:tr w:rsidR="0000300F" w:rsidRPr="00495E6E" w14:paraId="57EA3605"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2E36800F"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Diabetes</w:t>
            </w:r>
          </w:p>
        </w:tc>
        <w:tc>
          <w:tcPr>
            <w:tcW w:w="1603" w:type="dxa"/>
            <w:tcBorders>
              <w:top w:val="nil"/>
              <w:left w:val="nil"/>
              <w:bottom w:val="single" w:sz="4" w:space="0" w:color="auto"/>
              <w:right w:val="single" w:sz="4" w:space="0" w:color="auto"/>
            </w:tcBorders>
            <w:shd w:val="clear" w:color="auto" w:fill="auto"/>
            <w:noWrap/>
            <w:vAlign w:val="bottom"/>
            <w:hideMark/>
          </w:tcPr>
          <w:p w14:paraId="7BDB9AD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1.24 (1.18, 1.32)</w:t>
            </w:r>
          </w:p>
        </w:tc>
        <w:tc>
          <w:tcPr>
            <w:tcW w:w="1604" w:type="dxa"/>
            <w:tcBorders>
              <w:top w:val="nil"/>
              <w:left w:val="nil"/>
              <w:bottom w:val="single" w:sz="4" w:space="0" w:color="auto"/>
              <w:right w:val="single" w:sz="4" w:space="0" w:color="auto"/>
            </w:tcBorders>
            <w:shd w:val="clear" w:color="auto" w:fill="auto"/>
            <w:noWrap/>
            <w:vAlign w:val="bottom"/>
            <w:hideMark/>
          </w:tcPr>
          <w:p w14:paraId="32D0DAD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1.42 (1.36, 1.48)</w:t>
            </w:r>
          </w:p>
        </w:tc>
        <w:tc>
          <w:tcPr>
            <w:tcW w:w="1501" w:type="dxa"/>
            <w:tcBorders>
              <w:top w:val="nil"/>
              <w:left w:val="nil"/>
              <w:bottom w:val="single" w:sz="4" w:space="0" w:color="auto"/>
              <w:right w:val="single" w:sz="4" w:space="0" w:color="auto"/>
            </w:tcBorders>
            <w:shd w:val="clear" w:color="auto" w:fill="auto"/>
            <w:noWrap/>
            <w:vAlign w:val="bottom"/>
            <w:hideMark/>
          </w:tcPr>
          <w:p w14:paraId="116839C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-0.18 (-0.27, -0.08)</w:t>
            </w:r>
          </w:p>
        </w:tc>
        <w:tc>
          <w:tcPr>
            <w:tcW w:w="924" w:type="dxa"/>
            <w:tcBorders>
              <w:top w:val="nil"/>
              <w:left w:val="nil"/>
              <w:bottom w:val="single" w:sz="4" w:space="0" w:color="auto"/>
              <w:right w:val="single" w:sz="4" w:space="0" w:color="auto"/>
            </w:tcBorders>
            <w:shd w:val="clear" w:color="auto" w:fill="auto"/>
            <w:noWrap/>
            <w:vAlign w:val="bottom"/>
            <w:hideMark/>
          </w:tcPr>
          <w:p w14:paraId="667C7E2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1.50E-04</w:t>
            </w:r>
          </w:p>
        </w:tc>
        <w:tc>
          <w:tcPr>
            <w:tcW w:w="1604" w:type="dxa"/>
            <w:tcBorders>
              <w:top w:val="nil"/>
              <w:left w:val="nil"/>
              <w:bottom w:val="single" w:sz="4" w:space="0" w:color="auto"/>
              <w:right w:val="single" w:sz="4" w:space="0" w:color="auto"/>
            </w:tcBorders>
            <w:shd w:val="clear" w:color="auto" w:fill="auto"/>
            <w:noWrap/>
            <w:vAlign w:val="bottom"/>
            <w:hideMark/>
          </w:tcPr>
          <w:p w14:paraId="51014EC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1.25 (1.17, 1.32)</w:t>
            </w:r>
          </w:p>
        </w:tc>
        <w:tc>
          <w:tcPr>
            <w:tcW w:w="1604" w:type="dxa"/>
            <w:tcBorders>
              <w:top w:val="nil"/>
              <w:left w:val="nil"/>
              <w:bottom w:val="single" w:sz="4" w:space="0" w:color="auto"/>
              <w:right w:val="single" w:sz="4" w:space="0" w:color="auto"/>
            </w:tcBorders>
            <w:shd w:val="clear" w:color="auto" w:fill="auto"/>
            <w:noWrap/>
            <w:vAlign w:val="bottom"/>
            <w:hideMark/>
          </w:tcPr>
          <w:p w14:paraId="3A3703C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1.42 (1.36, 1.48)</w:t>
            </w:r>
          </w:p>
        </w:tc>
        <w:tc>
          <w:tcPr>
            <w:tcW w:w="1501" w:type="dxa"/>
            <w:tcBorders>
              <w:top w:val="nil"/>
              <w:left w:val="nil"/>
              <w:bottom w:val="single" w:sz="4" w:space="0" w:color="auto"/>
              <w:right w:val="single" w:sz="4" w:space="0" w:color="auto"/>
            </w:tcBorders>
            <w:shd w:val="clear" w:color="auto" w:fill="auto"/>
            <w:noWrap/>
            <w:vAlign w:val="bottom"/>
            <w:hideMark/>
          </w:tcPr>
          <w:p w14:paraId="6B97BB1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-0.17 (-0.27, -0.07)</w:t>
            </w:r>
          </w:p>
        </w:tc>
        <w:tc>
          <w:tcPr>
            <w:tcW w:w="924" w:type="dxa"/>
            <w:tcBorders>
              <w:top w:val="nil"/>
              <w:left w:val="nil"/>
              <w:bottom w:val="single" w:sz="4" w:space="0" w:color="auto"/>
              <w:right w:val="single" w:sz="4" w:space="0" w:color="auto"/>
            </w:tcBorders>
            <w:shd w:val="clear" w:color="auto" w:fill="auto"/>
            <w:noWrap/>
            <w:vAlign w:val="bottom"/>
            <w:hideMark/>
          </w:tcPr>
          <w:p w14:paraId="36F108C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5.00E-04</w:t>
            </w:r>
          </w:p>
        </w:tc>
      </w:tr>
      <w:tr w:rsidR="0000300F" w:rsidRPr="00495E6E" w14:paraId="04B9A312"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4F275075"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Edema</w:t>
            </w:r>
          </w:p>
        </w:tc>
        <w:tc>
          <w:tcPr>
            <w:tcW w:w="1603" w:type="dxa"/>
            <w:tcBorders>
              <w:top w:val="nil"/>
              <w:left w:val="nil"/>
              <w:bottom w:val="single" w:sz="4" w:space="0" w:color="auto"/>
              <w:right w:val="single" w:sz="4" w:space="0" w:color="auto"/>
            </w:tcBorders>
            <w:shd w:val="clear" w:color="auto" w:fill="auto"/>
            <w:noWrap/>
            <w:vAlign w:val="bottom"/>
            <w:hideMark/>
          </w:tcPr>
          <w:p w14:paraId="32466EE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5.30 (5.15, 5.45)</w:t>
            </w:r>
          </w:p>
        </w:tc>
        <w:tc>
          <w:tcPr>
            <w:tcW w:w="1604" w:type="dxa"/>
            <w:tcBorders>
              <w:top w:val="nil"/>
              <w:left w:val="nil"/>
              <w:bottom w:val="single" w:sz="4" w:space="0" w:color="auto"/>
              <w:right w:val="single" w:sz="4" w:space="0" w:color="auto"/>
            </w:tcBorders>
            <w:shd w:val="clear" w:color="auto" w:fill="auto"/>
            <w:noWrap/>
            <w:vAlign w:val="bottom"/>
            <w:hideMark/>
          </w:tcPr>
          <w:p w14:paraId="5319319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6.00 (5.87, 6.13)</w:t>
            </w:r>
          </w:p>
        </w:tc>
        <w:tc>
          <w:tcPr>
            <w:tcW w:w="1501" w:type="dxa"/>
            <w:tcBorders>
              <w:top w:val="nil"/>
              <w:left w:val="nil"/>
              <w:bottom w:val="single" w:sz="4" w:space="0" w:color="auto"/>
              <w:right w:val="single" w:sz="4" w:space="0" w:color="auto"/>
            </w:tcBorders>
            <w:shd w:val="clear" w:color="auto" w:fill="auto"/>
            <w:noWrap/>
            <w:vAlign w:val="bottom"/>
            <w:hideMark/>
          </w:tcPr>
          <w:p w14:paraId="0890450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-0.69 (-0.89, -0.49)</w:t>
            </w:r>
          </w:p>
        </w:tc>
        <w:tc>
          <w:tcPr>
            <w:tcW w:w="924" w:type="dxa"/>
            <w:tcBorders>
              <w:top w:val="nil"/>
              <w:left w:val="nil"/>
              <w:bottom w:val="single" w:sz="4" w:space="0" w:color="auto"/>
              <w:right w:val="single" w:sz="4" w:space="0" w:color="auto"/>
            </w:tcBorders>
            <w:shd w:val="clear" w:color="auto" w:fill="auto"/>
            <w:noWrap/>
            <w:vAlign w:val="bottom"/>
            <w:hideMark/>
          </w:tcPr>
          <w:p w14:paraId="21B3CDF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8.60E-13</w:t>
            </w:r>
          </w:p>
        </w:tc>
        <w:tc>
          <w:tcPr>
            <w:tcW w:w="1604" w:type="dxa"/>
            <w:tcBorders>
              <w:top w:val="nil"/>
              <w:left w:val="nil"/>
              <w:bottom w:val="single" w:sz="4" w:space="0" w:color="auto"/>
              <w:right w:val="single" w:sz="4" w:space="0" w:color="auto"/>
            </w:tcBorders>
            <w:shd w:val="clear" w:color="auto" w:fill="auto"/>
            <w:noWrap/>
            <w:vAlign w:val="bottom"/>
            <w:hideMark/>
          </w:tcPr>
          <w:p w14:paraId="09F25D9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5.31 (5.15, 5.47)</w:t>
            </w:r>
          </w:p>
        </w:tc>
        <w:tc>
          <w:tcPr>
            <w:tcW w:w="1604" w:type="dxa"/>
            <w:tcBorders>
              <w:top w:val="nil"/>
              <w:left w:val="nil"/>
              <w:bottom w:val="single" w:sz="4" w:space="0" w:color="auto"/>
              <w:right w:val="single" w:sz="4" w:space="0" w:color="auto"/>
            </w:tcBorders>
            <w:shd w:val="clear" w:color="auto" w:fill="auto"/>
            <w:noWrap/>
            <w:vAlign w:val="bottom"/>
            <w:hideMark/>
          </w:tcPr>
          <w:p w14:paraId="31FC6AC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5.99 (5.85, 6.12)</w:t>
            </w:r>
          </w:p>
        </w:tc>
        <w:tc>
          <w:tcPr>
            <w:tcW w:w="1501" w:type="dxa"/>
            <w:tcBorders>
              <w:top w:val="nil"/>
              <w:left w:val="nil"/>
              <w:bottom w:val="single" w:sz="4" w:space="0" w:color="auto"/>
              <w:right w:val="single" w:sz="4" w:space="0" w:color="auto"/>
            </w:tcBorders>
            <w:shd w:val="clear" w:color="auto" w:fill="auto"/>
            <w:noWrap/>
            <w:vAlign w:val="bottom"/>
            <w:hideMark/>
          </w:tcPr>
          <w:p w14:paraId="3B992BB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-0.68 (-0.90, -0.48)</w:t>
            </w:r>
          </w:p>
        </w:tc>
        <w:tc>
          <w:tcPr>
            <w:tcW w:w="924" w:type="dxa"/>
            <w:tcBorders>
              <w:top w:val="nil"/>
              <w:left w:val="nil"/>
              <w:bottom w:val="single" w:sz="4" w:space="0" w:color="auto"/>
              <w:right w:val="single" w:sz="4" w:space="0" w:color="auto"/>
            </w:tcBorders>
            <w:shd w:val="clear" w:color="auto" w:fill="auto"/>
            <w:noWrap/>
            <w:vAlign w:val="bottom"/>
            <w:hideMark/>
          </w:tcPr>
          <w:p w14:paraId="7E2FA42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1.30E-10</w:t>
            </w:r>
          </w:p>
        </w:tc>
      </w:tr>
      <w:tr w:rsidR="0000300F" w:rsidRPr="00495E6E" w14:paraId="7C3E85C2"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60B1ABD9"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Constipation</w:t>
            </w:r>
          </w:p>
        </w:tc>
        <w:tc>
          <w:tcPr>
            <w:tcW w:w="1603" w:type="dxa"/>
            <w:tcBorders>
              <w:top w:val="nil"/>
              <w:left w:val="nil"/>
              <w:bottom w:val="single" w:sz="4" w:space="0" w:color="auto"/>
              <w:right w:val="single" w:sz="4" w:space="0" w:color="auto"/>
            </w:tcBorders>
            <w:shd w:val="clear" w:color="auto" w:fill="auto"/>
            <w:noWrap/>
            <w:vAlign w:val="bottom"/>
            <w:hideMark/>
          </w:tcPr>
          <w:p w14:paraId="1B1A9A8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2.26 (2.17, 2.35)</w:t>
            </w:r>
          </w:p>
        </w:tc>
        <w:tc>
          <w:tcPr>
            <w:tcW w:w="1604" w:type="dxa"/>
            <w:tcBorders>
              <w:top w:val="nil"/>
              <w:left w:val="nil"/>
              <w:bottom w:val="single" w:sz="4" w:space="0" w:color="auto"/>
              <w:right w:val="single" w:sz="4" w:space="0" w:color="auto"/>
            </w:tcBorders>
            <w:shd w:val="clear" w:color="auto" w:fill="auto"/>
            <w:noWrap/>
            <w:vAlign w:val="bottom"/>
            <w:hideMark/>
          </w:tcPr>
          <w:p w14:paraId="66A6AF5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2.64 (2.56, 2.72)</w:t>
            </w:r>
          </w:p>
        </w:tc>
        <w:tc>
          <w:tcPr>
            <w:tcW w:w="1501" w:type="dxa"/>
            <w:tcBorders>
              <w:top w:val="nil"/>
              <w:left w:val="nil"/>
              <w:bottom w:val="single" w:sz="4" w:space="0" w:color="auto"/>
              <w:right w:val="single" w:sz="4" w:space="0" w:color="auto"/>
            </w:tcBorders>
            <w:shd w:val="clear" w:color="auto" w:fill="auto"/>
            <w:noWrap/>
            <w:vAlign w:val="bottom"/>
            <w:hideMark/>
          </w:tcPr>
          <w:p w14:paraId="23A274D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-0.38 (-0.50, -0.26)</w:t>
            </w:r>
          </w:p>
        </w:tc>
        <w:tc>
          <w:tcPr>
            <w:tcW w:w="924" w:type="dxa"/>
            <w:tcBorders>
              <w:top w:val="nil"/>
              <w:left w:val="nil"/>
              <w:bottom w:val="single" w:sz="4" w:space="0" w:color="auto"/>
              <w:right w:val="single" w:sz="4" w:space="0" w:color="auto"/>
            </w:tcBorders>
            <w:shd w:val="clear" w:color="auto" w:fill="auto"/>
            <w:noWrap/>
            <w:vAlign w:val="bottom"/>
            <w:hideMark/>
          </w:tcPr>
          <w:p w14:paraId="2A68AE0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3.10E-10</w:t>
            </w:r>
          </w:p>
        </w:tc>
        <w:tc>
          <w:tcPr>
            <w:tcW w:w="1604" w:type="dxa"/>
            <w:tcBorders>
              <w:top w:val="nil"/>
              <w:left w:val="nil"/>
              <w:bottom w:val="single" w:sz="4" w:space="0" w:color="auto"/>
              <w:right w:val="single" w:sz="4" w:space="0" w:color="auto"/>
            </w:tcBorders>
            <w:shd w:val="clear" w:color="auto" w:fill="auto"/>
            <w:noWrap/>
            <w:vAlign w:val="bottom"/>
            <w:hideMark/>
          </w:tcPr>
          <w:p w14:paraId="0CE9013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2.26 (2.16, 2.35)</w:t>
            </w:r>
          </w:p>
        </w:tc>
        <w:tc>
          <w:tcPr>
            <w:tcW w:w="1604" w:type="dxa"/>
            <w:tcBorders>
              <w:top w:val="nil"/>
              <w:left w:val="nil"/>
              <w:bottom w:val="single" w:sz="4" w:space="0" w:color="auto"/>
              <w:right w:val="single" w:sz="4" w:space="0" w:color="auto"/>
            </w:tcBorders>
            <w:shd w:val="clear" w:color="auto" w:fill="auto"/>
            <w:noWrap/>
            <w:vAlign w:val="bottom"/>
            <w:hideMark/>
          </w:tcPr>
          <w:p w14:paraId="61DF3C3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2.64 (2.56, 2.73)</w:t>
            </w:r>
          </w:p>
        </w:tc>
        <w:tc>
          <w:tcPr>
            <w:tcW w:w="1501" w:type="dxa"/>
            <w:tcBorders>
              <w:top w:val="nil"/>
              <w:left w:val="nil"/>
              <w:bottom w:val="single" w:sz="4" w:space="0" w:color="auto"/>
              <w:right w:val="single" w:sz="4" w:space="0" w:color="auto"/>
            </w:tcBorders>
            <w:shd w:val="clear" w:color="auto" w:fill="auto"/>
            <w:noWrap/>
            <w:vAlign w:val="bottom"/>
            <w:hideMark/>
          </w:tcPr>
          <w:p w14:paraId="4C16098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-0.39 (-0.52, -0.26)</w:t>
            </w:r>
          </w:p>
        </w:tc>
        <w:tc>
          <w:tcPr>
            <w:tcW w:w="924" w:type="dxa"/>
            <w:tcBorders>
              <w:top w:val="nil"/>
              <w:left w:val="nil"/>
              <w:bottom w:val="single" w:sz="4" w:space="0" w:color="auto"/>
              <w:right w:val="single" w:sz="4" w:space="0" w:color="auto"/>
            </w:tcBorders>
            <w:shd w:val="clear" w:color="auto" w:fill="auto"/>
            <w:noWrap/>
            <w:vAlign w:val="bottom"/>
            <w:hideMark/>
          </w:tcPr>
          <w:p w14:paraId="04779FE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2.20E-09</w:t>
            </w:r>
          </w:p>
        </w:tc>
      </w:tr>
      <w:tr w:rsidR="0000300F" w:rsidRPr="00495E6E" w14:paraId="55465739"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059E54B2"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Abdominal pain</w:t>
            </w:r>
          </w:p>
        </w:tc>
        <w:tc>
          <w:tcPr>
            <w:tcW w:w="1603" w:type="dxa"/>
            <w:tcBorders>
              <w:top w:val="nil"/>
              <w:left w:val="nil"/>
              <w:bottom w:val="single" w:sz="4" w:space="0" w:color="auto"/>
              <w:right w:val="single" w:sz="4" w:space="0" w:color="auto"/>
            </w:tcBorders>
            <w:shd w:val="clear" w:color="auto" w:fill="auto"/>
            <w:noWrap/>
            <w:vAlign w:val="bottom"/>
            <w:hideMark/>
          </w:tcPr>
          <w:p w14:paraId="2623F5D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6.50 (6.33, 6.67)</w:t>
            </w:r>
          </w:p>
        </w:tc>
        <w:tc>
          <w:tcPr>
            <w:tcW w:w="1604" w:type="dxa"/>
            <w:tcBorders>
              <w:top w:val="nil"/>
              <w:left w:val="nil"/>
              <w:bottom w:val="single" w:sz="4" w:space="0" w:color="auto"/>
              <w:right w:val="single" w:sz="4" w:space="0" w:color="auto"/>
            </w:tcBorders>
            <w:shd w:val="clear" w:color="auto" w:fill="auto"/>
            <w:noWrap/>
            <w:vAlign w:val="bottom"/>
            <w:hideMark/>
          </w:tcPr>
          <w:p w14:paraId="4C9A6C3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7.42 (7.28, 7.58)</w:t>
            </w:r>
          </w:p>
        </w:tc>
        <w:tc>
          <w:tcPr>
            <w:tcW w:w="1501" w:type="dxa"/>
            <w:tcBorders>
              <w:top w:val="nil"/>
              <w:left w:val="nil"/>
              <w:bottom w:val="single" w:sz="4" w:space="0" w:color="auto"/>
              <w:right w:val="single" w:sz="4" w:space="0" w:color="auto"/>
            </w:tcBorders>
            <w:shd w:val="clear" w:color="auto" w:fill="auto"/>
            <w:noWrap/>
            <w:vAlign w:val="bottom"/>
            <w:hideMark/>
          </w:tcPr>
          <w:p w14:paraId="5B36DF5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-0.92 (-1.15, -0.70)</w:t>
            </w:r>
          </w:p>
        </w:tc>
        <w:tc>
          <w:tcPr>
            <w:tcW w:w="924" w:type="dxa"/>
            <w:tcBorders>
              <w:top w:val="nil"/>
              <w:left w:val="nil"/>
              <w:bottom w:val="single" w:sz="4" w:space="0" w:color="auto"/>
              <w:right w:val="single" w:sz="4" w:space="0" w:color="auto"/>
            </w:tcBorders>
            <w:shd w:val="clear" w:color="auto" w:fill="auto"/>
            <w:noWrap/>
            <w:vAlign w:val="bottom"/>
            <w:hideMark/>
          </w:tcPr>
          <w:p w14:paraId="6322C02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2.80E-17</w:t>
            </w:r>
          </w:p>
        </w:tc>
        <w:tc>
          <w:tcPr>
            <w:tcW w:w="1604" w:type="dxa"/>
            <w:tcBorders>
              <w:top w:val="nil"/>
              <w:left w:val="nil"/>
              <w:bottom w:val="single" w:sz="4" w:space="0" w:color="auto"/>
              <w:right w:val="single" w:sz="4" w:space="0" w:color="auto"/>
            </w:tcBorders>
            <w:shd w:val="clear" w:color="auto" w:fill="auto"/>
            <w:noWrap/>
            <w:vAlign w:val="bottom"/>
            <w:hideMark/>
          </w:tcPr>
          <w:p w14:paraId="4732972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6.51 (6.31, 6.70)</w:t>
            </w:r>
          </w:p>
        </w:tc>
        <w:tc>
          <w:tcPr>
            <w:tcW w:w="1604" w:type="dxa"/>
            <w:tcBorders>
              <w:top w:val="nil"/>
              <w:left w:val="nil"/>
              <w:bottom w:val="single" w:sz="4" w:space="0" w:color="auto"/>
              <w:right w:val="single" w:sz="4" w:space="0" w:color="auto"/>
            </w:tcBorders>
            <w:shd w:val="clear" w:color="auto" w:fill="auto"/>
            <w:noWrap/>
            <w:vAlign w:val="bottom"/>
            <w:hideMark/>
          </w:tcPr>
          <w:p w14:paraId="7ADE484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7.42 (7.26, 7.58)</w:t>
            </w:r>
          </w:p>
        </w:tc>
        <w:tc>
          <w:tcPr>
            <w:tcW w:w="1501" w:type="dxa"/>
            <w:tcBorders>
              <w:top w:val="nil"/>
              <w:left w:val="nil"/>
              <w:bottom w:val="single" w:sz="4" w:space="0" w:color="auto"/>
              <w:right w:val="single" w:sz="4" w:space="0" w:color="auto"/>
            </w:tcBorders>
            <w:shd w:val="clear" w:color="auto" w:fill="auto"/>
            <w:noWrap/>
            <w:vAlign w:val="bottom"/>
            <w:hideMark/>
          </w:tcPr>
          <w:p w14:paraId="3C86B43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-0.92 (-1.16, -0.68)</w:t>
            </w:r>
          </w:p>
        </w:tc>
        <w:tc>
          <w:tcPr>
            <w:tcW w:w="924" w:type="dxa"/>
            <w:tcBorders>
              <w:top w:val="nil"/>
              <w:left w:val="nil"/>
              <w:bottom w:val="single" w:sz="4" w:space="0" w:color="auto"/>
              <w:right w:val="single" w:sz="4" w:space="0" w:color="auto"/>
            </w:tcBorders>
            <w:shd w:val="clear" w:color="auto" w:fill="auto"/>
            <w:noWrap/>
            <w:vAlign w:val="bottom"/>
            <w:hideMark/>
          </w:tcPr>
          <w:p w14:paraId="16BC6A4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1.80E-14</w:t>
            </w:r>
          </w:p>
        </w:tc>
      </w:tr>
      <w:tr w:rsidR="0000300F" w:rsidRPr="00495E6E" w14:paraId="5AC0FA7C"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068D0458"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Joint pain</w:t>
            </w:r>
          </w:p>
        </w:tc>
        <w:tc>
          <w:tcPr>
            <w:tcW w:w="1603" w:type="dxa"/>
            <w:tcBorders>
              <w:top w:val="nil"/>
              <w:left w:val="nil"/>
              <w:bottom w:val="single" w:sz="4" w:space="0" w:color="auto"/>
              <w:right w:val="single" w:sz="4" w:space="0" w:color="auto"/>
            </w:tcBorders>
            <w:shd w:val="clear" w:color="auto" w:fill="auto"/>
            <w:noWrap/>
            <w:vAlign w:val="bottom"/>
            <w:hideMark/>
          </w:tcPr>
          <w:p w14:paraId="6AEC674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8.41 (8.19, 8.62)</w:t>
            </w:r>
          </w:p>
        </w:tc>
        <w:tc>
          <w:tcPr>
            <w:tcW w:w="1604" w:type="dxa"/>
            <w:tcBorders>
              <w:top w:val="nil"/>
              <w:left w:val="nil"/>
              <w:bottom w:val="single" w:sz="4" w:space="0" w:color="auto"/>
              <w:right w:val="single" w:sz="4" w:space="0" w:color="auto"/>
            </w:tcBorders>
            <w:shd w:val="clear" w:color="auto" w:fill="auto"/>
            <w:noWrap/>
            <w:vAlign w:val="bottom"/>
            <w:hideMark/>
          </w:tcPr>
          <w:p w14:paraId="0A4206C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9.68 (9.49, 9.86)</w:t>
            </w:r>
          </w:p>
        </w:tc>
        <w:tc>
          <w:tcPr>
            <w:tcW w:w="1501" w:type="dxa"/>
            <w:tcBorders>
              <w:top w:val="nil"/>
              <w:left w:val="nil"/>
              <w:bottom w:val="single" w:sz="4" w:space="0" w:color="auto"/>
              <w:right w:val="single" w:sz="4" w:space="0" w:color="auto"/>
            </w:tcBorders>
            <w:shd w:val="clear" w:color="auto" w:fill="auto"/>
            <w:noWrap/>
            <w:vAlign w:val="bottom"/>
            <w:hideMark/>
          </w:tcPr>
          <w:p w14:paraId="220BA66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-1.27 (-1.55, -0.99)</w:t>
            </w:r>
          </w:p>
        </w:tc>
        <w:tc>
          <w:tcPr>
            <w:tcW w:w="924" w:type="dxa"/>
            <w:tcBorders>
              <w:top w:val="nil"/>
              <w:left w:val="nil"/>
              <w:bottom w:val="single" w:sz="4" w:space="0" w:color="auto"/>
              <w:right w:val="single" w:sz="4" w:space="0" w:color="auto"/>
            </w:tcBorders>
            <w:shd w:val="clear" w:color="auto" w:fill="auto"/>
            <w:noWrap/>
            <w:vAlign w:val="bottom"/>
            <w:hideMark/>
          </w:tcPr>
          <w:p w14:paraId="33FAFB7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1.60E-21</w:t>
            </w:r>
          </w:p>
        </w:tc>
        <w:tc>
          <w:tcPr>
            <w:tcW w:w="1604" w:type="dxa"/>
            <w:tcBorders>
              <w:top w:val="nil"/>
              <w:left w:val="nil"/>
              <w:bottom w:val="single" w:sz="4" w:space="0" w:color="auto"/>
              <w:right w:val="single" w:sz="4" w:space="0" w:color="auto"/>
            </w:tcBorders>
            <w:shd w:val="clear" w:color="auto" w:fill="auto"/>
            <w:noWrap/>
            <w:vAlign w:val="bottom"/>
            <w:hideMark/>
          </w:tcPr>
          <w:p w14:paraId="3E8E7D8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8.41 (8.17, 8.64)</w:t>
            </w:r>
          </w:p>
        </w:tc>
        <w:tc>
          <w:tcPr>
            <w:tcW w:w="1604" w:type="dxa"/>
            <w:tcBorders>
              <w:top w:val="nil"/>
              <w:left w:val="nil"/>
              <w:bottom w:val="single" w:sz="4" w:space="0" w:color="auto"/>
              <w:right w:val="single" w:sz="4" w:space="0" w:color="auto"/>
            </w:tcBorders>
            <w:shd w:val="clear" w:color="auto" w:fill="auto"/>
            <w:noWrap/>
            <w:vAlign w:val="bottom"/>
            <w:hideMark/>
          </w:tcPr>
          <w:p w14:paraId="7B72170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9.67 (9.48, 9.87)</w:t>
            </w:r>
          </w:p>
        </w:tc>
        <w:tc>
          <w:tcPr>
            <w:tcW w:w="1501" w:type="dxa"/>
            <w:tcBorders>
              <w:top w:val="nil"/>
              <w:left w:val="nil"/>
              <w:bottom w:val="single" w:sz="4" w:space="0" w:color="auto"/>
              <w:right w:val="single" w:sz="4" w:space="0" w:color="auto"/>
            </w:tcBorders>
            <w:shd w:val="clear" w:color="auto" w:fill="auto"/>
            <w:noWrap/>
            <w:vAlign w:val="bottom"/>
            <w:hideMark/>
          </w:tcPr>
          <w:p w14:paraId="62E96A5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-1.26 (-1.56, -0.96)</w:t>
            </w:r>
          </w:p>
        </w:tc>
        <w:tc>
          <w:tcPr>
            <w:tcW w:w="924" w:type="dxa"/>
            <w:tcBorders>
              <w:top w:val="nil"/>
              <w:left w:val="nil"/>
              <w:bottom w:val="single" w:sz="4" w:space="0" w:color="auto"/>
              <w:right w:val="single" w:sz="4" w:space="0" w:color="auto"/>
            </w:tcBorders>
            <w:shd w:val="clear" w:color="auto" w:fill="auto"/>
            <w:noWrap/>
            <w:vAlign w:val="bottom"/>
            <w:hideMark/>
          </w:tcPr>
          <w:p w14:paraId="2FA1518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1.40E-18</w:t>
            </w:r>
          </w:p>
        </w:tc>
      </w:tr>
      <w:tr w:rsidR="0000300F" w:rsidRPr="00495E6E" w14:paraId="3D09D46F"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38565677"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Smell and taste</w:t>
            </w:r>
          </w:p>
        </w:tc>
        <w:tc>
          <w:tcPr>
            <w:tcW w:w="1603" w:type="dxa"/>
            <w:tcBorders>
              <w:top w:val="nil"/>
              <w:left w:val="nil"/>
              <w:bottom w:val="single" w:sz="4" w:space="0" w:color="auto"/>
              <w:right w:val="single" w:sz="4" w:space="0" w:color="auto"/>
            </w:tcBorders>
            <w:shd w:val="clear" w:color="auto" w:fill="auto"/>
            <w:noWrap/>
            <w:vAlign w:val="bottom"/>
            <w:hideMark/>
          </w:tcPr>
          <w:p w14:paraId="633FF0E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0.11 (0.10, 0.13)</w:t>
            </w:r>
          </w:p>
        </w:tc>
        <w:tc>
          <w:tcPr>
            <w:tcW w:w="1604" w:type="dxa"/>
            <w:tcBorders>
              <w:top w:val="nil"/>
              <w:left w:val="nil"/>
              <w:bottom w:val="single" w:sz="4" w:space="0" w:color="auto"/>
              <w:right w:val="single" w:sz="4" w:space="0" w:color="auto"/>
            </w:tcBorders>
            <w:shd w:val="clear" w:color="auto" w:fill="auto"/>
            <w:noWrap/>
            <w:vAlign w:val="bottom"/>
            <w:hideMark/>
          </w:tcPr>
          <w:p w14:paraId="2709369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0.14 (0.13, 0.16)</w:t>
            </w:r>
          </w:p>
        </w:tc>
        <w:tc>
          <w:tcPr>
            <w:tcW w:w="1501" w:type="dxa"/>
            <w:tcBorders>
              <w:top w:val="nil"/>
              <w:left w:val="nil"/>
              <w:bottom w:val="single" w:sz="4" w:space="0" w:color="auto"/>
              <w:right w:val="single" w:sz="4" w:space="0" w:color="auto"/>
            </w:tcBorders>
            <w:shd w:val="clear" w:color="auto" w:fill="auto"/>
            <w:noWrap/>
            <w:vAlign w:val="bottom"/>
            <w:hideMark/>
          </w:tcPr>
          <w:p w14:paraId="2781126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-0.03 (-0.06, -0.00)</w:t>
            </w:r>
          </w:p>
        </w:tc>
        <w:tc>
          <w:tcPr>
            <w:tcW w:w="924" w:type="dxa"/>
            <w:tcBorders>
              <w:top w:val="nil"/>
              <w:left w:val="nil"/>
              <w:bottom w:val="single" w:sz="4" w:space="0" w:color="auto"/>
              <w:right w:val="single" w:sz="4" w:space="0" w:color="auto"/>
            </w:tcBorders>
            <w:shd w:val="clear" w:color="auto" w:fill="auto"/>
            <w:noWrap/>
            <w:vAlign w:val="bottom"/>
            <w:hideMark/>
          </w:tcPr>
          <w:p w14:paraId="1DACE74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0.03</w:t>
            </w:r>
          </w:p>
        </w:tc>
        <w:tc>
          <w:tcPr>
            <w:tcW w:w="1604" w:type="dxa"/>
            <w:tcBorders>
              <w:top w:val="nil"/>
              <w:left w:val="nil"/>
              <w:bottom w:val="single" w:sz="4" w:space="0" w:color="auto"/>
              <w:right w:val="single" w:sz="4" w:space="0" w:color="auto"/>
            </w:tcBorders>
            <w:shd w:val="clear" w:color="auto" w:fill="auto"/>
            <w:noWrap/>
            <w:vAlign w:val="bottom"/>
            <w:hideMark/>
          </w:tcPr>
          <w:p w14:paraId="0D32003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0.11 (0.10, 0.13)</w:t>
            </w:r>
          </w:p>
        </w:tc>
        <w:tc>
          <w:tcPr>
            <w:tcW w:w="1604" w:type="dxa"/>
            <w:tcBorders>
              <w:top w:val="nil"/>
              <w:left w:val="nil"/>
              <w:bottom w:val="single" w:sz="4" w:space="0" w:color="auto"/>
              <w:right w:val="single" w:sz="4" w:space="0" w:color="auto"/>
            </w:tcBorders>
            <w:shd w:val="clear" w:color="auto" w:fill="auto"/>
            <w:noWrap/>
            <w:vAlign w:val="bottom"/>
            <w:hideMark/>
          </w:tcPr>
          <w:p w14:paraId="523EFAE5"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0.14 (0.13, 0.16)</w:t>
            </w:r>
          </w:p>
        </w:tc>
        <w:tc>
          <w:tcPr>
            <w:tcW w:w="1501" w:type="dxa"/>
            <w:tcBorders>
              <w:top w:val="nil"/>
              <w:left w:val="nil"/>
              <w:bottom w:val="single" w:sz="4" w:space="0" w:color="auto"/>
              <w:right w:val="single" w:sz="4" w:space="0" w:color="auto"/>
            </w:tcBorders>
            <w:shd w:val="clear" w:color="auto" w:fill="auto"/>
            <w:noWrap/>
            <w:vAlign w:val="bottom"/>
            <w:hideMark/>
          </w:tcPr>
          <w:p w14:paraId="552C16E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-0.03 (-0.06, -0.00)</w:t>
            </w:r>
          </w:p>
        </w:tc>
        <w:tc>
          <w:tcPr>
            <w:tcW w:w="924" w:type="dxa"/>
            <w:tcBorders>
              <w:top w:val="nil"/>
              <w:left w:val="nil"/>
              <w:bottom w:val="single" w:sz="4" w:space="0" w:color="auto"/>
              <w:right w:val="single" w:sz="4" w:space="0" w:color="auto"/>
            </w:tcBorders>
            <w:shd w:val="clear" w:color="auto" w:fill="auto"/>
            <w:noWrap/>
            <w:vAlign w:val="bottom"/>
            <w:hideMark/>
          </w:tcPr>
          <w:p w14:paraId="1776A0F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0.031</w:t>
            </w:r>
          </w:p>
        </w:tc>
      </w:tr>
      <w:tr w:rsidR="0000300F" w:rsidRPr="00495E6E" w14:paraId="43A0D8B7"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3D2782B6"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Fever</w:t>
            </w:r>
          </w:p>
        </w:tc>
        <w:tc>
          <w:tcPr>
            <w:tcW w:w="1603" w:type="dxa"/>
            <w:tcBorders>
              <w:top w:val="nil"/>
              <w:left w:val="nil"/>
              <w:bottom w:val="single" w:sz="4" w:space="0" w:color="auto"/>
              <w:right w:val="single" w:sz="4" w:space="0" w:color="auto"/>
            </w:tcBorders>
            <w:shd w:val="clear" w:color="auto" w:fill="auto"/>
            <w:noWrap/>
            <w:vAlign w:val="bottom"/>
            <w:hideMark/>
          </w:tcPr>
          <w:p w14:paraId="2FCE588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1.01 (0.95, 1.07)</w:t>
            </w:r>
          </w:p>
        </w:tc>
        <w:tc>
          <w:tcPr>
            <w:tcW w:w="1604" w:type="dxa"/>
            <w:tcBorders>
              <w:top w:val="nil"/>
              <w:left w:val="nil"/>
              <w:bottom w:val="single" w:sz="4" w:space="0" w:color="auto"/>
              <w:right w:val="single" w:sz="4" w:space="0" w:color="auto"/>
            </w:tcBorders>
            <w:shd w:val="clear" w:color="auto" w:fill="auto"/>
            <w:noWrap/>
            <w:vAlign w:val="bottom"/>
            <w:hideMark/>
          </w:tcPr>
          <w:p w14:paraId="1A274023"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1.23 (1.17, 1.28)</w:t>
            </w:r>
          </w:p>
        </w:tc>
        <w:tc>
          <w:tcPr>
            <w:tcW w:w="1501" w:type="dxa"/>
            <w:tcBorders>
              <w:top w:val="nil"/>
              <w:left w:val="nil"/>
              <w:bottom w:val="single" w:sz="4" w:space="0" w:color="auto"/>
              <w:right w:val="single" w:sz="4" w:space="0" w:color="auto"/>
            </w:tcBorders>
            <w:shd w:val="clear" w:color="auto" w:fill="auto"/>
            <w:noWrap/>
            <w:vAlign w:val="bottom"/>
            <w:hideMark/>
          </w:tcPr>
          <w:p w14:paraId="6ED43350"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-0.22 (-0.29, -0.14)</w:t>
            </w:r>
          </w:p>
        </w:tc>
        <w:tc>
          <w:tcPr>
            <w:tcW w:w="924" w:type="dxa"/>
            <w:tcBorders>
              <w:top w:val="nil"/>
              <w:left w:val="nil"/>
              <w:bottom w:val="single" w:sz="4" w:space="0" w:color="auto"/>
              <w:right w:val="single" w:sz="4" w:space="0" w:color="auto"/>
            </w:tcBorders>
            <w:shd w:val="clear" w:color="auto" w:fill="auto"/>
            <w:noWrap/>
            <w:vAlign w:val="bottom"/>
            <w:hideMark/>
          </w:tcPr>
          <w:p w14:paraId="5DC1718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1.20E-07</w:t>
            </w:r>
          </w:p>
        </w:tc>
        <w:tc>
          <w:tcPr>
            <w:tcW w:w="1604" w:type="dxa"/>
            <w:tcBorders>
              <w:top w:val="nil"/>
              <w:left w:val="nil"/>
              <w:bottom w:val="single" w:sz="4" w:space="0" w:color="auto"/>
              <w:right w:val="single" w:sz="4" w:space="0" w:color="auto"/>
            </w:tcBorders>
            <w:shd w:val="clear" w:color="auto" w:fill="auto"/>
            <w:noWrap/>
            <w:vAlign w:val="bottom"/>
            <w:hideMark/>
          </w:tcPr>
          <w:p w14:paraId="612D56C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1.01 (0.95, 1.08)</w:t>
            </w:r>
          </w:p>
        </w:tc>
        <w:tc>
          <w:tcPr>
            <w:tcW w:w="1604" w:type="dxa"/>
            <w:tcBorders>
              <w:top w:val="nil"/>
              <w:left w:val="nil"/>
              <w:bottom w:val="single" w:sz="4" w:space="0" w:color="auto"/>
              <w:right w:val="single" w:sz="4" w:space="0" w:color="auto"/>
            </w:tcBorders>
            <w:shd w:val="clear" w:color="auto" w:fill="auto"/>
            <w:noWrap/>
            <w:vAlign w:val="bottom"/>
            <w:hideMark/>
          </w:tcPr>
          <w:p w14:paraId="2367117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1.23 (1.17, 1.28)</w:t>
            </w:r>
          </w:p>
        </w:tc>
        <w:tc>
          <w:tcPr>
            <w:tcW w:w="1501" w:type="dxa"/>
            <w:tcBorders>
              <w:top w:val="nil"/>
              <w:left w:val="nil"/>
              <w:bottom w:val="single" w:sz="4" w:space="0" w:color="auto"/>
              <w:right w:val="single" w:sz="4" w:space="0" w:color="auto"/>
            </w:tcBorders>
            <w:shd w:val="clear" w:color="auto" w:fill="auto"/>
            <w:noWrap/>
            <w:vAlign w:val="bottom"/>
            <w:hideMark/>
          </w:tcPr>
          <w:p w14:paraId="44160821"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-0.22 (-0.30, -0.12)</w:t>
            </w:r>
          </w:p>
        </w:tc>
        <w:tc>
          <w:tcPr>
            <w:tcW w:w="924" w:type="dxa"/>
            <w:tcBorders>
              <w:top w:val="nil"/>
              <w:left w:val="nil"/>
              <w:bottom w:val="single" w:sz="4" w:space="0" w:color="auto"/>
              <w:right w:val="single" w:sz="4" w:space="0" w:color="auto"/>
            </w:tcBorders>
            <w:shd w:val="clear" w:color="auto" w:fill="auto"/>
            <w:noWrap/>
            <w:vAlign w:val="bottom"/>
            <w:hideMark/>
          </w:tcPr>
          <w:p w14:paraId="1C42A42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1.80E-06</w:t>
            </w:r>
          </w:p>
        </w:tc>
      </w:tr>
      <w:tr w:rsidR="0000300F" w:rsidRPr="00495E6E" w14:paraId="4F9AD529"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0CA6CF2F"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Malaise and fatigue</w:t>
            </w:r>
          </w:p>
        </w:tc>
        <w:tc>
          <w:tcPr>
            <w:tcW w:w="1603" w:type="dxa"/>
            <w:tcBorders>
              <w:top w:val="nil"/>
              <w:left w:val="nil"/>
              <w:bottom w:val="single" w:sz="4" w:space="0" w:color="auto"/>
              <w:right w:val="single" w:sz="4" w:space="0" w:color="auto"/>
            </w:tcBorders>
            <w:shd w:val="clear" w:color="auto" w:fill="auto"/>
            <w:noWrap/>
            <w:vAlign w:val="bottom"/>
            <w:hideMark/>
          </w:tcPr>
          <w:p w14:paraId="7666E45C"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3.69 (3.57, 3.81)</w:t>
            </w:r>
          </w:p>
        </w:tc>
        <w:tc>
          <w:tcPr>
            <w:tcW w:w="1604" w:type="dxa"/>
            <w:tcBorders>
              <w:top w:val="nil"/>
              <w:left w:val="nil"/>
              <w:bottom w:val="single" w:sz="4" w:space="0" w:color="auto"/>
              <w:right w:val="single" w:sz="4" w:space="0" w:color="auto"/>
            </w:tcBorders>
            <w:shd w:val="clear" w:color="auto" w:fill="auto"/>
            <w:noWrap/>
            <w:vAlign w:val="bottom"/>
            <w:hideMark/>
          </w:tcPr>
          <w:p w14:paraId="645396A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4.28 (4.18, 4.39)</w:t>
            </w:r>
          </w:p>
        </w:tc>
        <w:tc>
          <w:tcPr>
            <w:tcW w:w="1501" w:type="dxa"/>
            <w:tcBorders>
              <w:top w:val="nil"/>
              <w:left w:val="nil"/>
              <w:bottom w:val="single" w:sz="4" w:space="0" w:color="auto"/>
              <w:right w:val="single" w:sz="4" w:space="0" w:color="auto"/>
            </w:tcBorders>
            <w:shd w:val="clear" w:color="auto" w:fill="auto"/>
            <w:noWrap/>
            <w:vAlign w:val="bottom"/>
            <w:hideMark/>
          </w:tcPr>
          <w:p w14:paraId="75C780F9"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-0.59 (-0.75, -0.43)</w:t>
            </w:r>
          </w:p>
        </w:tc>
        <w:tc>
          <w:tcPr>
            <w:tcW w:w="924" w:type="dxa"/>
            <w:tcBorders>
              <w:top w:val="nil"/>
              <w:left w:val="nil"/>
              <w:bottom w:val="single" w:sz="4" w:space="0" w:color="auto"/>
              <w:right w:val="single" w:sz="4" w:space="0" w:color="auto"/>
            </w:tcBorders>
            <w:shd w:val="clear" w:color="auto" w:fill="auto"/>
            <w:noWrap/>
            <w:vAlign w:val="bottom"/>
            <w:hideMark/>
          </w:tcPr>
          <w:p w14:paraId="01ABB76A"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1.10E-13</w:t>
            </w:r>
          </w:p>
        </w:tc>
        <w:tc>
          <w:tcPr>
            <w:tcW w:w="1604" w:type="dxa"/>
            <w:tcBorders>
              <w:top w:val="nil"/>
              <w:left w:val="nil"/>
              <w:bottom w:val="single" w:sz="4" w:space="0" w:color="auto"/>
              <w:right w:val="single" w:sz="4" w:space="0" w:color="auto"/>
            </w:tcBorders>
            <w:shd w:val="clear" w:color="auto" w:fill="auto"/>
            <w:noWrap/>
            <w:vAlign w:val="bottom"/>
            <w:hideMark/>
          </w:tcPr>
          <w:p w14:paraId="33A800CD"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3.70 (3.57, 3.83)</w:t>
            </w:r>
          </w:p>
        </w:tc>
        <w:tc>
          <w:tcPr>
            <w:tcW w:w="1604" w:type="dxa"/>
            <w:tcBorders>
              <w:top w:val="nil"/>
              <w:left w:val="nil"/>
              <w:bottom w:val="single" w:sz="4" w:space="0" w:color="auto"/>
              <w:right w:val="single" w:sz="4" w:space="0" w:color="auto"/>
            </w:tcBorders>
            <w:shd w:val="clear" w:color="auto" w:fill="auto"/>
            <w:noWrap/>
            <w:vAlign w:val="bottom"/>
            <w:hideMark/>
          </w:tcPr>
          <w:p w14:paraId="4F33812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4.28 (4.17, 4.40)</w:t>
            </w:r>
          </w:p>
        </w:tc>
        <w:tc>
          <w:tcPr>
            <w:tcW w:w="1501" w:type="dxa"/>
            <w:tcBorders>
              <w:top w:val="nil"/>
              <w:left w:val="nil"/>
              <w:bottom w:val="single" w:sz="4" w:space="0" w:color="auto"/>
              <w:right w:val="single" w:sz="4" w:space="0" w:color="auto"/>
            </w:tcBorders>
            <w:shd w:val="clear" w:color="auto" w:fill="auto"/>
            <w:noWrap/>
            <w:vAlign w:val="bottom"/>
            <w:hideMark/>
          </w:tcPr>
          <w:p w14:paraId="05EEAD5B"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-0.58 (-0.76, -0.40)</w:t>
            </w:r>
          </w:p>
        </w:tc>
        <w:tc>
          <w:tcPr>
            <w:tcW w:w="924" w:type="dxa"/>
            <w:tcBorders>
              <w:top w:val="nil"/>
              <w:left w:val="nil"/>
              <w:bottom w:val="single" w:sz="4" w:space="0" w:color="auto"/>
              <w:right w:val="single" w:sz="4" w:space="0" w:color="auto"/>
            </w:tcBorders>
            <w:shd w:val="clear" w:color="auto" w:fill="auto"/>
            <w:noWrap/>
            <w:vAlign w:val="bottom"/>
            <w:hideMark/>
          </w:tcPr>
          <w:p w14:paraId="307D3D06"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1.90E-11</w:t>
            </w:r>
          </w:p>
        </w:tc>
      </w:tr>
      <w:tr w:rsidR="0000300F" w:rsidRPr="00495E6E" w14:paraId="17AD7471" w14:textId="77777777" w:rsidTr="0000300F">
        <w:trPr>
          <w:trHeight w:val="300"/>
        </w:trPr>
        <w:tc>
          <w:tcPr>
            <w:tcW w:w="1685" w:type="dxa"/>
            <w:tcBorders>
              <w:top w:val="nil"/>
              <w:left w:val="single" w:sz="4" w:space="0" w:color="auto"/>
              <w:bottom w:val="single" w:sz="4" w:space="0" w:color="auto"/>
              <w:right w:val="single" w:sz="4" w:space="0" w:color="auto"/>
            </w:tcBorders>
            <w:shd w:val="clear" w:color="auto" w:fill="auto"/>
            <w:noWrap/>
            <w:vAlign w:val="bottom"/>
            <w:hideMark/>
          </w:tcPr>
          <w:p w14:paraId="01F078C4" w14:textId="77777777" w:rsidR="0000300F" w:rsidRPr="0000300F" w:rsidRDefault="0000300F" w:rsidP="0000300F">
            <w:pPr>
              <w:spacing w:after="0" w:line="240" w:lineRule="auto"/>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U099/B948</w:t>
            </w:r>
          </w:p>
        </w:tc>
        <w:tc>
          <w:tcPr>
            <w:tcW w:w="1603" w:type="dxa"/>
            <w:tcBorders>
              <w:top w:val="nil"/>
              <w:left w:val="nil"/>
              <w:bottom w:val="single" w:sz="4" w:space="0" w:color="auto"/>
              <w:right w:val="single" w:sz="4" w:space="0" w:color="auto"/>
            </w:tcBorders>
            <w:shd w:val="clear" w:color="auto" w:fill="auto"/>
            <w:noWrap/>
            <w:vAlign w:val="bottom"/>
            <w:hideMark/>
          </w:tcPr>
          <w:p w14:paraId="015595C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0.90 (0.85, 0.95)</w:t>
            </w:r>
          </w:p>
        </w:tc>
        <w:tc>
          <w:tcPr>
            <w:tcW w:w="1604" w:type="dxa"/>
            <w:tcBorders>
              <w:top w:val="nil"/>
              <w:left w:val="nil"/>
              <w:bottom w:val="single" w:sz="4" w:space="0" w:color="auto"/>
              <w:right w:val="single" w:sz="4" w:space="0" w:color="auto"/>
            </w:tcBorders>
            <w:shd w:val="clear" w:color="auto" w:fill="auto"/>
            <w:noWrap/>
            <w:vAlign w:val="bottom"/>
            <w:hideMark/>
          </w:tcPr>
          <w:p w14:paraId="4B5FAAF7"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0.92 (0.88, 0.97)</w:t>
            </w:r>
          </w:p>
        </w:tc>
        <w:tc>
          <w:tcPr>
            <w:tcW w:w="1501" w:type="dxa"/>
            <w:tcBorders>
              <w:top w:val="nil"/>
              <w:left w:val="nil"/>
              <w:bottom w:val="single" w:sz="4" w:space="0" w:color="auto"/>
              <w:right w:val="single" w:sz="4" w:space="0" w:color="auto"/>
            </w:tcBorders>
            <w:shd w:val="clear" w:color="auto" w:fill="auto"/>
            <w:noWrap/>
            <w:vAlign w:val="bottom"/>
            <w:hideMark/>
          </w:tcPr>
          <w:p w14:paraId="302EB4FF"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-0.03 (-0.09, 0.04)</w:t>
            </w:r>
          </w:p>
        </w:tc>
        <w:tc>
          <w:tcPr>
            <w:tcW w:w="924" w:type="dxa"/>
            <w:tcBorders>
              <w:top w:val="nil"/>
              <w:left w:val="nil"/>
              <w:bottom w:val="single" w:sz="4" w:space="0" w:color="auto"/>
              <w:right w:val="single" w:sz="4" w:space="0" w:color="auto"/>
            </w:tcBorders>
            <w:shd w:val="clear" w:color="auto" w:fill="auto"/>
            <w:noWrap/>
            <w:vAlign w:val="bottom"/>
            <w:hideMark/>
          </w:tcPr>
          <w:p w14:paraId="0AE25742"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0.46</w:t>
            </w:r>
          </w:p>
        </w:tc>
        <w:tc>
          <w:tcPr>
            <w:tcW w:w="1604" w:type="dxa"/>
            <w:tcBorders>
              <w:top w:val="nil"/>
              <w:left w:val="nil"/>
              <w:bottom w:val="single" w:sz="4" w:space="0" w:color="auto"/>
              <w:right w:val="single" w:sz="4" w:space="0" w:color="auto"/>
            </w:tcBorders>
            <w:shd w:val="clear" w:color="auto" w:fill="auto"/>
            <w:noWrap/>
            <w:vAlign w:val="bottom"/>
            <w:hideMark/>
          </w:tcPr>
          <w:p w14:paraId="283A306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0.90 (0.84, 0.95)</w:t>
            </w:r>
          </w:p>
        </w:tc>
        <w:tc>
          <w:tcPr>
            <w:tcW w:w="1604" w:type="dxa"/>
            <w:tcBorders>
              <w:top w:val="nil"/>
              <w:left w:val="nil"/>
              <w:bottom w:val="single" w:sz="4" w:space="0" w:color="auto"/>
              <w:right w:val="single" w:sz="4" w:space="0" w:color="auto"/>
            </w:tcBorders>
            <w:shd w:val="clear" w:color="auto" w:fill="auto"/>
            <w:noWrap/>
            <w:vAlign w:val="bottom"/>
            <w:hideMark/>
          </w:tcPr>
          <w:p w14:paraId="5B60C14E"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0.92 (0.88, 0.97)</w:t>
            </w:r>
          </w:p>
        </w:tc>
        <w:tc>
          <w:tcPr>
            <w:tcW w:w="1501" w:type="dxa"/>
            <w:tcBorders>
              <w:top w:val="nil"/>
              <w:left w:val="nil"/>
              <w:bottom w:val="single" w:sz="4" w:space="0" w:color="auto"/>
              <w:right w:val="single" w:sz="4" w:space="0" w:color="auto"/>
            </w:tcBorders>
            <w:shd w:val="clear" w:color="auto" w:fill="auto"/>
            <w:noWrap/>
            <w:vAlign w:val="bottom"/>
            <w:hideMark/>
          </w:tcPr>
          <w:p w14:paraId="29E4A2E8"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-0.03 (-0.10, 0.04)</w:t>
            </w:r>
          </w:p>
        </w:tc>
        <w:tc>
          <w:tcPr>
            <w:tcW w:w="924" w:type="dxa"/>
            <w:tcBorders>
              <w:top w:val="nil"/>
              <w:left w:val="nil"/>
              <w:bottom w:val="single" w:sz="4" w:space="0" w:color="auto"/>
              <w:right w:val="single" w:sz="4" w:space="0" w:color="auto"/>
            </w:tcBorders>
            <w:shd w:val="clear" w:color="auto" w:fill="auto"/>
            <w:noWrap/>
            <w:vAlign w:val="bottom"/>
            <w:hideMark/>
          </w:tcPr>
          <w:p w14:paraId="434A6264" w14:textId="77777777" w:rsidR="0000300F" w:rsidRPr="0000300F" w:rsidRDefault="0000300F" w:rsidP="0000300F">
            <w:pPr>
              <w:spacing w:after="0" w:line="240" w:lineRule="auto"/>
              <w:jc w:val="center"/>
              <w:rPr>
                <w:rFonts w:ascii="Times New Roman" w:eastAsia="Times New Roman" w:hAnsi="Times New Roman" w:cs="Times New Roman"/>
                <w:color w:val="000000"/>
                <w:kern w:val="0"/>
                <w14:ligatures w14:val="none"/>
              </w:rPr>
            </w:pPr>
            <w:r w:rsidRPr="0000300F">
              <w:rPr>
                <w:rFonts w:ascii="Times New Roman" w:eastAsia="Times New Roman" w:hAnsi="Times New Roman" w:cs="Times New Roman"/>
                <w:color w:val="000000"/>
                <w:kern w:val="0"/>
                <w14:ligatures w14:val="none"/>
              </w:rPr>
              <w:t>0.487</w:t>
            </w:r>
          </w:p>
        </w:tc>
      </w:tr>
    </w:tbl>
    <w:p w14:paraId="15D77D81" w14:textId="314DA9A6" w:rsidR="00EC640B" w:rsidRDefault="007C09E0" w:rsidP="008122D0">
      <w:pPr>
        <w:jc w:val="both"/>
        <w:rPr>
          <w:rFonts w:ascii="Times New Roman" w:hAnsi="Times New Roman" w:cs="Times New Roman"/>
          <w:sz w:val="24"/>
          <w:szCs w:val="24"/>
        </w:rPr>
        <w:sectPr w:rsidR="00EC640B" w:rsidSect="008244A8">
          <w:pgSz w:w="15840" w:h="12240" w:orient="landscape"/>
          <w:pgMar w:top="1440" w:right="1440" w:bottom="1440" w:left="1440" w:header="720" w:footer="720" w:gutter="0"/>
          <w:cols w:space="720"/>
          <w:docGrid w:linePitch="360"/>
        </w:sectPr>
      </w:pPr>
      <w:r>
        <w:rPr>
          <w:rFonts w:ascii="Times New Roman" w:hAnsi="Times New Roman" w:cs="Times New Roman"/>
          <w:sz w:val="24"/>
          <w:szCs w:val="24"/>
        </w:rPr>
        <w:t>1000-iterations of bootstrapping estimates</w:t>
      </w:r>
      <w:r w:rsidR="00BA0183">
        <w:rPr>
          <w:rFonts w:ascii="Times New Roman" w:hAnsi="Times New Roman" w:cs="Times New Roman"/>
          <w:sz w:val="24"/>
          <w:szCs w:val="24"/>
        </w:rPr>
        <w:t xml:space="preserve"> and </w:t>
      </w:r>
      <w:r w:rsidR="00BA0183" w:rsidRPr="00BA0183">
        <w:rPr>
          <w:rFonts w:ascii="Times New Roman" w:hAnsi="Times New Roman" w:cs="Times New Roman"/>
          <w:sz w:val="24"/>
          <w:szCs w:val="24"/>
        </w:rPr>
        <w:t>percentile-based 95% confidence intervals</w:t>
      </w:r>
      <w:r>
        <w:rPr>
          <w:rFonts w:ascii="Times New Roman" w:hAnsi="Times New Roman" w:cs="Times New Roman"/>
          <w:sz w:val="24"/>
          <w:szCs w:val="24"/>
        </w:rPr>
        <w:t xml:space="preserve"> of </w:t>
      </w:r>
      <w:r w:rsidR="00BA0183">
        <w:rPr>
          <w:rFonts w:ascii="Times New Roman" w:hAnsi="Times New Roman" w:cs="Times New Roman"/>
          <w:sz w:val="24"/>
          <w:szCs w:val="24"/>
        </w:rPr>
        <w:t xml:space="preserve">stabilized inverse probability </w:t>
      </w:r>
      <w:r w:rsidR="009234B2">
        <w:rPr>
          <w:rFonts w:ascii="Times New Roman" w:hAnsi="Times New Roman" w:cs="Times New Roman"/>
          <w:sz w:val="24"/>
          <w:szCs w:val="24"/>
        </w:rPr>
        <w:t>reweighted cumulative incidence</w:t>
      </w:r>
      <w:r w:rsidR="00BA0183">
        <w:rPr>
          <w:rFonts w:ascii="Times New Roman" w:hAnsi="Times New Roman" w:cs="Times New Roman"/>
          <w:sz w:val="24"/>
          <w:szCs w:val="24"/>
        </w:rPr>
        <w:t xml:space="preserve"> in different exposure groups were estimated</w:t>
      </w:r>
      <w:r w:rsidR="00DC1AF0">
        <w:rPr>
          <w:rFonts w:ascii="Times New Roman" w:hAnsi="Times New Roman" w:cs="Times New Roman"/>
          <w:sz w:val="24"/>
          <w:szCs w:val="24"/>
        </w:rPr>
        <w:t>.</w:t>
      </w:r>
      <w:r w:rsidR="00BA0183">
        <w:rPr>
          <w:rFonts w:ascii="Times New Roman" w:hAnsi="Times New Roman" w:cs="Times New Roman"/>
          <w:sz w:val="24"/>
          <w:szCs w:val="24"/>
        </w:rPr>
        <w:fldChar w:fldCharType="begin"/>
      </w:r>
      <w:r w:rsidR="00BA0183">
        <w:rPr>
          <w:rFonts w:ascii="Times New Roman" w:hAnsi="Times New Roman" w:cs="Times New Roman"/>
          <w:sz w:val="24"/>
          <w:szCs w:val="24"/>
        </w:rPr>
        <w:instrText xml:space="preserve"> ADDIN ZOTERO_ITEM CSL_CITATION {"citationID":"bm5Jk8tA","properties":{"formattedCitation":"\\super 6\\nosupersub{}","plainCitation":"6","noteIndex":0},"citationItems":[{"id":10034,"uris":["http://zotero.org/users/5859538/items/SDLZD56B"],"itemData":{"id":10034,"type":"article-journal","abstract":"Propensity score methods are used to reduce the effects of observed confounding when using observational data to estimate the effects of treatments or exposures. A popular method of using the propensity score is inverse probability of treatment weighting (IPTW). When using this method, a weight is calculated for each subject that is equal to the inverse of the probability of receiving the treatment that was actually received. These weights are then incorporated into the analyses to minimize the effects of observed confounding. Previous research has found that these methods result in unbiased estimation when estimating the effect of treatment on survival outcomes. However, conventional methods of variance estimation were shown to result in biased estimates of standard error. In this study, we conducted an extensive set of Monte Carlo simulations to examine different methods of variance estimation when using a weighted Cox proportional hazards model to estimate the effect of treatment. We considered three variance estimation methods: (i) a naïve model-based variance estimator; (ii) a robust sandwich-type variance estimator; and (iii) a bootstrap variance estimator. We considered estimation of both the average treatment effect and the average treatment effect in the treated. We found that the use of a bootstrap estimator resulted in approximately correct estimates of standard errors and confidence intervals with the correct coverage rates. The other estimators resulted in biased estimates of standard errors and confidence intervals with incorrect coverage rates. Our simulations were informed by a case study examining the effect of statin prescribing on mortality. © 2016 The Authors. Statistics in Medicine published by John Wiley &amp; Sons Ltd.","container-title":"Statistics in Medicine","DOI":"10.1002/sim.7084","ISSN":"1097-0258","issue":"30","language":"en","note":"_eprint: https://onlinelibrary.wiley.com/doi/pdf/10.1002/sim.7084","page":"5642-5655","source":"Wiley Online Library","title":"Variance estimation when using inverse probability of treatment weighting (IPTW) with survival analysis","volume":"35","author":[{"family":"Austin","given":"Peter C."}],"issued":{"date-parts":[["2016"]]}}}],"schema":"https://github.com/citation-style-language/schema/raw/master/csl-citation.json"} </w:instrText>
      </w:r>
      <w:r w:rsidR="00BA0183">
        <w:rPr>
          <w:rFonts w:ascii="Times New Roman" w:hAnsi="Times New Roman" w:cs="Times New Roman"/>
          <w:sz w:val="24"/>
          <w:szCs w:val="24"/>
        </w:rPr>
        <w:fldChar w:fldCharType="separate"/>
      </w:r>
      <w:r w:rsidR="00BA0183" w:rsidRPr="00BA0183">
        <w:rPr>
          <w:rFonts w:ascii="Times New Roman" w:hAnsi="Times New Roman" w:cs="Times New Roman"/>
          <w:kern w:val="0"/>
          <w:sz w:val="24"/>
          <w:szCs w:val="24"/>
          <w:vertAlign w:val="superscript"/>
        </w:rPr>
        <w:t>6</w:t>
      </w:r>
      <w:r w:rsidR="00BA0183">
        <w:rPr>
          <w:rFonts w:ascii="Times New Roman" w:hAnsi="Times New Roman" w:cs="Times New Roman"/>
          <w:sz w:val="24"/>
          <w:szCs w:val="24"/>
        </w:rPr>
        <w:fldChar w:fldCharType="end"/>
      </w:r>
      <w:r w:rsidR="00AC2BB7">
        <w:rPr>
          <w:rFonts w:ascii="Times New Roman" w:hAnsi="Times New Roman" w:cs="Times New Roman"/>
          <w:sz w:val="24"/>
          <w:szCs w:val="24"/>
        </w:rPr>
        <w:t xml:space="preserve"> The test of risk difference </w:t>
      </w:r>
      <w:r w:rsidR="00DC1AF0">
        <w:rPr>
          <w:rFonts w:ascii="Times New Roman" w:hAnsi="Times New Roman" w:cs="Times New Roman"/>
          <w:sz w:val="24"/>
          <w:szCs w:val="24"/>
        </w:rPr>
        <w:t xml:space="preserve">was conducted </w:t>
      </w:r>
      <w:r w:rsidR="00AC2BB7">
        <w:rPr>
          <w:rFonts w:ascii="Times New Roman" w:hAnsi="Times New Roman" w:cs="Times New Roman"/>
          <w:sz w:val="24"/>
          <w:szCs w:val="24"/>
        </w:rPr>
        <w:t>at 180 days</w:t>
      </w:r>
      <w:r w:rsidR="00DC1AF0">
        <w:rPr>
          <w:rFonts w:ascii="Times New Roman" w:hAnsi="Times New Roman" w:cs="Times New Roman"/>
          <w:sz w:val="24"/>
          <w:szCs w:val="24"/>
        </w:rPr>
        <w:t>.</w:t>
      </w:r>
      <w:r w:rsidR="00AC2BB7">
        <w:rPr>
          <w:rFonts w:ascii="Times New Roman" w:hAnsi="Times New Roman" w:cs="Times New Roman"/>
          <w:sz w:val="24"/>
          <w:szCs w:val="24"/>
        </w:rPr>
        <w:fldChar w:fldCharType="begin"/>
      </w:r>
      <w:r w:rsidR="00AC2BB7">
        <w:rPr>
          <w:rFonts w:ascii="Times New Roman" w:hAnsi="Times New Roman" w:cs="Times New Roman"/>
          <w:sz w:val="24"/>
          <w:szCs w:val="24"/>
        </w:rPr>
        <w:instrText xml:space="preserve"> ADDIN ZOTERO_ITEM CSL_CITATION {"citationID":"yxeKQbgx","properties":{"formattedCitation":"\\super 5\\nosupersub{}","plainCitation":"5","noteIndex":0},"citationItems":[{"id":10054,"uris":["http://zotero.org/users/5859538/items/HTV7TTVW"],"itemData":{"id":10054,"type":"article-journal","abstract":"A common problem encountered in many medical applications is the comparison of survival curves. Often, rather than comparison of the entire survival curves, interest is focused on the comparison at a fixed point in time. In most cases, the naive test based on a difference in the estimates of survival is used for this comparison. In this note, we examine the performance of alternatives to the naive test. These include tests based on a number of transformations of the survival function and a test based on a generalized linear model for pseudo-observations. The type I errors and power of these tests for a variety of sample sizes are compared by a Monte Carlo study. We also discuss how these tests may be extended to situations where the data are stratified. The pseudo-value approach is also applicable in more detailed regression analysis of the survival probability at a fixed point in time. The methods are illustrated on a study comparing survival for autologous and allogeneic bone marrow transplants. Copyright © 2007 John Wiley &amp; Sons, Ltd.","container-title":"Statistics in Medicine","DOI":"10.1002/sim.2864","ISSN":"1097-0258","issue":"24","language":"en","license":"Copyright © 2007 John Wiley &amp; Sons, Ltd.","note":"_eprint: https://onlinelibrary.wiley.com/doi/pdf/10.1002/sim.2864","page":"4505-4519","source":"Wiley Online Library","title":"Analyzing survival curves at a fixed point in time","volume":"26","author":[{"family":"Klein","given":"John P."},{"family":"Logan","given":"Brent"},{"family":"Harhoff","given":"Mette"},{"family":"Andersen","given":"Per Kragh"}],"issued":{"date-parts":[["2007"]]}}}],"schema":"https://github.com/citation-style-language/schema/raw/master/csl-citation.json"} </w:instrText>
      </w:r>
      <w:r w:rsidR="00AC2BB7">
        <w:rPr>
          <w:rFonts w:ascii="Times New Roman" w:hAnsi="Times New Roman" w:cs="Times New Roman"/>
          <w:sz w:val="24"/>
          <w:szCs w:val="24"/>
        </w:rPr>
        <w:fldChar w:fldCharType="separate"/>
      </w:r>
      <w:r w:rsidR="00AC2BB7" w:rsidRPr="00AC2BB7">
        <w:rPr>
          <w:rFonts w:ascii="Times New Roman" w:hAnsi="Times New Roman" w:cs="Times New Roman"/>
          <w:kern w:val="0"/>
          <w:sz w:val="24"/>
          <w:szCs w:val="24"/>
          <w:vertAlign w:val="superscript"/>
        </w:rPr>
        <w:t>5</w:t>
      </w:r>
      <w:r w:rsidR="00AC2BB7">
        <w:rPr>
          <w:rFonts w:ascii="Times New Roman" w:hAnsi="Times New Roman" w:cs="Times New Roman"/>
          <w:sz w:val="24"/>
          <w:szCs w:val="24"/>
        </w:rPr>
        <w:fldChar w:fldCharType="end"/>
      </w:r>
      <w:r w:rsidR="00E42D15">
        <w:rPr>
          <w:rFonts w:ascii="Times New Roman" w:hAnsi="Times New Roman" w:cs="Times New Roman"/>
          <w:sz w:val="24"/>
          <w:szCs w:val="24"/>
        </w:rPr>
        <w:t xml:space="preserve"> </w:t>
      </w:r>
      <w:r w:rsidR="00EC640B">
        <w:rPr>
          <w:rFonts w:ascii="Times New Roman" w:hAnsi="Times New Roman" w:cs="Times New Roman"/>
          <w:sz w:val="24"/>
          <w:szCs w:val="24"/>
        </w:rPr>
        <w:t>CIF, cumulative incidence function, or (absolute risk); DIFF, difference of cumulative incidence, or risk reduction</w:t>
      </w:r>
      <w:r w:rsidR="004C1E38">
        <w:rPr>
          <w:rFonts w:ascii="Times New Roman" w:hAnsi="Times New Roman" w:cs="Times New Roman"/>
          <w:sz w:val="24"/>
          <w:szCs w:val="24"/>
        </w:rPr>
        <w:t>; 95% CI, 95% Confidence Intervals.</w:t>
      </w:r>
    </w:p>
    <w:p w14:paraId="0C722BDE" w14:textId="756D5294" w:rsidR="001B0191" w:rsidRPr="00622BEF" w:rsidRDefault="003729C1" w:rsidP="00792780">
      <w:pPr>
        <w:pStyle w:val="Heading1"/>
        <w:spacing w:line="480" w:lineRule="auto"/>
        <w:rPr>
          <w:rFonts w:ascii="Times New Roman" w:hAnsi="Times New Roman" w:cs="Times New Roman"/>
          <w:b/>
          <w:bCs/>
          <w:color w:val="000000" w:themeColor="text1"/>
          <w:sz w:val="28"/>
          <w:szCs w:val="28"/>
        </w:rPr>
      </w:pPr>
      <w:r w:rsidRPr="00622BEF">
        <w:rPr>
          <w:rFonts w:ascii="Times New Roman" w:hAnsi="Times New Roman" w:cs="Times New Roman"/>
          <w:b/>
          <w:bCs/>
          <w:color w:val="000000" w:themeColor="text1"/>
          <w:sz w:val="28"/>
          <w:szCs w:val="28"/>
        </w:rPr>
        <w:lastRenderedPageBreak/>
        <w:t>Reference</w:t>
      </w:r>
    </w:p>
    <w:p w14:paraId="07EECF9E" w14:textId="77777777" w:rsidR="002561D4" w:rsidRPr="002561D4" w:rsidRDefault="00E82FC3" w:rsidP="002561D4">
      <w:pPr>
        <w:pStyle w:val="Bibliography"/>
        <w:rPr>
          <w:rFonts w:ascii="Times New Roman" w:hAnsi="Times New Roman" w:cs="Times New Roman"/>
        </w:rPr>
      </w:pPr>
      <w:r w:rsidRPr="00622BEF">
        <w:fldChar w:fldCharType="begin"/>
      </w:r>
      <w:r w:rsidR="002561D4">
        <w:instrText xml:space="preserve"> ADDIN ZOTERO_BIBL {"uncited":[],"omitted":[],"custom":[]} CSL_BIBLIOGRAPHY </w:instrText>
      </w:r>
      <w:r w:rsidRPr="00622BEF">
        <w:fldChar w:fldCharType="separate"/>
      </w:r>
      <w:r w:rsidR="002561D4" w:rsidRPr="002561D4">
        <w:rPr>
          <w:rFonts w:ascii="Times New Roman" w:hAnsi="Times New Roman" w:cs="Times New Roman"/>
        </w:rPr>
        <w:t xml:space="preserve">1. </w:t>
      </w:r>
      <w:r w:rsidR="002561D4" w:rsidRPr="002561D4">
        <w:rPr>
          <w:rFonts w:ascii="Times New Roman" w:hAnsi="Times New Roman" w:cs="Times New Roman"/>
        </w:rPr>
        <w:tab/>
        <w:t xml:space="preserve">Zhang H, Zang C, Xu Z, et al. Data-driven identification of post-acute SARS-CoV-2 infection subphenotypes. Nat Med 2022;1–10. </w:t>
      </w:r>
    </w:p>
    <w:p w14:paraId="6F9F8C4E" w14:textId="77777777" w:rsidR="002561D4" w:rsidRPr="002561D4" w:rsidRDefault="002561D4" w:rsidP="002561D4">
      <w:pPr>
        <w:pStyle w:val="Bibliography"/>
        <w:rPr>
          <w:rFonts w:ascii="Times New Roman" w:hAnsi="Times New Roman" w:cs="Times New Roman"/>
        </w:rPr>
      </w:pPr>
      <w:r w:rsidRPr="002561D4">
        <w:rPr>
          <w:rFonts w:ascii="Times New Roman" w:hAnsi="Times New Roman" w:cs="Times New Roman"/>
        </w:rPr>
        <w:t xml:space="preserve">2. </w:t>
      </w:r>
      <w:r w:rsidRPr="002561D4">
        <w:rPr>
          <w:rFonts w:ascii="Times New Roman" w:hAnsi="Times New Roman" w:cs="Times New Roman"/>
        </w:rPr>
        <w:tab/>
        <w:t xml:space="preserve">Zang C, Zhang Y, Xu J, et al. Data-driven analysis to understand long COVID using electronic health records from the RECOVER initiative. Nat Commun 2023;14(1):1948. </w:t>
      </w:r>
    </w:p>
    <w:p w14:paraId="56D6771C" w14:textId="77777777" w:rsidR="002561D4" w:rsidRPr="002561D4" w:rsidRDefault="002561D4" w:rsidP="002561D4">
      <w:pPr>
        <w:pStyle w:val="Bibliography"/>
        <w:rPr>
          <w:rFonts w:ascii="Times New Roman" w:hAnsi="Times New Roman" w:cs="Times New Roman"/>
        </w:rPr>
      </w:pPr>
      <w:r w:rsidRPr="002561D4">
        <w:rPr>
          <w:rFonts w:ascii="Times New Roman" w:hAnsi="Times New Roman" w:cs="Times New Roman"/>
        </w:rPr>
        <w:t xml:space="preserve">3. </w:t>
      </w:r>
      <w:r w:rsidRPr="002561D4">
        <w:rPr>
          <w:rFonts w:ascii="Times New Roman" w:hAnsi="Times New Roman" w:cs="Times New Roman"/>
        </w:rPr>
        <w:tab/>
        <w:t>Thaweethai T, Jolley SE, Karlson EW, et al. Development of a Definition of Postacute Sequelae of SARS-CoV-2 Infection. JAMA [Internet] 2023 [cited 2023 May 25];Available from: https://doi.org/10.1001/jama.2023.8823</w:t>
      </w:r>
    </w:p>
    <w:p w14:paraId="7CA440DD" w14:textId="77777777" w:rsidR="002561D4" w:rsidRPr="002561D4" w:rsidRDefault="002561D4" w:rsidP="002561D4">
      <w:pPr>
        <w:pStyle w:val="Bibliography"/>
        <w:rPr>
          <w:rFonts w:ascii="Times New Roman" w:hAnsi="Times New Roman" w:cs="Times New Roman"/>
        </w:rPr>
      </w:pPr>
      <w:r w:rsidRPr="002561D4">
        <w:rPr>
          <w:rFonts w:ascii="Times New Roman" w:hAnsi="Times New Roman" w:cs="Times New Roman"/>
        </w:rPr>
        <w:t xml:space="preserve">4. </w:t>
      </w:r>
      <w:r w:rsidRPr="002561D4">
        <w:rPr>
          <w:rFonts w:ascii="Times New Roman" w:hAnsi="Times New Roman" w:cs="Times New Roman"/>
        </w:rPr>
        <w:tab/>
        <w:t>Global Burden of Disease Long COVID Collaborators. Estimated Global Proportions of Individuals With Persistent Fatigue, Cognitive, and Respiratory Symptom Clusters Following Symptomatic COVID-19 in 2020 and 2021. JAMA [Internet] 2022 [cited 2022 Oct 11];Available from: https://doi.org/10.1001/jama.2022.18931</w:t>
      </w:r>
    </w:p>
    <w:p w14:paraId="44595A5E" w14:textId="77777777" w:rsidR="002561D4" w:rsidRPr="002561D4" w:rsidRDefault="002561D4" w:rsidP="002561D4">
      <w:pPr>
        <w:pStyle w:val="Bibliography"/>
        <w:rPr>
          <w:rFonts w:ascii="Times New Roman" w:hAnsi="Times New Roman" w:cs="Times New Roman"/>
        </w:rPr>
      </w:pPr>
      <w:r w:rsidRPr="002561D4">
        <w:rPr>
          <w:rFonts w:ascii="Times New Roman" w:hAnsi="Times New Roman" w:cs="Times New Roman"/>
        </w:rPr>
        <w:t xml:space="preserve">5. </w:t>
      </w:r>
      <w:r w:rsidRPr="002561D4">
        <w:rPr>
          <w:rFonts w:ascii="Times New Roman" w:hAnsi="Times New Roman" w:cs="Times New Roman"/>
        </w:rPr>
        <w:tab/>
        <w:t xml:space="preserve">Klein JP, Logan B, Harhoff M, Andersen PK. Analyzing survival curves at a fixed point in time. Statistics in Medicine 2007;26(24):4505–19. </w:t>
      </w:r>
    </w:p>
    <w:p w14:paraId="32EC9A32" w14:textId="77777777" w:rsidR="002561D4" w:rsidRPr="002561D4" w:rsidRDefault="002561D4" w:rsidP="002561D4">
      <w:pPr>
        <w:pStyle w:val="Bibliography"/>
        <w:rPr>
          <w:rFonts w:ascii="Times New Roman" w:hAnsi="Times New Roman" w:cs="Times New Roman"/>
        </w:rPr>
      </w:pPr>
      <w:r w:rsidRPr="002561D4">
        <w:rPr>
          <w:rFonts w:ascii="Times New Roman" w:hAnsi="Times New Roman" w:cs="Times New Roman"/>
        </w:rPr>
        <w:t xml:space="preserve">6. </w:t>
      </w:r>
      <w:r w:rsidRPr="002561D4">
        <w:rPr>
          <w:rFonts w:ascii="Times New Roman" w:hAnsi="Times New Roman" w:cs="Times New Roman"/>
        </w:rPr>
        <w:tab/>
        <w:t xml:space="preserve">Austin PC. Variance estimation when using inverse probability of treatment weighting (IPTW) with survival analysis. Statistics in Medicine 2016;35(30):5642–55. </w:t>
      </w:r>
    </w:p>
    <w:p w14:paraId="19C1AAE4" w14:textId="055F80E5" w:rsidR="00E82FC3" w:rsidRPr="00E82FC3" w:rsidRDefault="00E82FC3" w:rsidP="00E82FC3">
      <w:r w:rsidRPr="00622BEF">
        <w:rPr>
          <w:rFonts w:ascii="Times New Roman" w:hAnsi="Times New Roman" w:cs="Times New Roman"/>
        </w:rPr>
        <w:fldChar w:fldCharType="end"/>
      </w:r>
    </w:p>
    <w:sectPr w:rsidR="00E82FC3" w:rsidRPr="00E82FC3" w:rsidSect="008244A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2CD52E" w14:textId="77777777" w:rsidR="00AE2C75" w:rsidRDefault="00AE2C75" w:rsidP="008B14D1">
      <w:pPr>
        <w:spacing w:after="0" w:line="240" w:lineRule="auto"/>
      </w:pPr>
      <w:r>
        <w:separator/>
      </w:r>
    </w:p>
  </w:endnote>
  <w:endnote w:type="continuationSeparator" w:id="0">
    <w:p w14:paraId="6835478A" w14:textId="77777777" w:rsidR="00AE2C75" w:rsidRDefault="00AE2C75" w:rsidP="008B1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77299" w14:textId="77777777" w:rsidR="00AE2C75" w:rsidRDefault="00AE2C75" w:rsidP="008B14D1">
      <w:pPr>
        <w:spacing w:after="0" w:line="240" w:lineRule="auto"/>
      </w:pPr>
      <w:r>
        <w:separator/>
      </w:r>
    </w:p>
  </w:footnote>
  <w:footnote w:type="continuationSeparator" w:id="0">
    <w:p w14:paraId="749520C9" w14:textId="77777777" w:rsidR="00AE2C75" w:rsidRDefault="00AE2C75" w:rsidP="008B14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2335D"/>
    <w:multiLevelType w:val="hybridMultilevel"/>
    <w:tmpl w:val="7B0012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42BF5"/>
    <w:multiLevelType w:val="hybridMultilevel"/>
    <w:tmpl w:val="49E0966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17F2B19"/>
    <w:multiLevelType w:val="hybridMultilevel"/>
    <w:tmpl w:val="2E76F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036B56"/>
    <w:multiLevelType w:val="hybridMultilevel"/>
    <w:tmpl w:val="D064282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05E41D5"/>
    <w:multiLevelType w:val="hybridMultilevel"/>
    <w:tmpl w:val="7C765F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4395FF5"/>
    <w:multiLevelType w:val="hybridMultilevel"/>
    <w:tmpl w:val="1BA4E5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6B4E0D"/>
    <w:multiLevelType w:val="hybridMultilevel"/>
    <w:tmpl w:val="27426B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5E53BE0"/>
    <w:multiLevelType w:val="hybridMultilevel"/>
    <w:tmpl w:val="29D8B904"/>
    <w:lvl w:ilvl="0" w:tplc="8BAA6682">
      <w:numFmt w:val="bullet"/>
      <w:lvlText w:val="•"/>
      <w:lvlJc w:val="left"/>
      <w:pPr>
        <w:ind w:left="1080" w:hanging="72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2572C1"/>
    <w:multiLevelType w:val="hybridMultilevel"/>
    <w:tmpl w:val="08C84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6026617">
    <w:abstractNumId w:val="2"/>
  </w:num>
  <w:num w:numId="2" w16cid:durableId="416513493">
    <w:abstractNumId w:val="4"/>
  </w:num>
  <w:num w:numId="3" w16cid:durableId="915435267">
    <w:abstractNumId w:val="1"/>
  </w:num>
  <w:num w:numId="4" w16cid:durableId="1560481001">
    <w:abstractNumId w:val="0"/>
  </w:num>
  <w:num w:numId="5" w16cid:durableId="1347950946">
    <w:abstractNumId w:val="8"/>
  </w:num>
  <w:num w:numId="6" w16cid:durableId="96298169">
    <w:abstractNumId w:val="3"/>
  </w:num>
  <w:num w:numId="7" w16cid:durableId="1262252932">
    <w:abstractNumId w:val="6"/>
  </w:num>
  <w:num w:numId="8" w16cid:durableId="24404713">
    <w:abstractNumId w:val="7"/>
  </w:num>
  <w:num w:numId="9" w16cid:durableId="17952956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YzNLAwNzAzM7QwMzFQ0lEKTi0uzszPAykwNKgFAFWZ/1ktAAAA"/>
  </w:docVars>
  <w:rsids>
    <w:rsidRoot w:val="00E57EBC"/>
    <w:rsid w:val="000005C4"/>
    <w:rsid w:val="000009EA"/>
    <w:rsid w:val="000028F7"/>
    <w:rsid w:val="0000300F"/>
    <w:rsid w:val="000053F4"/>
    <w:rsid w:val="00007CB1"/>
    <w:rsid w:val="0001096B"/>
    <w:rsid w:val="0002468A"/>
    <w:rsid w:val="000316C6"/>
    <w:rsid w:val="000322A9"/>
    <w:rsid w:val="00046FCA"/>
    <w:rsid w:val="000507CD"/>
    <w:rsid w:val="00051B84"/>
    <w:rsid w:val="00054AE4"/>
    <w:rsid w:val="00071632"/>
    <w:rsid w:val="0007176C"/>
    <w:rsid w:val="00080313"/>
    <w:rsid w:val="000817BB"/>
    <w:rsid w:val="00091871"/>
    <w:rsid w:val="000A3BAB"/>
    <w:rsid w:val="000A79CD"/>
    <w:rsid w:val="000B1FB3"/>
    <w:rsid w:val="000B203C"/>
    <w:rsid w:val="000B2E76"/>
    <w:rsid w:val="000B59E7"/>
    <w:rsid w:val="000C28F0"/>
    <w:rsid w:val="000D1797"/>
    <w:rsid w:val="000D1966"/>
    <w:rsid w:val="000D20B5"/>
    <w:rsid w:val="000D73F7"/>
    <w:rsid w:val="000D7A73"/>
    <w:rsid w:val="000E32E3"/>
    <w:rsid w:val="000E4CD9"/>
    <w:rsid w:val="000F41B7"/>
    <w:rsid w:val="000F63C3"/>
    <w:rsid w:val="000F6BA3"/>
    <w:rsid w:val="0010626C"/>
    <w:rsid w:val="00107CD1"/>
    <w:rsid w:val="001110B2"/>
    <w:rsid w:val="00116251"/>
    <w:rsid w:val="0012682C"/>
    <w:rsid w:val="00133C24"/>
    <w:rsid w:val="00150E41"/>
    <w:rsid w:val="00153333"/>
    <w:rsid w:val="0015577E"/>
    <w:rsid w:val="0016726C"/>
    <w:rsid w:val="0019422B"/>
    <w:rsid w:val="00196B40"/>
    <w:rsid w:val="001B0191"/>
    <w:rsid w:val="001B08E8"/>
    <w:rsid w:val="001B266C"/>
    <w:rsid w:val="001B28A0"/>
    <w:rsid w:val="001B39E1"/>
    <w:rsid w:val="001C4CE7"/>
    <w:rsid w:val="001C5B0A"/>
    <w:rsid w:val="001C5CDC"/>
    <w:rsid w:val="001C5FCF"/>
    <w:rsid w:val="001C5FF9"/>
    <w:rsid w:val="001D5002"/>
    <w:rsid w:val="001D5AF9"/>
    <w:rsid w:val="001D647E"/>
    <w:rsid w:val="001E0326"/>
    <w:rsid w:val="001E55D5"/>
    <w:rsid w:val="001F2332"/>
    <w:rsid w:val="001F2998"/>
    <w:rsid w:val="002002D3"/>
    <w:rsid w:val="00201897"/>
    <w:rsid w:val="002027A8"/>
    <w:rsid w:val="002046BA"/>
    <w:rsid w:val="0020638B"/>
    <w:rsid w:val="00206FD3"/>
    <w:rsid w:val="00210E76"/>
    <w:rsid w:val="00220C7E"/>
    <w:rsid w:val="00220D1D"/>
    <w:rsid w:val="002238E7"/>
    <w:rsid w:val="00231ECB"/>
    <w:rsid w:val="00233113"/>
    <w:rsid w:val="00234999"/>
    <w:rsid w:val="002360E5"/>
    <w:rsid w:val="00245A75"/>
    <w:rsid w:val="0025286D"/>
    <w:rsid w:val="002561D4"/>
    <w:rsid w:val="00262BFB"/>
    <w:rsid w:val="00262F85"/>
    <w:rsid w:val="00270B16"/>
    <w:rsid w:val="0027233A"/>
    <w:rsid w:val="00276093"/>
    <w:rsid w:val="00285860"/>
    <w:rsid w:val="002A1719"/>
    <w:rsid w:val="002A46AB"/>
    <w:rsid w:val="002C7E25"/>
    <w:rsid w:val="002D16E3"/>
    <w:rsid w:val="002F2569"/>
    <w:rsid w:val="002F2A69"/>
    <w:rsid w:val="002F7B07"/>
    <w:rsid w:val="002F7C9E"/>
    <w:rsid w:val="00302AB4"/>
    <w:rsid w:val="00313929"/>
    <w:rsid w:val="00313EA3"/>
    <w:rsid w:val="0033232C"/>
    <w:rsid w:val="00334EC5"/>
    <w:rsid w:val="0034625B"/>
    <w:rsid w:val="0034795D"/>
    <w:rsid w:val="00350872"/>
    <w:rsid w:val="003546C4"/>
    <w:rsid w:val="0035607F"/>
    <w:rsid w:val="003712DB"/>
    <w:rsid w:val="003729C1"/>
    <w:rsid w:val="003741C4"/>
    <w:rsid w:val="00376DBF"/>
    <w:rsid w:val="003817C8"/>
    <w:rsid w:val="00387BC2"/>
    <w:rsid w:val="003A6E0C"/>
    <w:rsid w:val="003B694A"/>
    <w:rsid w:val="003D4330"/>
    <w:rsid w:val="003D5A27"/>
    <w:rsid w:val="003E3975"/>
    <w:rsid w:val="003E492E"/>
    <w:rsid w:val="003F6895"/>
    <w:rsid w:val="004005B0"/>
    <w:rsid w:val="00423AA5"/>
    <w:rsid w:val="00423D6C"/>
    <w:rsid w:val="0042490D"/>
    <w:rsid w:val="00427C41"/>
    <w:rsid w:val="00431103"/>
    <w:rsid w:val="00431764"/>
    <w:rsid w:val="004361E7"/>
    <w:rsid w:val="0043674E"/>
    <w:rsid w:val="0044018D"/>
    <w:rsid w:val="00440715"/>
    <w:rsid w:val="00451642"/>
    <w:rsid w:val="00453453"/>
    <w:rsid w:val="004722A4"/>
    <w:rsid w:val="00473377"/>
    <w:rsid w:val="0048713D"/>
    <w:rsid w:val="00495E6E"/>
    <w:rsid w:val="004976F8"/>
    <w:rsid w:val="004A1220"/>
    <w:rsid w:val="004A3C66"/>
    <w:rsid w:val="004A4BC1"/>
    <w:rsid w:val="004A4C6E"/>
    <w:rsid w:val="004A7842"/>
    <w:rsid w:val="004B2806"/>
    <w:rsid w:val="004B2A3A"/>
    <w:rsid w:val="004B4819"/>
    <w:rsid w:val="004B4B88"/>
    <w:rsid w:val="004B692E"/>
    <w:rsid w:val="004C1303"/>
    <w:rsid w:val="004C1E38"/>
    <w:rsid w:val="004C4119"/>
    <w:rsid w:val="004C4D4A"/>
    <w:rsid w:val="004C6694"/>
    <w:rsid w:val="004D0400"/>
    <w:rsid w:val="004D4FF1"/>
    <w:rsid w:val="004D5A5E"/>
    <w:rsid w:val="004D5C76"/>
    <w:rsid w:val="004E6391"/>
    <w:rsid w:val="004F1850"/>
    <w:rsid w:val="004F1E6F"/>
    <w:rsid w:val="004F2AD1"/>
    <w:rsid w:val="0050743B"/>
    <w:rsid w:val="00513918"/>
    <w:rsid w:val="00522B97"/>
    <w:rsid w:val="00526A77"/>
    <w:rsid w:val="00527026"/>
    <w:rsid w:val="00532422"/>
    <w:rsid w:val="005417BE"/>
    <w:rsid w:val="0054232D"/>
    <w:rsid w:val="005450AA"/>
    <w:rsid w:val="00547F1B"/>
    <w:rsid w:val="00553267"/>
    <w:rsid w:val="005541B3"/>
    <w:rsid w:val="005568DE"/>
    <w:rsid w:val="00561E3E"/>
    <w:rsid w:val="00567838"/>
    <w:rsid w:val="00587E69"/>
    <w:rsid w:val="0059394E"/>
    <w:rsid w:val="005962F5"/>
    <w:rsid w:val="00596C89"/>
    <w:rsid w:val="005A1D2F"/>
    <w:rsid w:val="005A3AC3"/>
    <w:rsid w:val="005B313F"/>
    <w:rsid w:val="005B3A6C"/>
    <w:rsid w:val="005B4C51"/>
    <w:rsid w:val="005B630D"/>
    <w:rsid w:val="005B646D"/>
    <w:rsid w:val="005D11A4"/>
    <w:rsid w:val="005D6FD7"/>
    <w:rsid w:val="005D7BD6"/>
    <w:rsid w:val="005E346A"/>
    <w:rsid w:val="005E7CA2"/>
    <w:rsid w:val="005F2E1D"/>
    <w:rsid w:val="005F3B00"/>
    <w:rsid w:val="0061394D"/>
    <w:rsid w:val="006142E7"/>
    <w:rsid w:val="0061665E"/>
    <w:rsid w:val="00622BEF"/>
    <w:rsid w:val="00624C44"/>
    <w:rsid w:val="006274B6"/>
    <w:rsid w:val="00630DC5"/>
    <w:rsid w:val="00631184"/>
    <w:rsid w:val="006323D3"/>
    <w:rsid w:val="00633058"/>
    <w:rsid w:val="00640B90"/>
    <w:rsid w:val="00643496"/>
    <w:rsid w:val="006503A2"/>
    <w:rsid w:val="006512BA"/>
    <w:rsid w:val="00651A39"/>
    <w:rsid w:val="00657795"/>
    <w:rsid w:val="006624B0"/>
    <w:rsid w:val="00667113"/>
    <w:rsid w:val="00675110"/>
    <w:rsid w:val="0068141D"/>
    <w:rsid w:val="00684995"/>
    <w:rsid w:val="0068708E"/>
    <w:rsid w:val="006921B5"/>
    <w:rsid w:val="006A17E0"/>
    <w:rsid w:val="006A790F"/>
    <w:rsid w:val="006B17BE"/>
    <w:rsid w:val="006D29A1"/>
    <w:rsid w:val="006D6CD3"/>
    <w:rsid w:val="006E4BD6"/>
    <w:rsid w:val="006E6526"/>
    <w:rsid w:val="006F3DC9"/>
    <w:rsid w:val="006F74E9"/>
    <w:rsid w:val="00706E28"/>
    <w:rsid w:val="0071170B"/>
    <w:rsid w:val="00720F56"/>
    <w:rsid w:val="007277B5"/>
    <w:rsid w:val="00734B40"/>
    <w:rsid w:val="00737463"/>
    <w:rsid w:val="00740637"/>
    <w:rsid w:val="00742B1B"/>
    <w:rsid w:val="007430A1"/>
    <w:rsid w:val="00745ECD"/>
    <w:rsid w:val="00751316"/>
    <w:rsid w:val="0075377B"/>
    <w:rsid w:val="00754CB6"/>
    <w:rsid w:val="00755FCC"/>
    <w:rsid w:val="00761439"/>
    <w:rsid w:val="00767996"/>
    <w:rsid w:val="007735C9"/>
    <w:rsid w:val="00784816"/>
    <w:rsid w:val="00792780"/>
    <w:rsid w:val="007934E8"/>
    <w:rsid w:val="00794318"/>
    <w:rsid w:val="007B19E2"/>
    <w:rsid w:val="007B2BF1"/>
    <w:rsid w:val="007B43B0"/>
    <w:rsid w:val="007C0022"/>
    <w:rsid w:val="007C0365"/>
    <w:rsid w:val="007C09E0"/>
    <w:rsid w:val="007C1866"/>
    <w:rsid w:val="007C39AD"/>
    <w:rsid w:val="007D7B82"/>
    <w:rsid w:val="007E0DEA"/>
    <w:rsid w:val="007E0E7F"/>
    <w:rsid w:val="007E5AB6"/>
    <w:rsid w:val="007F044C"/>
    <w:rsid w:val="007F2C58"/>
    <w:rsid w:val="007F7454"/>
    <w:rsid w:val="007F7DC5"/>
    <w:rsid w:val="008014A8"/>
    <w:rsid w:val="00802B49"/>
    <w:rsid w:val="008064FB"/>
    <w:rsid w:val="008122D0"/>
    <w:rsid w:val="00813226"/>
    <w:rsid w:val="0081458C"/>
    <w:rsid w:val="00823F63"/>
    <w:rsid w:val="008244A8"/>
    <w:rsid w:val="008328E9"/>
    <w:rsid w:val="0083381F"/>
    <w:rsid w:val="008446A2"/>
    <w:rsid w:val="00847CDC"/>
    <w:rsid w:val="008533DC"/>
    <w:rsid w:val="00856C6E"/>
    <w:rsid w:val="008604B7"/>
    <w:rsid w:val="008610CA"/>
    <w:rsid w:val="0086222E"/>
    <w:rsid w:val="00862666"/>
    <w:rsid w:val="00862F24"/>
    <w:rsid w:val="00865BB8"/>
    <w:rsid w:val="00871AEB"/>
    <w:rsid w:val="0087692F"/>
    <w:rsid w:val="00880641"/>
    <w:rsid w:val="0088291A"/>
    <w:rsid w:val="00886172"/>
    <w:rsid w:val="00892DE7"/>
    <w:rsid w:val="008A259F"/>
    <w:rsid w:val="008A2B9D"/>
    <w:rsid w:val="008A43D7"/>
    <w:rsid w:val="008B14D1"/>
    <w:rsid w:val="008B21AE"/>
    <w:rsid w:val="008B51F8"/>
    <w:rsid w:val="008B6484"/>
    <w:rsid w:val="008C0534"/>
    <w:rsid w:val="008C2998"/>
    <w:rsid w:val="008C43C0"/>
    <w:rsid w:val="008C46D7"/>
    <w:rsid w:val="008C67CB"/>
    <w:rsid w:val="008D57A2"/>
    <w:rsid w:val="008D7FFC"/>
    <w:rsid w:val="008E2FB3"/>
    <w:rsid w:val="008F5A48"/>
    <w:rsid w:val="008F7F01"/>
    <w:rsid w:val="00911692"/>
    <w:rsid w:val="00920274"/>
    <w:rsid w:val="009234B2"/>
    <w:rsid w:val="0093765F"/>
    <w:rsid w:val="00942A5F"/>
    <w:rsid w:val="00952A76"/>
    <w:rsid w:val="0095542F"/>
    <w:rsid w:val="00956944"/>
    <w:rsid w:val="009576D4"/>
    <w:rsid w:val="00964691"/>
    <w:rsid w:val="00964DC0"/>
    <w:rsid w:val="00976B69"/>
    <w:rsid w:val="0099168A"/>
    <w:rsid w:val="00992B35"/>
    <w:rsid w:val="00993004"/>
    <w:rsid w:val="009A289F"/>
    <w:rsid w:val="009A54B8"/>
    <w:rsid w:val="009A64BF"/>
    <w:rsid w:val="009B2788"/>
    <w:rsid w:val="009B34D4"/>
    <w:rsid w:val="009B5AA5"/>
    <w:rsid w:val="009B764A"/>
    <w:rsid w:val="009D43F4"/>
    <w:rsid w:val="009E63A5"/>
    <w:rsid w:val="009E66C7"/>
    <w:rsid w:val="009E7BF0"/>
    <w:rsid w:val="009F1170"/>
    <w:rsid w:val="009F3578"/>
    <w:rsid w:val="00A0015F"/>
    <w:rsid w:val="00A007E0"/>
    <w:rsid w:val="00A0215F"/>
    <w:rsid w:val="00A102D6"/>
    <w:rsid w:val="00A1281D"/>
    <w:rsid w:val="00A16464"/>
    <w:rsid w:val="00A17AD6"/>
    <w:rsid w:val="00A26843"/>
    <w:rsid w:val="00A4313D"/>
    <w:rsid w:val="00A43FE9"/>
    <w:rsid w:val="00A447E3"/>
    <w:rsid w:val="00A57D56"/>
    <w:rsid w:val="00A62BEE"/>
    <w:rsid w:val="00A62D84"/>
    <w:rsid w:val="00A732BF"/>
    <w:rsid w:val="00A73A95"/>
    <w:rsid w:val="00A7434C"/>
    <w:rsid w:val="00A77A13"/>
    <w:rsid w:val="00A82FFE"/>
    <w:rsid w:val="00A90A5B"/>
    <w:rsid w:val="00A95D52"/>
    <w:rsid w:val="00A963F4"/>
    <w:rsid w:val="00AA0C3D"/>
    <w:rsid w:val="00AB7B5A"/>
    <w:rsid w:val="00AC2BB7"/>
    <w:rsid w:val="00AC2D96"/>
    <w:rsid w:val="00AC3436"/>
    <w:rsid w:val="00AE107C"/>
    <w:rsid w:val="00AE2753"/>
    <w:rsid w:val="00AE2C75"/>
    <w:rsid w:val="00AE5C8D"/>
    <w:rsid w:val="00AF4748"/>
    <w:rsid w:val="00B01B6B"/>
    <w:rsid w:val="00B06DDD"/>
    <w:rsid w:val="00B11253"/>
    <w:rsid w:val="00B2347C"/>
    <w:rsid w:val="00B23FDE"/>
    <w:rsid w:val="00B24E9E"/>
    <w:rsid w:val="00B27280"/>
    <w:rsid w:val="00B3509D"/>
    <w:rsid w:val="00B355F7"/>
    <w:rsid w:val="00B36450"/>
    <w:rsid w:val="00B42F7D"/>
    <w:rsid w:val="00B465AD"/>
    <w:rsid w:val="00B5619A"/>
    <w:rsid w:val="00B57BA1"/>
    <w:rsid w:val="00B71511"/>
    <w:rsid w:val="00B82951"/>
    <w:rsid w:val="00B8374A"/>
    <w:rsid w:val="00B85548"/>
    <w:rsid w:val="00B9144C"/>
    <w:rsid w:val="00B96D7C"/>
    <w:rsid w:val="00BA0183"/>
    <w:rsid w:val="00BA3245"/>
    <w:rsid w:val="00BA7F60"/>
    <w:rsid w:val="00BB5A63"/>
    <w:rsid w:val="00BC4B06"/>
    <w:rsid w:val="00BD0303"/>
    <w:rsid w:val="00BD1441"/>
    <w:rsid w:val="00BD4C7F"/>
    <w:rsid w:val="00BE149B"/>
    <w:rsid w:val="00BF4DD1"/>
    <w:rsid w:val="00BF5BF2"/>
    <w:rsid w:val="00C043E5"/>
    <w:rsid w:val="00C045D0"/>
    <w:rsid w:val="00C1214C"/>
    <w:rsid w:val="00C164EE"/>
    <w:rsid w:val="00C26350"/>
    <w:rsid w:val="00C27CBA"/>
    <w:rsid w:val="00C4403F"/>
    <w:rsid w:val="00C4706C"/>
    <w:rsid w:val="00C555FD"/>
    <w:rsid w:val="00C75E07"/>
    <w:rsid w:val="00C77BD9"/>
    <w:rsid w:val="00C805B4"/>
    <w:rsid w:val="00C83394"/>
    <w:rsid w:val="00C84872"/>
    <w:rsid w:val="00C87942"/>
    <w:rsid w:val="00C96723"/>
    <w:rsid w:val="00C97A64"/>
    <w:rsid w:val="00CA2D68"/>
    <w:rsid w:val="00CB3457"/>
    <w:rsid w:val="00CC09AD"/>
    <w:rsid w:val="00CC4C26"/>
    <w:rsid w:val="00CC5693"/>
    <w:rsid w:val="00CD164C"/>
    <w:rsid w:val="00CD45A9"/>
    <w:rsid w:val="00CD6E18"/>
    <w:rsid w:val="00CE03E4"/>
    <w:rsid w:val="00CE5928"/>
    <w:rsid w:val="00CE77E0"/>
    <w:rsid w:val="00CE7EE6"/>
    <w:rsid w:val="00CF4D63"/>
    <w:rsid w:val="00D1737E"/>
    <w:rsid w:val="00D21A4B"/>
    <w:rsid w:val="00D2204E"/>
    <w:rsid w:val="00D22F18"/>
    <w:rsid w:val="00D2757B"/>
    <w:rsid w:val="00D31D6D"/>
    <w:rsid w:val="00D3477D"/>
    <w:rsid w:val="00D367E2"/>
    <w:rsid w:val="00D414D6"/>
    <w:rsid w:val="00D52C92"/>
    <w:rsid w:val="00D72D21"/>
    <w:rsid w:val="00D8743F"/>
    <w:rsid w:val="00D924E5"/>
    <w:rsid w:val="00DA1125"/>
    <w:rsid w:val="00DA173F"/>
    <w:rsid w:val="00DA1AC1"/>
    <w:rsid w:val="00DA63AB"/>
    <w:rsid w:val="00DB72BB"/>
    <w:rsid w:val="00DC1AF0"/>
    <w:rsid w:val="00DC4F30"/>
    <w:rsid w:val="00DC6AD7"/>
    <w:rsid w:val="00DD0B40"/>
    <w:rsid w:val="00DD67CA"/>
    <w:rsid w:val="00DE4DA8"/>
    <w:rsid w:val="00DE6E6D"/>
    <w:rsid w:val="00E01093"/>
    <w:rsid w:val="00E024C1"/>
    <w:rsid w:val="00E05540"/>
    <w:rsid w:val="00E07FB6"/>
    <w:rsid w:val="00E126D2"/>
    <w:rsid w:val="00E13C14"/>
    <w:rsid w:val="00E13D33"/>
    <w:rsid w:val="00E1559B"/>
    <w:rsid w:val="00E159B7"/>
    <w:rsid w:val="00E20FE0"/>
    <w:rsid w:val="00E251FC"/>
    <w:rsid w:val="00E2702B"/>
    <w:rsid w:val="00E42D15"/>
    <w:rsid w:val="00E57D79"/>
    <w:rsid w:val="00E57EBC"/>
    <w:rsid w:val="00E672FD"/>
    <w:rsid w:val="00E72BAF"/>
    <w:rsid w:val="00E73B58"/>
    <w:rsid w:val="00E808B2"/>
    <w:rsid w:val="00E82FC3"/>
    <w:rsid w:val="00E83123"/>
    <w:rsid w:val="00E93D9C"/>
    <w:rsid w:val="00EA01E9"/>
    <w:rsid w:val="00EA0438"/>
    <w:rsid w:val="00EA5D6D"/>
    <w:rsid w:val="00EB01C7"/>
    <w:rsid w:val="00EB7A8A"/>
    <w:rsid w:val="00EC07DA"/>
    <w:rsid w:val="00EC236C"/>
    <w:rsid w:val="00EC250F"/>
    <w:rsid w:val="00EC640B"/>
    <w:rsid w:val="00EC6A57"/>
    <w:rsid w:val="00EC7D97"/>
    <w:rsid w:val="00ED700F"/>
    <w:rsid w:val="00EE2C57"/>
    <w:rsid w:val="00EF0A14"/>
    <w:rsid w:val="00EF2C8B"/>
    <w:rsid w:val="00EF44B8"/>
    <w:rsid w:val="00F00BFF"/>
    <w:rsid w:val="00F03E9E"/>
    <w:rsid w:val="00F13211"/>
    <w:rsid w:val="00F14790"/>
    <w:rsid w:val="00F17BA1"/>
    <w:rsid w:val="00F24A3E"/>
    <w:rsid w:val="00F252A8"/>
    <w:rsid w:val="00F312A7"/>
    <w:rsid w:val="00F42848"/>
    <w:rsid w:val="00F449EE"/>
    <w:rsid w:val="00F44FA7"/>
    <w:rsid w:val="00F47941"/>
    <w:rsid w:val="00F52493"/>
    <w:rsid w:val="00F621F9"/>
    <w:rsid w:val="00F675F0"/>
    <w:rsid w:val="00F71E4B"/>
    <w:rsid w:val="00F74AF6"/>
    <w:rsid w:val="00F75C8F"/>
    <w:rsid w:val="00F75CDD"/>
    <w:rsid w:val="00FA59D8"/>
    <w:rsid w:val="00FB33ED"/>
    <w:rsid w:val="00FC3AEE"/>
    <w:rsid w:val="00FC5993"/>
    <w:rsid w:val="00FD23A3"/>
    <w:rsid w:val="00FD6535"/>
    <w:rsid w:val="00FD6AC7"/>
    <w:rsid w:val="00FD6BF8"/>
    <w:rsid w:val="00FD6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C6624B"/>
  <w15:chartTrackingRefBased/>
  <w15:docId w15:val="{09171B81-67BF-420C-8BA2-3914CD3AC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2A69"/>
  </w:style>
  <w:style w:type="paragraph" w:styleId="Heading1">
    <w:name w:val="heading 1"/>
    <w:basedOn w:val="Normal"/>
    <w:next w:val="Normal"/>
    <w:link w:val="Heading1Char"/>
    <w:uiPriority w:val="9"/>
    <w:qFormat/>
    <w:rsid w:val="00DB72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64DC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4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4D1"/>
  </w:style>
  <w:style w:type="paragraph" w:styleId="Footer">
    <w:name w:val="footer"/>
    <w:basedOn w:val="Normal"/>
    <w:link w:val="FooterChar"/>
    <w:uiPriority w:val="99"/>
    <w:unhideWhenUsed/>
    <w:rsid w:val="008B14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4D1"/>
  </w:style>
  <w:style w:type="paragraph" w:styleId="Title">
    <w:name w:val="Title"/>
    <w:basedOn w:val="Normal"/>
    <w:next w:val="Normal"/>
    <w:link w:val="TitleChar"/>
    <w:uiPriority w:val="10"/>
    <w:qFormat/>
    <w:rsid w:val="008B14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4D1"/>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8F7F01"/>
    <w:pPr>
      <w:ind w:left="720"/>
      <w:contextualSpacing/>
    </w:pPr>
  </w:style>
  <w:style w:type="character" w:customStyle="1" w:styleId="Heading1Char">
    <w:name w:val="Heading 1 Char"/>
    <w:basedOn w:val="DefaultParagraphFont"/>
    <w:link w:val="Heading1"/>
    <w:uiPriority w:val="9"/>
    <w:rsid w:val="00DB72BB"/>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3D5A27"/>
    <w:rPr>
      <w:color w:val="0563C1" w:themeColor="hyperlink"/>
      <w:u w:val="single"/>
    </w:rPr>
  </w:style>
  <w:style w:type="character" w:styleId="UnresolvedMention">
    <w:name w:val="Unresolved Mention"/>
    <w:basedOn w:val="DefaultParagraphFont"/>
    <w:uiPriority w:val="99"/>
    <w:semiHidden/>
    <w:unhideWhenUsed/>
    <w:rsid w:val="003D5A27"/>
    <w:rPr>
      <w:color w:val="605E5C"/>
      <w:shd w:val="clear" w:color="auto" w:fill="E1DFDD"/>
    </w:rPr>
  </w:style>
  <w:style w:type="paragraph" w:styleId="Bibliography">
    <w:name w:val="Bibliography"/>
    <w:basedOn w:val="Normal"/>
    <w:next w:val="Normal"/>
    <w:uiPriority w:val="37"/>
    <w:unhideWhenUsed/>
    <w:rsid w:val="00E82FC3"/>
    <w:pPr>
      <w:tabs>
        <w:tab w:val="left" w:pos="384"/>
      </w:tabs>
      <w:spacing w:after="240" w:line="240" w:lineRule="auto"/>
      <w:ind w:left="384" w:hanging="384"/>
    </w:pPr>
  </w:style>
  <w:style w:type="character" w:customStyle="1" w:styleId="Heading2Char">
    <w:name w:val="Heading 2 Char"/>
    <w:basedOn w:val="DefaultParagraphFont"/>
    <w:link w:val="Heading2"/>
    <w:uiPriority w:val="9"/>
    <w:semiHidden/>
    <w:rsid w:val="00964DC0"/>
    <w:rPr>
      <w:rFonts w:asciiTheme="majorHAnsi" w:eastAsiaTheme="majorEastAsia" w:hAnsiTheme="majorHAnsi" w:cstheme="majorBidi"/>
      <w:color w:val="2F5496" w:themeColor="accent1" w:themeShade="BF"/>
      <w:sz w:val="26"/>
      <w:szCs w:val="26"/>
    </w:rPr>
  </w:style>
  <w:style w:type="character" w:customStyle="1" w:styleId="NoSpacingChar">
    <w:name w:val="No Spacing Char"/>
    <w:basedOn w:val="DefaultParagraphFont"/>
    <w:link w:val="NoSpacing"/>
    <w:uiPriority w:val="1"/>
    <w:locked/>
    <w:rsid w:val="00964DC0"/>
    <w:rPr>
      <w:rFonts w:ascii="Times New Roman" w:hAnsi="Times New Roman" w:cs="Times New Roman"/>
    </w:rPr>
  </w:style>
  <w:style w:type="paragraph" w:styleId="NoSpacing">
    <w:name w:val="No Spacing"/>
    <w:link w:val="NoSpacingChar"/>
    <w:uiPriority w:val="1"/>
    <w:qFormat/>
    <w:rsid w:val="00964DC0"/>
    <w:pPr>
      <w:spacing w:after="0" w:line="240" w:lineRule="auto"/>
    </w:pPr>
    <w:rPr>
      <w:rFonts w:ascii="Times New Roman" w:hAnsi="Times New Roman" w:cs="Times New Roman"/>
    </w:rPr>
  </w:style>
  <w:style w:type="character" w:customStyle="1" w:styleId="SitesChar">
    <w:name w:val="Sites Char"/>
    <w:basedOn w:val="NoSpacingChar"/>
    <w:link w:val="Sites"/>
    <w:locked/>
    <w:rsid w:val="00964DC0"/>
    <w:rPr>
      <w:rFonts w:ascii="Times New Roman" w:hAnsi="Times New Roman" w:cs="Times New Roman"/>
      <w:b/>
    </w:rPr>
  </w:style>
  <w:style w:type="paragraph" w:customStyle="1" w:styleId="Sites">
    <w:name w:val="Sites"/>
    <w:basedOn w:val="NoSpacing"/>
    <w:link w:val="SitesChar"/>
    <w:qFormat/>
    <w:rsid w:val="00964DC0"/>
    <w:rPr>
      <w:b/>
    </w:rPr>
  </w:style>
  <w:style w:type="character" w:customStyle="1" w:styleId="HubChar">
    <w:name w:val="Hub Char"/>
    <w:basedOn w:val="DefaultParagraphFont"/>
    <w:link w:val="Hub"/>
    <w:locked/>
    <w:rsid w:val="00964DC0"/>
    <w:rPr>
      <w:rFonts w:ascii="Times New Roman" w:eastAsiaTheme="majorEastAsia" w:hAnsi="Times New Roman" w:cs="Times New Roman"/>
      <w:b/>
      <w:sz w:val="24"/>
      <w:szCs w:val="24"/>
    </w:rPr>
  </w:style>
  <w:style w:type="paragraph" w:customStyle="1" w:styleId="Hub">
    <w:name w:val="Hub"/>
    <w:basedOn w:val="Heading2"/>
    <w:link w:val="HubChar"/>
    <w:qFormat/>
    <w:rsid w:val="00964DC0"/>
    <w:pPr>
      <w:spacing w:after="240" w:line="256" w:lineRule="auto"/>
    </w:pPr>
    <w:rPr>
      <w:rFonts w:ascii="Times New Roman" w:hAnsi="Times New Roman" w:cs="Times New Roman"/>
      <w:b/>
      <w:color w:val="auto"/>
      <w:sz w:val="24"/>
      <w:szCs w:val="24"/>
    </w:rPr>
  </w:style>
  <w:style w:type="character" w:customStyle="1" w:styleId="collaboratorsChar">
    <w:name w:val="collaborators Char"/>
    <w:basedOn w:val="DefaultParagraphFont"/>
    <w:link w:val="collaborators"/>
    <w:locked/>
    <w:rsid w:val="00964DC0"/>
    <w:rPr>
      <w:rFonts w:ascii="Times New Roman" w:hAnsi="Times New Roman" w:cs="Times New Roman"/>
    </w:rPr>
  </w:style>
  <w:style w:type="paragraph" w:customStyle="1" w:styleId="collaborators">
    <w:name w:val="collaborators"/>
    <w:basedOn w:val="NoSpacing"/>
    <w:link w:val="collaboratorsChar"/>
    <w:qFormat/>
    <w:rsid w:val="00964D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6731">
      <w:bodyDiv w:val="1"/>
      <w:marLeft w:val="0"/>
      <w:marRight w:val="0"/>
      <w:marTop w:val="0"/>
      <w:marBottom w:val="0"/>
      <w:divBdr>
        <w:top w:val="none" w:sz="0" w:space="0" w:color="auto"/>
        <w:left w:val="none" w:sz="0" w:space="0" w:color="auto"/>
        <w:bottom w:val="none" w:sz="0" w:space="0" w:color="auto"/>
        <w:right w:val="none" w:sz="0" w:space="0" w:color="auto"/>
      </w:divBdr>
    </w:div>
    <w:div w:id="44378855">
      <w:bodyDiv w:val="1"/>
      <w:marLeft w:val="0"/>
      <w:marRight w:val="0"/>
      <w:marTop w:val="0"/>
      <w:marBottom w:val="0"/>
      <w:divBdr>
        <w:top w:val="none" w:sz="0" w:space="0" w:color="auto"/>
        <w:left w:val="none" w:sz="0" w:space="0" w:color="auto"/>
        <w:bottom w:val="none" w:sz="0" w:space="0" w:color="auto"/>
        <w:right w:val="none" w:sz="0" w:space="0" w:color="auto"/>
      </w:divBdr>
    </w:div>
    <w:div w:id="141507268">
      <w:bodyDiv w:val="1"/>
      <w:marLeft w:val="0"/>
      <w:marRight w:val="0"/>
      <w:marTop w:val="0"/>
      <w:marBottom w:val="0"/>
      <w:divBdr>
        <w:top w:val="none" w:sz="0" w:space="0" w:color="auto"/>
        <w:left w:val="none" w:sz="0" w:space="0" w:color="auto"/>
        <w:bottom w:val="none" w:sz="0" w:space="0" w:color="auto"/>
        <w:right w:val="none" w:sz="0" w:space="0" w:color="auto"/>
      </w:divBdr>
    </w:div>
    <w:div w:id="410391475">
      <w:bodyDiv w:val="1"/>
      <w:marLeft w:val="0"/>
      <w:marRight w:val="0"/>
      <w:marTop w:val="0"/>
      <w:marBottom w:val="0"/>
      <w:divBdr>
        <w:top w:val="none" w:sz="0" w:space="0" w:color="auto"/>
        <w:left w:val="none" w:sz="0" w:space="0" w:color="auto"/>
        <w:bottom w:val="none" w:sz="0" w:space="0" w:color="auto"/>
        <w:right w:val="none" w:sz="0" w:space="0" w:color="auto"/>
      </w:divBdr>
    </w:div>
    <w:div w:id="476993110">
      <w:bodyDiv w:val="1"/>
      <w:marLeft w:val="0"/>
      <w:marRight w:val="0"/>
      <w:marTop w:val="0"/>
      <w:marBottom w:val="0"/>
      <w:divBdr>
        <w:top w:val="none" w:sz="0" w:space="0" w:color="auto"/>
        <w:left w:val="none" w:sz="0" w:space="0" w:color="auto"/>
        <w:bottom w:val="none" w:sz="0" w:space="0" w:color="auto"/>
        <w:right w:val="none" w:sz="0" w:space="0" w:color="auto"/>
      </w:divBdr>
    </w:div>
    <w:div w:id="726536334">
      <w:bodyDiv w:val="1"/>
      <w:marLeft w:val="0"/>
      <w:marRight w:val="0"/>
      <w:marTop w:val="0"/>
      <w:marBottom w:val="0"/>
      <w:divBdr>
        <w:top w:val="none" w:sz="0" w:space="0" w:color="auto"/>
        <w:left w:val="none" w:sz="0" w:space="0" w:color="auto"/>
        <w:bottom w:val="none" w:sz="0" w:space="0" w:color="auto"/>
        <w:right w:val="none" w:sz="0" w:space="0" w:color="auto"/>
      </w:divBdr>
    </w:div>
    <w:div w:id="913011055">
      <w:bodyDiv w:val="1"/>
      <w:marLeft w:val="0"/>
      <w:marRight w:val="0"/>
      <w:marTop w:val="0"/>
      <w:marBottom w:val="0"/>
      <w:divBdr>
        <w:top w:val="none" w:sz="0" w:space="0" w:color="auto"/>
        <w:left w:val="none" w:sz="0" w:space="0" w:color="auto"/>
        <w:bottom w:val="none" w:sz="0" w:space="0" w:color="auto"/>
        <w:right w:val="none" w:sz="0" w:space="0" w:color="auto"/>
      </w:divBdr>
    </w:div>
    <w:div w:id="1046636635">
      <w:bodyDiv w:val="1"/>
      <w:marLeft w:val="0"/>
      <w:marRight w:val="0"/>
      <w:marTop w:val="0"/>
      <w:marBottom w:val="0"/>
      <w:divBdr>
        <w:top w:val="none" w:sz="0" w:space="0" w:color="auto"/>
        <w:left w:val="none" w:sz="0" w:space="0" w:color="auto"/>
        <w:bottom w:val="none" w:sz="0" w:space="0" w:color="auto"/>
        <w:right w:val="none" w:sz="0" w:space="0" w:color="auto"/>
      </w:divBdr>
      <w:divsChild>
        <w:div w:id="1574437986">
          <w:marLeft w:val="0"/>
          <w:marRight w:val="0"/>
          <w:marTop w:val="0"/>
          <w:marBottom w:val="0"/>
          <w:divBdr>
            <w:top w:val="none" w:sz="0" w:space="0" w:color="auto"/>
            <w:left w:val="none" w:sz="0" w:space="0" w:color="auto"/>
            <w:bottom w:val="none" w:sz="0" w:space="0" w:color="auto"/>
            <w:right w:val="none" w:sz="0" w:space="0" w:color="auto"/>
          </w:divBdr>
        </w:div>
      </w:divsChild>
    </w:div>
    <w:div w:id="1143159122">
      <w:bodyDiv w:val="1"/>
      <w:marLeft w:val="0"/>
      <w:marRight w:val="0"/>
      <w:marTop w:val="0"/>
      <w:marBottom w:val="0"/>
      <w:divBdr>
        <w:top w:val="none" w:sz="0" w:space="0" w:color="auto"/>
        <w:left w:val="none" w:sz="0" w:space="0" w:color="auto"/>
        <w:bottom w:val="none" w:sz="0" w:space="0" w:color="auto"/>
        <w:right w:val="none" w:sz="0" w:space="0" w:color="auto"/>
      </w:divBdr>
    </w:div>
    <w:div w:id="1165902282">
      <w:bodyDiv w:val="1"/>
      <w:marLeft w:val="0"/>
      <w:marRight w:val="0"/>
      <w:marTop w:val="0"/>
      <w:marBottom w:val="0"/>
      <w:divBdr>
        <w:top w:val="none" w:sz="0" w:space="0" w:color="auto"/>
        <w:left w:val="none" w:sz="0" w:space="0" w:color="auto"/>
        <w:bottom w:val="none" w:sz="0" w:space="0" w:color="auto"/>
        <w:right w:val="none" w:sz="0" w:space="0" w:color="auto"/>
      </w:divBdr>
      <w:divsChild>
        <w:div w:id="2107529271">
          <w:marLeft w:val="0"/>
          <w:marRight w:val="0"/>
          <w:marTop w:val="0"/>
          <w:marBottom w:val="0"/>
          <w:divBdr>
            <w:top w:val="none" w:sz="0" w:space="0" w:color="auto"/>
            <w:left w:val="none" w:sz="0" w:space="0" w:color="auto"/>
            <w:bottom w:val="none" w:sz="0" w:space="0" w:color="auto"/>
            <w:right w:val="none" w:sz="0" w:space="0" w:color="auto"/>
          </w:divBdr>
        </w:div>
      </w:divsChild>
    </w:div>
    <w:div w:id="1253663024">
      <w:bodyDiv w:val="1"/>
      <w:marLeft w:val="0"/>
      <w:marRight w:val="0"/>
      <w:marTop w:val="0"/>
      <w:marBottom w:val="0"/>
      <w:divBdr>
        <w:top w:val="none" w:sz="0" w:space="0" w:color="auto"/>
        <w:left w:val="none" w:sz="0" w:space="0" w:color="auto"/>
        <w:bottom w:val="none" w:sz="0" w:space="0" w:color="auto"/>
        <w:right w:val="none" w:sz="0" w:space="0" w:color="auto"/>
      </w:divBdr>
    </w:div>
    <w:div w:id="1477261237">
      <w:bodyDiv w:val="1"/>
      <w:marLeft w:val="0"/>
      <w:marRight w:val="0"/>
      <w:marTop w:val="0"/>
      <w:marBottom w:val="0"/>
      <w:divBdr>
        <w:top w:val="none" w:sz="0" w:space="0" w:color="auto"/>
        <w:left w:val="none" w:sz="0" w:space="0" w:color="auto"/>
        <w:bottom w:val="none" w:sz="0" w:space="0" w:color="auto"/>
        <w:right w:val="none" w:sz="0" w:space="0" w:color="auto"/>
      </w:divBdr>
    </w:div>
    <w:div w:id="1772237043">
      <w:bodyDiv w:val="1"/>
      <w:marLeft w:val="0"/>
      <w:marRight w:val="0"/>
      <w:marTop w:val="0"/>
      <w:marBottom w:val="0"/>
      <w:divBdr>
        <w:top w:val="none" w:sz="0" w:space="0" w:color="auto"/>
        <w:left w:val="none" w:sz="0" w:space="0" w:color="auto"/>
        <w:bottom w:val="none" w:sz="0" w:space="0" w:color="auto"/>
        <w:right w:val="none" w:sz="0" w:space="0" w:color="auto"/>
      </w:divBdr>
      <w:divsChild>
        <w:div w:id="506408195">
          <w:marLeft w:val="0"/>
          <w:marRight w:val="0"/>
          <w:marTop w:val="0"/>
          <w:marBottom w:val="0"/>
          <w:divBdr>
            <w:top w:val="none" w:sz="0" w:space="0" w:color="auto"/>
            <w:left w:val="none" w:sz="0" w:space="0" w:color="auto"/>
            <w:bottom w:val="none" w:sz="0" w:space="0" w:color="auto"/>
            <w:right w:val="none" w:sz="0" w:space="0" w:color="auto"/>
          </w:divBdr>
        </w:div>
      </w:divsChild>
    </w:div>
    <w:div w:id="1916473265">
      <w:bodyDiv w:val="1"/>
      <w:marLeft w:val="0"/>
      <w:marRight w:val="0"/>
      <w:marTop w:val="0"/>
      <w:marBottom w:val="0"/>
      <w:divBdr>
        <w:top w:val="none" w:sz="0" w:space="0" w:color="auto"/>
        <w:left w:val="none" w:sz="0" w:space="0" w:color="auto"/>
        <w:bottom w:val="none" w:sz="0" w:space="0" w:color="auto"/>
        <w:right w:val="none" w:sz="0" w:space="0" w:color="auto"/>
      </w:divBdr>
      <w:divsChild>
        <w:div w:id="1853690847">
          <w:marLeft w:val="0"/>
          <w:marRight w:val="0"/>
          <w:marTop w:val="0"/>
          <w:marBottom w:val="0"/>
          <w:divBdr>
            <w:top w:val="none" w:sz="0" w:space="0" w:color="auto"/>
            <w:left w:val="none" w:sz="0" w:space="0" w:color="auto"/>
            <w:bottom w:val="none" w:sz="0" w:space="0" w:color="auto"/>
            <w:right w:val="none" w:sz="0" w:space="0" w:color="auto"/>
          </w:divBdr>
        </w:div>
      </w:divsChild>
    </w:div>
    <w:div w:id="2003002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www.paxlovidinformation.com/who-can-tak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www.paxlovidinformation.com/who-can-take" TargetMode="External"/><Relationship Id="rId2" Type="http://schemas.openxmlformats.org/officeDocument/2006/relationships/styles" Target="styles.xml"/><Relationship Id="rId16" Type="http://schemas.openxmlformats.org/officeDocument/2006/relationships/hyperlink" Target="https://www.cdc.gov/coronavirus/2019-ncov/need-extra-precautions/people-with-medical-conditions.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classic.clinicaltrials.gov/ct2/show/NCT04960202" TargetMode="External"/><Relationship Id="rId10" Type="http://schemas.openxmlformats.org/officeDocument/2006/relationships/image" Target="media/image4.png"/><Relationship Id="rId19" Type="http://schemas.openxmlformats.org/officeDocument/2006/relationships/hyperlink" Target="https://pcornet.org/data/"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6185</TotalTime>
  <Pages>26</Pages>
  <Words>7674</Words>
  <Characters>43747</Characters>
  <Application>Microsoft Office Word</Application>
  <DocSecurity>0</DocSecurity>
  <Lines>364</Lines>
  <Paragraphs>102</Paragraphs>
  <ScaleCrop>false</ScaleCrop>
  <Company/>
  <LinksUpToDate>false</LinksUpToDate>
  <CharactersWithSpaces>51319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Chengxi Zang</dc:creator>
  <cp:keywords/>
  <dc:description/>
  <cp:lastModifiedBy>Chengxi Zang</cp:lastModifiedBy>
  <cp:revision>654</cp:revision>
  <dcterms:created xsi:type="dcterms:W3CDTF">2024-02-28T16:21:00Z</dcterms:created>
  <dcterms:modified xsi:type="dcterms:W3CDTF">2024-04-18T14:54:00Z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zotero-version="6.0.35"&gt;&lt;session id="HqOlMjlJ"/&gt;&lt;style id="http://www.zotero.org/styles/the-new-england-journal-of-medicine" hasBibliography="1" bibliographyStyleHasBeenSet="1"/&gt;&lt;prefs&gt;&lt;pref name="fieldType" value="Field"/&gt;&lt;/prefs&gt;&lt;</vt:lpwstr>
  </property>
  <property fmtid="{D5CDD505-2E9C-101B-9397-08002B2CF9AE}" pid="3" name="ZOTERO_PREF_2">
    <vt:lpwstr>/data&gt;</vt:lpwstr>
  </property>
</Properties>
</file>