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797335" w14:textId="77777777" w:rsidR="006531BF" w:rsidRDefault="006531BF" w:rsidP="006531BF">
      <w:pPr>
        <w:pStyle w:val="Heading1"/>
      </w:pPr>
      <w:r>
        <w:t>Supplementary Methods</w:t>
      </w:r>
    </w:p>
    <w:p w14:paraId="0F45976B" w14:textId="77777777" w:rsidR="006531BF" w:rsidRPr="00C45749" w:rsidRDefault="006531BF" w:rsidP="006531BF">
      <w:pPr>
        <w:pStyle w:val="Heading2"/>
      </w:pPr>
      <w:r w:rsidRPr="00C45749">
        <w:t xml:space="preserve">Glutathione analysis </w:t>
      </w:r>
    </w:p>
    <w:p w14:paraId="7BCE8B35" w14:textId="77777777" w:rsidR="006531BF" w:rsidRDefault="006531BF" w:rsidP="006531BF">
      <w:pPr>
        <w:ind w:firstLine="720"/>
        <w:jc w:val="both"/>
        <w:rPr>
          <w:lang w:val="en-US"/>
        </w:rPr>
      </w:pPr>
      <w:r>
        <w:rPr>
          <w:lang w:val="en-US"/>
        </w:rPr>
        <w:t xml:space="preserve">Glutathione ratio analysis was carried out by our previously described method </w:t>
      </w:r>
      <w:sdt>
        <w:sdtPr>
          <w:rPr>
            <w:lang w:val="en-US"/>
          </w:rPr>
          <w:alias w:val="To edit, see citavi.com/edit"/>
          <w:tag w:val="CitaviPlaceholder#5568d8bc-ae3f-4e53-a8cf-1ff18ee3604f"/>
          <w:id w:val="1989204470"/>
          <w:placeholder>
            <w:docPart w:val="ECBC2AFA326140CC988D4B3E8CE96B42"/>
          </w:placeholder>
        </w:sdtPr>
        <w:sdtContent>
          <w:r>
            <w:rPr>
              <w:lang w:val="en-US"/>
            </w:rPr>
            <w:fldChar w:fldCharType="begin"/>
          </w:r>
          <w:r>
            <w:rPr>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1NWNmNWY2LWZiZWQtNDRlNS1hZjk1LWU3OTIxMzAzZGZlNiIsIlJhbmdlTGVuZ3RoIjoyLCJSZWZlcmVuY2VJZCI6IjBmNjAxYmQzLTMwNTUtNDk4OC05MjE0LTA0NWMyZDU4MGE5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zMzkwL21ldGFibzEwMDIwMDcxIiwiVXJpU3RyaW5nIjoiaHR0cHM6Ly9kb2kub3JnLzEwLjMzOTAvbWV0YWJvMTAwMjAwNzE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vbWluIiwiQ3JlYXRlZE9uIjoiMjAyNC0wMS0xN1QxMzowMDozOCIsIk1vZGlmaWVkQnkiOiJfVG9taW4iLCJJZCI6ImI1NTZjYTg4LTFjYTctNDI1NS04MDkyLTJkNWM1Y2UyOGZlOCIsIk1vZGlmaWVkT24iOiIyMDI0LTAxLTE3VDEzOjAwOjM4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UE1DNzA3NDAyMiIsIlVyaVN0cmluZyI6Imh0dHBzOi8vd3d3Lm5jYmkubmxtLm5paC5nb3YvcG1jL2FydGljbGVzL1BNQzcwNzQwMjI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RvbWluIiwiQ3JlYXRlZE9uIjoiMjAyNC0wMS0xN1QxMzowMDozOCIsIk1vZGlmaWVkQnkiOiJfVG9taW4iLCJJZCI6ImI4OTU1ZTcyLTllODYtNDI1MS04MDNmLTAwMzY0ZGU4ODc3MiIsIk1vZGlmaWVkT24iOiIyMDI0LTAxLTE3VDEzOjAwOjM4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zIwNzkwOTAiLCJVcmlTdHJpbmciOiJodHRwOi8vd3d3Lm5jYmkubmxtLm5paC5nb3YvcHVibWVkLzMyMDc5MDkw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}</w:instrText>
          </w:r>
          <w:r>
            <w:rPr>
              <w:lang w:val="en-US"/>
            </w:rPr>
            <w:fldChar w:fldCharType="separate"/>
          </w:r>
          <w:r>
            <w:rPr>
              <w:vertAlign w:val="superscript"/>
              <w:lang w:val="en-US"/>
            </w:rPr>
            <w:t>15,18</w:t>
          </w:r>
          <w:r>
            <w:rPr>
              <w:lang w:val="en-US"/>
            </w:rPr>
            <w:fldChar w:fldCharType="end"/>
          </w:r>
        </w:sdtContent>
      </w:sdt>
      <w:r>
        <w:rPr>
          <w:lang w:val="en-US"/>
        </w:rPr>
        <w:t xml:space="preserve"> with some modifications. Briefly, dried samples were resuspended in 100 µl of 50 mM ammonium-acetate (AA), upon which excess of NEM was removed using 300 µl of dichloromethane. Consequently, 45 µl of the aqueous phase was transferred to a new sample tube prior to reduction with 2.5 µl of 50 mM TCEP in AA for 30 min at 37 °C and re-alkylation with 2.5 µl of 100 mM d5-NEM. Samples were diluted 1:4 with AA, of which 2 µl were subjected to liquid chromatography-tandem mass spectrometry (LC-MS/MS) using the LCMS-8060 system (Shimadzu) with a flow rate of 0.2 ml/min and following gradient: 0-10 min: 1-16 % B, 10.01-15.00 min: 1 % B (A being 0.1 % formic acid; B 0.1 % formic acid in acetonitrile). MS was operated in positive mode, with gas flow rates of 2.5, 10 and 10 L/min for nebulizing, drying and heating gas, respectively. The desolvation line temperature was set to 250 °C and the heat block temperature to 400 °C. Transition parameters are summarized in Table 1. Peak integration was carried out in Shimadzu Post-run Analysis.</w:t>
      </w:r>
    </w:p>
    <w:p w14:paraId="3DBF57F5" w14:textId="77777777" w:rsidR="006531BF" w:rsidRPr="00A679C6" w:rsidRDefault="006531BF" w:rsidP="006531BF">
      <w:pPr>
        <w:jc w:val="both"/>
        <w:rPr>
          <w:lang w:val="en-US"/>
        </w:rPr>
      </w:pPr>
      <w:r w:rsidRPr="00C56791">
        <w:rPr>
          <w:b/>
          <w:lang w:val="en-US"/>
        </w:rPr>
        <w:t>Table 1. Multiple reaction monitoring (MRM) transition table</w:t>
      </w:r>
      <w:r>
        <w:rPr>
          <w:b/>
          <w:lang w:val="en-US"/>
        </w:rPr>
        <w:t xml:space="preserve"> with parameters</w:t>
      </w:r>
      <w:r>
        <w:rPr>
          <w:lang w:val="en-US"/>
        </w:rPr>
        <w:t xml:space="preserve">. </w:t>
      </w:r>
      <w:r w:rsidRPr="00A679C6">
        <w:rPr>
          <w:lang w:val="en-US"/>
        </w:rPr>
        <w:t>CE-collision energy, Q-quadrupole (GSH - glutathione; GSSG - glutathione disulfide; NEM - N-ethylmal</w:t>
      </w:r>
      <w:r>
        <w:rPr>
          <w:lang w:val="en-US"/>
        </w:rPr>
        <w:t>eimide; IS - internal standard (</w:t>
      </w:r>
      <w:r w:rsidRPr="00A679C6">
        <w:rPr>
          <w:vertAlign w:val="superscript"/>
          <w:lang w:val="en-US"/>
        </w:rPr>
        <w:t>13</w:t>
      </w:r>
      <w:r>
        <w:rPr>
          <w:lang w:val="en-US"/>
        </w:rPr>
        <w:t xml:space="preserve">C, </w:t>
      </w:r>
      <w:r w:rsidRPr="00A679C6">
        <w:rPr>
          <w:vertAlign w:val="superscript"/>
          <w:lang w:val="en-US"/>
        </w:rPr>
        <w:t>14</w:t>
      </w:r>
      <w:r>
        <w:rPr>
          <w:lang w:val="en-US"/>
        </w:rPr>
        <w:t>N-GSH-d5-NEM); sLG - S-lactoylglutathione)</w:t>
      </w:r>
      <w:r w:rsidRPr="00A679C6">
        <w:rPr>
          <w:lang w:val="en-US"/>
        </w:rPr>
        <w:t>.</w:t>
      </w:r>
    </w:p>
    <w:tbl>
      <w:tblPr>
        <w:tblStyle w:val="PlainTable2"/>
        <w:tblW w:w="8980" w:type="dxa"/>
        <w:tblLook w:val="04A0" w:firstRow="1" w:lastRow="0" w:firstColumn="1" w:lastColumn="0" w:noHBand="0" w:noVBand="1"/>
      </w:tblPr>
      <w:tblGrid>
        <w:gridCol w:w="1670"/>
        <w:gridCol w:w="315"/>
        <w:gridCol w:w="820"/>
        <w:gridCol w:w="1128"/>
        <w:gridCol w:w="1128"/>
        <w:gridCol w:w="1444"/>
        <w:gridCol w:w="1128"/>
        <w:gridCol w:w="1354"/>
      </w:tblGrid>
      <w:tr w:rsidR="006531BF" w:rsidRPr="00C56791" w14:paraId="06C40B4D" w14:textId="77777777" w:rsidTr="00BE49E3">
        <w:trPr>
          <w:cnfStyle w:val="100000000000" w:firstRow="1" w:lastRow="0" w:firstColumn="0" w:lastColumn="0" w:oddVBand="0" w:evenVBand="0" w:oddHBand="0"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985" w:type="dxa"/>
            <w:gridSpan w:val="2"/>
            <w:noWrap/>
            <w:vAlign w:val="center"/>
            <w:hideMark/>
          </w:tcPr>
          <w:p w14:paraId="709E1476" w14:textId="77777777" w:rsidR="006531BF" w:rsidRPr="00A679C6" w:rsidRDefault="006531BF" w:rsidP="00BE49E3">
            <w:pPr>
              <w:jc w:val="center"/>
              <w:rPr>
                <w:rFonts w:eastAsia="Times New Roman" w:cstheme="minorHAnsi"/>
                <w:sz w:val="24"/>
                <w:szCs w:val="24"/>
                <w:lang w:val="en-US"/>
              </w:rPr>
            </w:pPr>
          </w:p>
        </w:tc>
        <w:tc>
          <w:tcPr>
            <w:tcW w:w="813" w:type="dxa"/>
            <w:noWrap/>
            <w:vAlign w:val="center"/>
            <w:hideMark/>
          </w:tcPr>
          <w:p w14:paraId="7B83F77D" w14:textId="77777777" w:rsidR="006531BF" w:rsidRPr="00895DED" w:rsidRDefault="006531BF" w:rsidP="00BE49E3">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Parent</w:t>
            </w:r>
            <w:r>
              <w:rPr>
                <w:rFonts w:eastAsia="Times New Roman" w:cstheme="minorHAnsi"/>
                <w:sz w:val="20"/>
                <w:szCs w:val="20"/>
              </w:rPr>
              <w:t xml:space="preserve"> m/z</w:t>
            </w:r>
          </w:p>
        </w:tc>
        <w:tc>
          <w:tcPr>
            <w:tcW w:w="1128" w:type="dxa"/>
            <w:noWrap/>
            <w:vAlign w:val="center"/>
            <w:hideMark/>
          </w:tcPr>
          <w:p w14:paraId="10BA63BC" w14:textId="77777777" w:rsidR="006531BF" w:rsidRPr="00895DED" w:rsidRDefault="006531BF" w:rsidP="00BE49E3">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Product</w:t>
            </w:r>
            <w:r>
              <w:rPr>
                <w:rFonts w:eastAsia="Times New Roman" w:cstheme="minorHAnsi"/>
                <w:sz w:val="20"/>
                <w:szCs w:val="20"/>
              </w:rPr>
              <w:t xml:space="preserve"> m/z</w:t>
            </w:r>
          </w:p>
        </w:tc>
        <w:tc>
          <w:tcPr>
            <w:tcW w:w="1128" w:type="dxa"/>
            <w:noWrap/>
            <w:vAlign w:val="center"/>
            <w:hideMark/>
          </w:tcPr>
          <w:p w14:paraId="5990D75F" w14:textId="77777777" w:rsidR="006531BF" w:rsidRPr="00895DED" w:rsidRDefault="006531BF" w:rsidP="00BE49E3">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Dwell Time</w:t>
            </w:r>
            <w:r>
              <w:rPr>
                <w:rFonts w:eastAsia="Times New Roman" w:cstheme="minorHAnsi"/>
                <w:sz w:val="20"/>
                <w:szCs w:val="20"/>
              </w:rPr>
              <w:t xml:space="preserve"> (ms)</w:t>
            </w:r>
          </w:p>
        </w:tc>
        <w:tc>
          <w:tcPr>
            <w:tcW w:w="1444" w:type="dxa"/>
            <w:noWrap/>
            <w:vAlign w:val="center"/>
            <w:hideMark/>
          </w:tcPr>
          <w:p w14:paraId="24A33A92" w14:textId="77777777" w:rsidR="006531BF" w:rsidRPr="00340C66" w:rsidRDefault="006531BF" w:rsidP="00BE49E3">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 xml:space="preserve">Q1 </w:t>
            </w:r>
            <w:r>
              <w:rPr>
                <w:rFonts w:eastAsia="Times New Roman" w:cstheme="minorHAnsi"/>
                <w:sz w:val="20"/>
                <w:szCs w:val="20"/>
              </w:rPr>
              <w:t>P</w:t>
            </w:r>
            <w:r w:rsidRPr="00C56791">
              <w:rPr>
                <w:rFonts w:eastAsia="Times New Roman" w:cstheme="minorHAnsi"/>
                <w:sz w:val="20"/>
                <w:szCs w:val="20"/>
              </w:rPr>
              <w:t>re</w:t>
            </w:r>
            <w:r>
              <w:rPr>
                <w:rFonts w:eastAsia="Times New Roman" w:cstheme="minorHAnsi"/>
                <w:sz w:val="20"/>
                <w:szCs w:val="20"/>
              </w:rPr>
              <w:t xml:space="preserve"> </w:t>
            </w:r>
            <w:r w:rsidRPr="00C56791">
              <w:rPr>
                <w:rFonts w:eastAsia="Times New Roman" w:cstheme="minorHAnsi"/>
                <w:sz w:val="20"/>
                <w:szCs w:val="20"/>
              </w:rPr>
              <w:t>Bias</w:t>
            </w:r>
            <w:r>
              <w:rPr>
                <w:rFonts w:eastAsia="Times New Roman" w:cstheme="minorHAnsi"/>
                <w:sz w:val="20"/>
                <w:szCs w:val="20"/>
              </w:rPr>
              <w:t xml:space="preserve"> (V)</w:t>
            </w:r>
          </w:p>
        </w:tc>
        <w:tc>
          <w:tcPr>
            <w:tcW w:w="1128" w:type="dxa"/>
            <w:noWrap/>
            <w:vAlign w:val="center"/>
            <w:hideMark/>
          </w:tcPr>
          <w:p w14:paraId="250AAB76" w14:textId="77777777" w:rsidR="006531BF" w:rsidRPr="00340C66" w:rsidRDefault="006531BF" w:rsidP="00BE49E3">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CE</w:t>
            </w:r>
            <w:r>
              <w:rPr>
                <w:rFonts w:eastAsia="Times New Roman" w:cstheme="minorHAnsi"/>
                <w:sz w:val="20"/>
                <w:szCs w:val="20"/>
              </w:rPr>
              <w:t xml:space="preserve"> </w:t>
            </w:r>
          </w:p>
        </w:tc>
        <w:tc>
          <w:tcPr>
            <w:tcW w:w="1354" w:type="dxa"/>
            <w:noWrap/>
            <w:vAlign w:val="center"/>
            <w:hideMark/>
          </w:tcPr>
          <w:p w14:paraId="25609F17" w14:textId="77777777" w:rsidR="006531BF" w:rsidRPr="00340C66" w:rsidRDefault="006531BF" w:rsidP="00BE49E3">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Q3 Pre Bias</w:t>
            </w:r>
            <w:r>
              <w:rPr>
                <w:rFonts w:eastAsia="Times New Roman" w:cstheme="minorHAnsi"/>
                <w:sz w:val="20"/>
                <w:szCs w:val="20"/>
              </w:rPr>
              <w:t xml:space="preserve"> (V)</w:t>
            </w:r>
          </w:p>
        </w:tc>
      </w:tr>
      <w:tr w:rsidR="006531BF" w:rsidRPr="00C56791" w14:paraId="7FB0B540" w14:textId="77777777" w:rsidTr="00BE49E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hideMark/>
          </w:tcPr>
          <w:p w14:paraId="29F24990" w14:textId="77777777" w:rsidR="006531BF" w:rsidRPr="00C56791" w:rsidRDefault="006531BF" w:rsidP="00BE49E3">
            <w:pPr>
              <w:jc w:val="center"/>
              <w:rPr>
                <w:rFonts w:eastAsia="Times New Roman" w:cstheme="minorHAnsi"/>
                <w:sz w:val="20"/>
                <w:szCs w:val="20"/>
              </w:rPr>
            </w:pPr>
            <w:r w:rsidRPr="00C56791">
              <w:rPr>
                <w:rFonts w:eastAsia="Times New Roman" w:cstheme="minorHAnsi"/>
                <w:sz w:val="20"/>
                <w:szCs w:val="20"/>
              </w:rPr>
              <w:t>GSH</w:t>
            </w:r>
          </w:p>
        </w:tc>
        <w:tc>
          <w:tcPr>
            <w:tcW w:w="1128" w:type="dxa"/>
            <w:gridSpan w:val="2"/>
            <w:noWrap/>
            <w:vAlign w:val="center"/>
            <w:hideMark/>
          </w:tcPr>
          <w:p w14:paraId="4EFCE2D1"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308</w:t>
            </w:r>
          </w:p>
        </w:tc>
        <w:tc>
          <w:tcPr>
            <w:tcW w:w="1128" w:type="dxa"/>
            <w:noWrap/>
            <w:vAlign w:val="center"/>
            <w:hideMark/>
          </w:tcPr>
          <w:p w14:paraId="56964D08"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179</w:t>
            </w:r>
          </w:p>
        </w:tc>
        <w:tc>
          <w:tcPr>
            <w:tcW w:w="1128" w:type="dxa"/>
            <w:noWrap/>
            <w:vAlign w:val="center"/>
            <w:hideMark/>
          </w:tcPr>
          <w:p w14:paraId="5F161554"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65</w:t>
            </w:r>
          </w:p>
        </w:tc>
        <w:tc>
          <w:tcPr>
            <w:tcW w:w="1444" w:type="dxa"/>
            <w:noWrap/>
            <w:vAlign w:val="center"/>
            <w:hideMark/>
          </w:tcPr>
          <w:p w14:paraId="6D3D2728"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-11</w:t>
            </w:r>
          </w:p>
        </w:tc>
        <w:tc>
          <w:tcPr>
            <w:tcW w:w="1128" w:type="dxa"/>
            <w:noWrap/>
            <w:vAlign w:val="center"/>
            <w:hideMark/>
          </w:tcPr>
          <w:p w14:paraId="5E141C18"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-19</w:t>
            </w:r>
          </w:p>
        </w:tc>
        <w:tc>
          <w:tcPr>
            <w:tcW w:w="1354" w:type="dxa"/>
            <w:noWrap/>
            <w:vAlign w:val="center"/>
            <w:hideMark/>
          </w:tcPr>
          <w:p w14:paraId="4486BA95"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-23</w:t>
            </w:r>
          </w:p>
        </w:tc>
      </w:tr>
      <w:tr w:rsidR="006531BF" w:rsidRPr="00C56791" w14:paraId="7427DC8C" w14:textId="77777777" w:rsidTr="00BE49E3">
        <w:trPr>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hideMark/>
          </w:tcPr>
          <w:p w14:paraId="39265143" w14:textId="77777777" w:rsidR="006531BF" w:rsidRPr="00C56791" w:rsidRDefault="006531BF" w:rsidP="00BE49E3">
            <w:pPr>
              <w:jc w:val="center"/>
              <w:rPr>
                <w:rFonts w:eastAsia="Times New Roman" w:cstheme="minorHAnsi"/>
                <w:sz w:val="20"/>
                <w:szCs w:val="20"/>
              </w:rPr>
            </w:pPr>
            <w:r w:rsidRPr="00C56791">
              <w:rPr>
                <w:rFonts w:eastAsia="Times New Roman" w:cstheme="minorHAnsi"/>
                <w:sz w:val="20"/>
                <w:szCs w:val="20"/>
              </w:rPr>
              <w:t>GSSG</w:t>
            </w:r>
          </w:p>
        </w:tc>
        <w:tc>
          <w:tcPr>
            <w:tcW w:w="1128" w:type="dxa"/>
            <w:gridSpan w:val="2"/>
            <w:noWrap/>
            <w:vAlign w:val="center"/>
            <w:hideMark/>
          </w:tcPr>
          <w:p w14:paraId="0E08384E"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613</w:t>
            </w:r>
          </w:p>
        </w:tc>
        <w:tc>
          <w:tcPr>
            <w:tcW w:w="1128" w:type="dxa"/>
            <w:noWrap/>
            <w:vAlign w:val="center"/>
            <w:hideMark/>
          </w:tcPr>
          <w:p w14:paraId="6C64CE51"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355</w:t>
            </w:r>
          </w:p>
        </w:tc>
        <w:tc>
          <w:tcPr>
            <w:tcW w:w="1128" w:type="dxa"/>
            <w:noWrap/>
            <w:vAlign w:val="center"/>
            <w:hideMark/>
          </w:tcPr>
          <w:p w14:paraId="724BEC4A"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65.6</w:t>
            </w:r>
          </w:p>
        </w:tc>
        <w:tc>
          <w:tcPr>
            <w:tcW w:w="1444" w:type="dxa"/>
            <w:noWrap/>
            <w:vAlign w:val="center"/>
            <w:hideMark/>
          </w:tcPr>
          <w:p w14:paraId="65B4BE41"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-14</w:t>
            </w:r>
          </w:p>
        </w:tc>
        <w:tc>
          <w:tcPr>
            <w:tcW w:w="1128" w:type="dxa"/>
            <w:noWrap/>
            <w:vAlign w:val="center"/>
            <w:hideMark/>
          </w:tcPr>
          <w:p w14:paraId="61F3A8B1"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-20</w:t>
            </w:r>
          </w:p>
        </w:tc>
        <w:tc>
          <w:tcPr>
            <w:tcW w:w="1354" w:type="dxa"/>
            <w:noWrap/>
            <w:vAlign w:val="center"/>
            <w:hideMark/>
          </w:tcPr>
          <w:p w14:paraId="5B9B696A"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-25</w:t>
            </w:r>
          </w:p>
        </w:tc>
      </w:tr>
      <w:tr w:rsidR="006531BF" w:rsidRPr="00C56791" w14:paraId="1F23A2A6" w14:textId="77777777" w:rsidTr="00BE49E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hideMark/>
          </w:tcPr>
          <w:p w14:paraId="3844ED48" w14:textId="77777777" w:rsidR="006531BF" w:rsidRPr="00C56791" w:rsidRDefault="006531BF" w:rsidP="00BE49E3">
            <w:pPr>
              <w:jc w:val="center"/>
              <w:rPr>
                <w:rFonts w:eastAsia="Times New Roman" w:cstheme="minorHAnsi"/>
                <w:sz w:val="20"/>
                <w:szCs w:val="20"/>
              </w:rPr>
            </w:pPr>
            <w:r w:rsidRPr="00C56791">
              <w:rPr>
                <w:rFonts w:eastAsia="Times New Roman" w:cstheme="minorHAnsi"/>
                <w:sz w:val="20"/>
                <w:szCs w:val="20"/>
              </w:rPr>
              <w:t>GSH-NEM</w:t>
            </w:r>
          </w:p>
        </w:tc>
        <w:tc>
          <w:tcPr>
            <w:tcW w:w="1128" w:type="dxa"/>
            <w:gridSpan w:val="2"/>
            <w:noWrap/>
            <w:vAlign w:val="center"/>
            <w:hideMark/>
          </w:tcPr>
          <w:p w14:paraId="474FB7E6"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433</w:t>
            </w:r>
          </w:p>
        </w:tc>
        <w:tc>
          <w:tcPr>
            <w:tcW w:w="1128" w:type="dxa"/>
            <w:noWrap/>
            <w:vAlign w:val="center"/>
            <w:hideMark/>
          </w:tcPr>
          <w:p w14:paraId="584EDD1A"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304</w:t>
            </w:r>
          </w:p>
        </w:tc>
        <w:tc>
          <w:tcPr>
            <w:tcW w:w="1128" w:type="dxa"/>
            <w:noWrap/>
            <w:vAlign w:val="center"/>
            <w:hideMark/>
          </w:tcPr>
          <w:p w14:paraId="64851386"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65.6</w:t>
            </w:r>
          </w:p>
        </w:tc>
        <w:tc>
          <w:tcPr>
            <w:tcW w:w="1444" w:type="dxa"/>
            <w:noWrap/>
            <w:vAlign w:val="center"/>
            <w:hideMark/>
          </w:tcPr>
          <w:p w14:paraId="604AD6CA"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-10</w:t>
            </w:r>
          </w:p>
        </w:tc>
        <w:tc>
          <w:tcPr>
            <w:tcW w:w="1128" w:type="dxa"/>
            <w:noWrap/>
            <w:vAlign w:val="center"/>
            <w:hideMark/>
          </w:tcPr>
          <w:p w14:paraId="321EFECA"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-17</w:t>
            </w:r>
          </w:p>
        </w:tc>
        <w:tc>
          <w:tcPr>
            <w:tcW w:w="1354" w:type="dxa"/>
            <w:noWrap/>
            <w:vAlign w:val="center"/>
            <w:hideMark/>
          </w:tcPr>
          <w:p w14:paraId="6A216B70"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-21</w:t>
            </w:r>
          </w:p>
        </w:tc>
      </w:tr>
      <w:tr w:rsidR="006531BF" w:rsidRPr="00C56791" w14:paraId="6D49353E" w14:textId="77777777" w:rsidTr="00BE49E3">
        <w:trPr>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hideMark/>
          </w:tcPr>
          <w:p w14:paraId="3523708E" w14:textId="77777777" w:rsidR="006531BF" w:rsidRPr="00C56791" w:rsidRDefault="006531BF" w:rsidP="00BE49E3">
            <w:pPr>
              <w:jc w:val="center"/>
              <w:rPr>
                <w:rFonts w:eastAsia="Times New Roman" w:cstheme="minorHAnsi"/>
                <w:sz w:val="20"/>
                <w:szCs w:val="20"/>
              </w:rPr>
            </w:pPr>
          </w:p>
        </w:tc>
        <w:tc>
          <w:tcPr>
            <w:tcW w:w="1128" w:type="dxa"/>
            <w:gridSpan w:val="2"/>
            <w:noWrap/>
            <w:vAlign w:val="center"/>
            <w:hideMark/>
          </w:tcPr>
          <w:p w14:paraId="2BA1BE8B"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433</w:t>
            </w:r>
          </w:p>
        </w:tc>
        <w:tc>
          <w:tcPr>
            <w:tcW w:w="1128" w:type="dxa"/>
            <w:noWrap/>
            <w:vAlign w:val="center"/>
            <w:hideMark/>
          </w:tcPr>
          <w:p w14:paraId="7717B4DB"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201</w:t>
            </w:r>
          </w:p>
        </w:tc>
        <w:tc>
          <w:tcPr>
            <w:tcW w:w="1128" w:type="dxa"/>
            <w:noWrap/>
            <w:vAlign w:val="center"/>
            <w:hideMark/>
          </w:tcPr>
          <w:p w14:paraId="63823802"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65.6</w:t>
            </w:r>
          </w:p>
        </w:tc>
        <w:tc>
          <w:tcPr>
            <w:tcW w:w="1444" w:type="dxa"/>
            <w:noWrap/>
            <w:vAlign w:val="center"/>
            <w:hideMark/>
          </w:tcPr>
          <w:p w14:paraId="15AB87B6"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-16</w:t>
            </w:r>
          </w:p>
        </w:tc>
        <w:tc>
          <w:tcPr>
            <w:tcW w:w="1128" w:type="dxa"/>
            <w:noWrap/>
            <w:vAlign w:val="center"/>
            <w:hideMark/>
          </w:tcPr>
          <w:p w14:paraId="70820291"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-21</w:t>
            </w:r>
          </w:p>
        </w:tc>
        <w:tc>
          <w:tcPr>
            <w:tcW w:w="1354" w:type="dxa"/>
            <w:noWrap/>
            <w:vAlign w:val="center"/>
            <w:hideMark/>
          </w:tcPr>
          <w:p w14:paraId="46A97062"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-21</w:t>
            </w:r>
          </w:p>
        </w:tc>
      </w:tr>
      <w:tr w:rsidR="006531BF" w:rsidRPr="00C56791" w14:paraId="3AAF781F" w14:textId="77777777" w:rsidTr="00BE49E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hideMark/>
          </w:tcPr>
          <w:p w14:paraId="2C8C7CF7" w14:textId="77777777" w:rsidR="006531BF" w:rsidRPr="00C56791" w:rsidRDefault="006531BF" w:rsidP="00BE49E3">
            <w:pPr>
              <w:jc w:val="center"/>
              <w:rPr>
                <w:rFonts w:eastAsia="Times New Roman" w:cstheme="minorHAnsi"/>
                <w:sz w:val="20"/>
                <w:szCs w:val="20"/>
              </w:rPr>
            </w:pPr>
            <w:r w:rsidRPr="00C56791">
              <w:rPr>
                <w:rFonts w:eastAsia="Times New Roman" w:cstheme="minorHAnsi"/>
                <w:sz w:val="20"/>
                <w:szCs w:val="20"/>
              </w:rPr>
              <w:t>GSH-d5-NEM</w:t>
            </w:r>
          </w:p>
        </w:tc>
        <w:tc>
          <w:tcPr>
            <w:tcW w:w="1128" w:type="dxa"/>
            <w:gridSpan w:val="2"/>
            <w:noWrap/>
            <w:vAlign w:val="center"/>
            <w:hideMark/>
          </w:tcPr>
          <w:p w14:paraId="24A2E9DF"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438</w:t>
            </w:r>
          </w:p>
        </w:tc>
        <w:tc>
          <w:tcPr>
            <w:tcW w:w="1128" w:type="dxa"/>
            <w:noWrap/>
            <w:vAlign w:val="center"/>
            <w:hideMark/>
          </w:tcPr>
          <w:p w14:paraId="18F2D732"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309</w:t>
            </w:r>
          </w:p>
        </w:tc>
        <w:tc>
          <w:tcPr>
            <w:tcW w:w="1128" w:type="dxa"/>
            <w:noWrap/>
            <w:vAlign w:val="center"/>
            <w:hideMark/>
          </w:tcPr>
          <w:p w14:paraId="37366212"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65.6</w:t>
            </w:r>
          </w:p>
        </w:tc>
        <w:tc>
          <w:tcPr>
            <w:tcW w:w="1444" w:type="dxa"/>
            <w:noWrap/>
            <w:vAlign w:val="center"/>
            <w:hideMark/>
          </w:tcPr>
          <w:p w14:paraId="3C5D1C43"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-10</w:t>
            </w:r>
          </w:p>
        </w:tc>
        <w:tc>
          <w:tcPr>
            <w:tcW w:w="1128" w:type="dxa"/>
            <w:noWrap/>
            <w:vAlign w:val="center"/>
            <w:hideMark/>
          </w:tcPr>
          <w:p w14:paraId="5B121A5E"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-17</w:t>
            </w:r>
          </w:p>
        </w:tc>
        <w:tc>
          <w:tcPr>
            <w:tcW w:w="1354" w:type="dxa"/>
            <w:noWrap/>
            <w:vAlign w:val="center"/>
            <w:hideMark/>
          </w:tcPr>
          <w:p w14:paraId="608A74CB"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-21</w:t>
            </w:r>
          </w:p>
        </w:tc>
      </w:tr>
      <w:tr w:rsidR="006531BF" w:rsidRPr="00C56791" w14:paraId="75652371" w14:textId="77777777" w:rsidTr="00BE49E3">
        <w:trPr>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hideMark/>
          </w:tcPr>
          <w:p w14:paraId="78A01812" w14:textId="77777777" w:rsidR="006531BF" w:rsidRPr="00C56791" w:rsidRDefault="006531BF" w:rsidP="00BE49E3">
            <w:pPr>
              <w:jc w:val="center"/>
              <w:rPr>
                <w:rFonts w:eastAsia="Times New Roman" w:cstheme="minorHAnsi"/>
                <w:sz w:val="20"/>
                <w:szCs w:val="20"/>
              </w:rPr>
            </w:pPr>
          </w:p>
        </w:tc>
        <w:tc>
          <w:tcPr>
            <w:tcW w:w="1128" w:type="dxa"/>
            <w:gridSpan w:val="2"/>
            <w:noWrap/>
            <w:vAlign w:val="center"/>
            <w:hideMark/>
          </w:tcPr>
          <w:p w14:paraId="30C87070"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438</w:t>
            </w:r>
          </w:p>
        </w:tc>
        <w:tc>
          <w:tcPr>
            <w:tcW w:w="1128" w:type="dxa"/>
            <w:noWrap/>
            <w:vAlign w:val="center"/>
            <w:hideMark/>
          </w:tcPr>
          <w:p w14:paraId="148E42F2"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206</w:t>
            </w:r>
          </w:p>
        </w:tc>
        <w:tc>
          <w:tcPr>
            <w:tcW w:w="1128" w:type="dxa"/>
            <w:noWrap/>
            <w:vAlign w:val="center"/>
            <w:hideMark/>
          </w:tcPr>
          <w:p w14:paraId="30AAF19E"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65.6</w:t>
            </w:r>
          </w:p>
        </w:tc>
        <w:tc>
          <w:tcPr>
            <w:tcW w:w="1444" w:type="dxa"/>
            <w:noWrap/>
            <w:vAlign w:val="center"/>
            <w:hideMark/>
          </w:tcPr>
          <w:p w14:paraId="2903FA9D"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-16</w:t>
            </w:r>
          </w:p>
        </w:tc>
        <w:tc>
          <w:tcPr>
            <w:tcW w:w="1128" w:type="dxa"/>
            <w:noWrap/>
            <w:vAlign w:val="center"/>
            <w:hideMark/>
          </w:tcPr>
          <w:p w14:paraId="18B22610"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-21</w:t>
            </w:r>
          </w:p>
        </w:tc>
        <w:tc>
          <w:tcPr>
            <w:tcW w:w="1354" w:type="dxa"/>
            <w:noWrap/>
            <w:vAlign w:val="center"/>
            <w:hideMark/>
          </w:tcPr>
          <w:p w14:paraId="056B032A"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-21</w:t>
            </w:r>
          </w:p>
        </w:tc>
      </w:tr>
      <w:tr w:rsidR="006531BF" w:rsidRPr="00C56791" w14:paraId="44CD14D1" w14:textId="77777777" w:rsidTr="00BE49E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hideMark/>
          </w:tcPr>
          <w:p w14:paraId="440DA74D" w14:textId="77777777" w:rsidR="006531BF" w:rsidRPr="00C56791" w:rsidRDefault="006531BF" w:rsidP="00BE49E3">
            <w:pPr>
              <w:jc w:val="center"/>
              <w:rPr>
                <w:rFonts w:eastAsia="Times New Roman" w:cstheme="minorHAnsi"/>
                <w:sz w:val="20"/>
                <w:szCs w:val="20"/>
              </w:rPr>
            </w:pPr>
            <w:r w:rsidRPr="00C56791">
              <w:rPr>
                <w:rFonts w:eastAsia="Times New Roman" w:cstheme="minorHAnsi"/>
                <w:sz w:val="20"/>
                <w:szCs w:val="20"/>
              </w:rPr>
              <w:t>IS</w:t>
            </w:r>
          </w:p>
        </w:tc>
        <w:tc>
          <w:tcPr>
            <w:tcW w:w="1128" w:type="dxa"/>
            <w:gridSpan w:val="2"/>
            <w:noWrap/>
            <w:vAlign w:val="center"/>
            <w:hideMark/>
          </w:tcPr>
          <w:p w14:paraId="5AD81B8C"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441</w:t>
            </w:r>
          </w:p>
        </w:tc>
        <w:tc>
          <w:tcPr>
            <w:tcW w:w="1128" w:type="dxa"/>
            <w:noWrap/>
            <w:vAlign w:val="center"/>
            <w:hideMark/>
          </w:tcPr>
          <w:p w14:paraId="2FA5BD40"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312</w:t>
            </w:r>
          </w:p>
        </w:tc>
        <w:tc>
          <w:tcPr>
            <w:tcW w:w="1128" w:type="dxa"/>
            <w:noWrap/>
            <w:vAlign w:val="center"/>
            <w:hideMark/>
          </w:tcPr>
          <w:p w14:paraId="045A0F9A"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100</w:t>
            </w:r>
          </w:p>
        </w:tc>
        <w:tc>
          <w:tcPr>
            <w:tcW w:w="1444" w:type="dxa"/>
            <w:noWrap/>
            <w:vAlign w:val="center"/>
            <w:hideMark/>
          </w:tcPr>
          <w:p w14:paraId="0E154823"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-10</w:t>
            </w:r>
          </w:p>
        </w:tc>
        <w:tc>
          <w:tcPr>
            <w:tcW w:w="1128" w:type="dxa"/>
            <w:noWrap/>
            <w:vAlign w:val="center"/>
            <w:hideMark/>
          </w:tcPr>
          <w:p w14:paraId="617D1B3D"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-17</w:t>
            </w:r>
          </w:p>
        </w:tc>
        <w:tc>
          <w:tcPr>
            <w:tcW w:w="1354" w:type="dxa"/>
            <w:noWrap/>
            <w:vAlign w:val="center"/>
            <w:hideMark/>
          </w:tcPr>
          <w:p w14:paraId="178AD9AA"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-21</w:t>
            </w:r>
          </w:p>
        </w:tc>
      </w:tr>
      <w:tr w:rsidR="006531BF" w:rsidRPr="00C56791" w14:paraId="51B67585" w14:textId="77777777" w:rsidTr="00BE49E3">
        <w:trPr>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hideMark/>
          </w:tcPr>
          <w:p w14:paraId="0AA46966" w14:textId="77777777" w:rsidR="006531BF" w:rsidRPr="00C56791" w:rsidRDefault="006531BF" w:rsidP="00BE49E3">
            <w:pPr>
              <w:jc w:val="center"/>
              <w:rPr>
                <w:rFonts w:eastAsia="Times New Roman" w:cstheme="minorHAnsi"/>
                <w:sz w:val="20"/>
                <w:szCs w:val="20"/>
              </w:rPr>
            </w:pPr>
          </w:p>
        </w:tc>
        <w:tc>
          <w:tcPr>
            <w:tcW w:w="1128" w:type="dxa"/>
            <w:gridSpan w:val="2"/>
            <w:noWrap/>
            <w:vAlign w:val="center"/>
            <w:hideMark/>
          </w:tcPr>
          <w:p w14:paraId="606C2EDE"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441</w:t>
            </w:r>
          </w:p>
        </w:tc>
        <w:tc>
          <w:tcPr>
            <w:tcW w:w="1128" w:type="dxa"/>
            <w:noWrap/>
            <w:vAlign w:val="center"/>
            <w:hideMark/>
          </w:tcPr>
          <w:p w14:paraId="314ED90F"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206</w:t>
            </w:r>
          </w:p>
        </w:tc>
        <w:tc>
          <w:tcPr>
            <w:tcW w:w="1128" w:type="dxa"/>
            <w:noWrap/>
            <w:vAlign w:val="center"/>
            <w:hideMark/>
          </w:tcPr>
          <w:p w14:paraId="38E9E932"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100</w:t>
            </w:r>
          </w:p>
        </w:tc>
        <w:tc>
          <w:tcPr>
            <w:tcW w:w="1444" w:type="dxa"/>
            <w:noWrap/>
            <w:vAlign w:val="center"/>
            <w:hideMark/>
          </w:tcPr>
          <w:p w14:paraId="00A3E75A"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-16</w:t>
            </w:r>
          </w:p>
        </w:tc>
        <w:tc>
          <w:tcPr>
            <w:tcW w:w="1128" w:type="dxa"/>
            <w:noWrap/>
            <w:vAlign w:val="center"/>
            <w:hideMark/>
          </w:tcPr>
          <w:p w14:paraId="2AEF2669"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-21</w:t>
            </w:r>
          </w:p>
        </w:tc>
        <w:tc>
          <w:tcPr>
            <w:tcW w:w="1354" w:type="dxa"/>
            <w:noWrap/>
            <w:vAlign w:val="center"/>
            <w:hideMark/>
          </w:tcPr>
          <w:p w14:paraId="33A16542"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C56791">
              <w:rPr>
                <w:rFonts w:eastAsia="Times New Roman" w:cstheme="minorHAnsi"/>
                <w:sz w:val="20"/>
                <w:szCs w:val="20"/>
              </w:rPr>
              <w:t>-21</w:t>
            </w:r>
          </w:p>
        </w:tc>
      </w:tr>
      <w:tr w:rsidR="006531BF" w:rsidRPr="00C56791" w14:paraId="65CCEC57" w14:textId="77777777" w:rsidTr="00BE49E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tcPr>
          <w:p w14:paraId="5FC75E05" w14:textId="77777777" w:rsidR="006531BF" w:rsidRPr="00C56791" w:rsidRDefault="006531BF" w:rsidP="00BE49E3">
            <w:pPr>
              <w:jc w:val="center"/>
              <w:rPr>
                <w:rFonts w:eastAsia="Times New Roman" w:cstheme="minorHAnsi"/>
                <w:sz w:val="20"/>
                <w:szCs w:val="20"/>
              </w:rPr>
            </w:pPr>
            <w:r>
              <w:rPr>
                <w:rFonts w:eastAsia="Times New Roman" w:cstheme="minorHAnsi"/>
                <w:sz w:val="20"/>
                <w:szCs w:val="20"/>
              </w:rPr>
              <w:t>sLG</w:t>
            </w:r>
          </w:p>
        </w:tc>
        <w:tc>
          <w:tcPr>
            <w:tcW w:w="1128" w:type="dxa"/>
            <w:gridSpan w:val="2"/>
            <w:noWrap/>
            <w:vAlign w:val="center"/>
          </w:tcPr>
          <w:p w14:paraId="7E6EE125"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380</w:t>
            </w:r>
          </w:p>
        </w:tc>
        <w:tc>
          <w:tcPr>
            <w:tcW w:w="1128" w:type="dxa"/>
            <w:noWrap/>
            <w:vAlign w:val="center"/>
          </w:tcPr>
          <w:p w14:paraId="7EC047E4"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223.05</w:t>
            </w:r>
          </w:p>
        </w:tc>
        <w:tc>
          <w:tcPr>
            <w:tcW w:w="1128" w:type="dxa"/>
            <w:noWrap/>
            <w:vAlign w:val="center"/>
          </w:tcPr>
          <w:p w14:paraId="3192F4FC"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100</w:t>
            </w:r>
          </w:p>
        </w:tc>
        <w:tc>
          <w:tcPr>
            <w:tcW w:w="1444" w:type="dxa"/>
            <w:noWrap/>
            <w:vAlign w:val="center"/>
          </w:tcPr>
          <w:p w14:paraId="6DCD2476"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-11</w:t>
            </w:r>
          </w:p>
        </w:tc>
        <w:tc>
          <w:tcPr>
            <w:tcW w:w="1128" w:type="dxa"/>
            <w:noWrap/>
            <w:vAlign w:val="center"/>
          </w:tcPr>
          <w:p w14:paraId="71FCB68E"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-18</w:t>
            </w:r>
          </w:p>
        </w:tc>
        <w:tc>
          <w:tcPr>
            <w:tcW w:w="1354" w:type="dxa"/>
            <w:noWrap/>
            <w:vAlign w:val="center"/>
          </w:tcPr>
          <w:p w14:paraId="06F450D0"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-24</w:t>
            </w:r>
          </w:p>
        </w:tc>
      </w:tr>
      <w:tr w:rsidR="006531BF" w:rsidRPr="00C56791" w14:paraId="7F70942D" w14:textId="77777777" w:rsidTr="00BE49E3">
        <w:trPr>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tcPr>
          <w:p w14:paraId="0193A8F7" w14:textId="77777777" w:rsidR="006531BF" w:rsidRDefault="006531BF" w:rsidP="00BE49E3">
            <w:pPr>
              <w:jc w:val="center"/>
              <w:rPr>
                <w:rFonts w:eastAsia="Times New Roman" w:cstheme="minorHAnsi"/>
                <w:sz w:val="20"/>
                <w:szCs w:val="20"/>
              </w:rPr>
            </w:pPr>
          </w:p>
        </w:tc>
        <w:tc>
          <w:tcPr>
            <w:tcW w:w="1128" w:type="dxa"/>
            <w:gridSpan w:val="2"/>
            <w:noWrap/>
            <w:vAlign w:val="center"/>
          </w:tcPr>
          <w:p w14:paraId="18C5B9AA" w14:textId="77777777" w:rsidR="006531BF"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Pr>
                <w:rFonts w:eastAsia="Times New Roman" w:cstheme="minorHAnsi"/>
                <w:sz w:val="20"/>
                <w:szCs w:val="20"/>
              </w:rPr>
              <w:t>380</w:t>
            </w:r>
          </w:p>
        </w:tc>
        <w:tc>
          <w:tcPr>
            <w:tcW w:w="1128" w:type="dxa"/>
            <w:noWrap/>
            <w:vAlign w:val="center"/>
          </w:tcPr>
          <w:p w14:paraId="74706F7F" w14:textId="77777777" w:rsidR="006531BF"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Pr>
                <w:rFonts w:eastAsia="Times New Roman" w:cstheme="minorHAnsi"/>
                <w:sz w:val="20"/>
                <w:szCs w:val="20"/>
              </w:rPr>
              <w:t>148.1</w:t>
            </w:r>
          </w:p>
        </w:tc>
        <w:tc>
          <w:tcPr>
            <w:tcW w:w="1128" w:type="dxa"/>
            <w:noWrap/>
            <w:vAlign w:val="center"/>
          </w:tcPr>
          <w:p w14:paraId="18723E15"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Pr>
                <w:rFonts w:eastAsia="Times New Roman" w:cstheme="minorHAnsi"/>
                <w:sz w:val="20"/>
                <w:szCs w:val="20"/>
              </w:rPr>
              <w:t>100</w:t>
            </w:r>
          </w:p>
        </w:tc>
        <w:tc>
          <w:tcPr>
            <w:tcW w:w="1444" w:type="dxa"/>
            <w:noWrap/>
            <w:vAlign w:val="center"/>
          </w:tcPr>
          <w:p w14:paraId="71C46CE4"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Pr>
                <w:rFonts w:eastAsia="Times New Roman" w:cstheme="minorHAnsi"/>
                <w:sz w:val="20"/>
                <w:szCs w:val="20"/>
              </w:rPr>
              <w:t>-11</w:t>
            </w:r>
          </w:p>
        </w:tc>
        <w:tc>
          <w:tcPr>
            <w:tcW w:w="1128" w:type="dxa"/>
            <w:noWrap/>
            <w:vAlign w:val="center"/>
          </w:tcPr>
          <w:p w14:paraId="179248B0"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Pr>
                <w:rFonts w:eastAsia="Times New Roman" w:cstheme="minorHAnsi"/>
                <w:sz w:val="20"/>
                <w:szCs w:val="20"/>
              </w:rPr>
              <w:t>-22</w:t>
            </w:r>
          </w:p>
        </w:tc>
        <w:tc>
          <w:tcPr>
            <w:tcW w:w="1354" w:type="dxa"/>
            <w:noWrap/>
            <w:vAlign w:val="center"/>
          </w:tcPr>
          <w:p w14:paraId="61FB441A" w14:textId="77777777" w:rsidR="006531BF" w:rsidRPr="00C56791" w:rsidRDefault="006531BF" w:rsidP="00BE49E3">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Pr>
                <w:rFonts w:eastAsia="Times New Roman" w:cstheme="minorHAnsi"/>
                <w:sz w:val="20"/>
                <w:szCs w:val="20"/>
              </w:rPr>
              <w:t>-30</w:t>
            </w:r>
          </w:p>
        </w:tc>
      </w:tr>
      <w:tr w:rsidR="006531BF" w:rsidRPr="00C56791" w14:paraId="22CF8E9C" w14:textId="77777777" w:rsidTr="00BE49E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670" w:type="dxa"/>
            <w:noWrap/>
            <w:vAlign w:val="center"/>
          </w:tcPr>
          <w:p w14:paraId="1CF1706B" w14:textId="77777777" w:rsidR="006531BF" w:rsidRDefault="006531BF" w:rsidP="00BE49E3">
            <w:pPr>
              <w:jc w:val="center"/>
              <w:rPr>
                <w:rFonts w:eastAsia="Times New Roman" w:cstheme="minorHAnsi"/>
                <w:sz w:val="20"/>
                <w:szCs w:val="20"/>
              </w:rPr>
            </w:pPr>
          </w:p>
        </w:tc>
        <w:tc>
          <w:tcPr>
            <w:tcW w:w="1128" w:type="dxa"/>
            <w:gridSpan w:val="2"/>
            <w:noWrap/>
            <w:vAlign w:val="center"/>
          </w:tcPr>
          <w:p w14:paraId="75728C43" w14:textId="77777777" w:rsidR="006531BF"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380</w:t>
            </w:r>
          </w:p>
        </w:tc>
        <w:tc>
          <w:tcPr>
            <w:tcW w:w="1128" w:type="dxa"/>
            <w:noWrap/>
            <w:vAlign w:val="center"/>
          </w:tcPr>
          <w:p w14:paraId="467BECE9" w14:textId="77777777" w:rsidR="006531BF"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76.05</w:t>
            </w:r>
          </w:p>
        </w:tc>
        <w:tc>
          <w:tcPr>
            <w:tcW w:w="1128" w:type="dxa"/>
            <w:noWrap/>
            <w:vAlign w:val="center"/>
          </w:tcPr>
          <w:p w14:paraId="1B3C892E"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100</w:t>
            </w:r>
          </w:p>
        </w:tc>
        <w:tc>
          <w:tcPr>
            <w:tcW w:w="1444" w:type="dxa"/>
            <w:noWrap/>
            <w:vAlign w:val="center"/>
          </w:tcPr>
          <w:p w14:paraId="7C6757B7"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-11</w:t>
            </w:r>
          </w:p>
        </w:tc>
        <w:tc>
          <w:tcPr>
            <w:tcW w:w="1128" w:type="dxa"/>
            <w:noWrap/>
            <w:vAlign w:val="center"/>
          </w:tcPr>
          <w:p w14:paraId="239CF58D"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-37</w:t>
            </w:r>
          </w:p>
        </w:tc>
        <w:tc>
          <w:tcPr>
            <w:tcW w:w="1354" w:type="dxa"/>
            <w:noWrap/>
            <w:vAlign w:val="center"/>
          </w:tcPr>
          <w:p w14:paraId="5784F59E" w14:textId="77777777" w:rsidR="006531BF" w:rsidRPr="00C56791" w:rsidRDefault="006531BF" w:rsidP="00BE49E3">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Pr>
                <w:rFonts w:eastAsia="Times New Roman" w:cstheme="minorHAnsi"/>
                <w:sz w:val="20"/>
                <w:szCs w:val="20"/>
              </w:rPr>
              <w:t>-14</w:t>
            </w:r>
          </w:p>
        </w:tc>
      </w:tr>
    </w:tbl>
    <w:p w14:paraId="0F9EB2D8" w14:textId="77777777" w:rsidR="006531BF" w:rsidRDefault="006531BF" w:rsidP="006531BF">
      <w:pPr>
        <w:ind w:firstLine="720"/>
        <w:jc w:val="both"/>
        <w:rPr>
          <w:lang w:val="en-US"/>
        </w:rPr>
      </w:pPr>
    </w:p>
    <w:p w14:paraId="563FB679" w14:textId="77777777" w:rsidR="006531BF" w:rsidRDefault="006531BF" w:rsidP="006531BF">
      <w:pPr>
        <w:rPr>
          <w:lang w:val="en-US"/>
        </w:rPr>
      </w:pPr>
      <w:r>
        <w:rPr>
          <w:lang w:val="en-US"/>
        </w:rPr>
        <w:br w:type="page"/>
      </w:r>
    </w:p>
    <w:p w14:paraId="65482E06" w14:textId="77777777" w:rsidR="006531BF" w:rsidRDefault="006531BF" w:rsidP="006531BF">
      <w:pPr>
        <w:pStyle w:val="Heading1"/>
      </w:pPr>
      <w:r w:rsidRPr="008E2CF2">
        <w:lastRenderedPageBreak/>
        <w:t>Supplementary Figures</w:t>
      </w:r>
    </w:p>
    <w:p w14:paraId="1D1A95DE" w14:textId="77777777" w:rsidR="006531BF" w:rsidRDefault="006531BF" w:rsidP="006531BF">
      <w:pPr>
        <w:rPr>
          <w:lang w:val="en-US"/>
        </w:rPr>
      </w:pPr>
    </w:p>
    <w:p w14:paraId="1FF41887" w14:textId="77777777" w:rsidR="006531BF" w:rsidRDefault="006531BF" w:rsidP="006531BF">
      <w:pPr>
        <w:jc w:val="both"/>
        <w:rPr>
          <w:lang w:val="en-US"/>
        </w:rPr>
      </w:pPr>
      <w:r>
        <w:rPr>
          <w:noProof/>
          <w:lang w:val="en-US"/>
        </w:rPr>
        <w:drawing>
          <wp:inline distT="0" distB="0" distL="0" distR="0" wp14:anchorId="2C247325" wp14:editId="0D621176">
            <wp:extent cx="5760720" cy="441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FIg.1_allMerged_v2-01.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4419600"/>
                    </a:xfrm>
                    <a:prstGeom prst="rect">
                      <a:avLst/>
                    </a:prstGeom>
                  </pic:spPr>
                </pic:pic>
              </a:graphicData>
            </a:graphic>
          </wp:inline>
        </w:drawing>
      </w:r>
    </w:p>
    <w:p w14:paraId="725DB354" w14:textId="77777777" w:rsidR="006531BF" w:rsidRDefault="006531BF" w:rsidP="006531BF">
      <w:pPr>
        <w:jc w:val="both"/>
        <w:rPr>
          <w:lang w:val="en-US"/>
        </w:rPr>
      </w:pPr>
      <w:r w:rsidRPr="00BB6E37">
        <w:rPr>
          <w:b/>
          <w:lang w:val="en-US"/>
        </w:rPr>
        <w:t xml:space="preserve">Figure S1. Redox and label free proteomics overview of the </w:t>
      </w:r>
      <w:r>
        <w:rPr>
          <w:b/>
          <w:lang w:val="en-US"/>
        </w:rPr>
        <w:t xml:space="preserve">NSCLC patient lung </w:t>
      </w:r>
      <w:r w:rsidRPr="00BB6E37">
        <w:rPr>
          <w:b/>
          <w:lang w:val="en-US"/>
        </w:rPr>
        <w:t>tissue data</w:t>
      </w:r>
      <w:r>
        <w:rPr>
          <w:lang w:val="en-US"/>
        </w:rPr>
        <w:t xml:space="preserve">. A. Protein abundance of </w:t>
      </w:r>
      <w:r>
        <w:rPr>
          <w:rFonts w:cstheme="minorHAnsi"/>
          <w:lang w:val="en-US"/>
        </w:rPr>
        <w:t>γ</w:t>
      </w:r>
      <w:r>
        <w:rPr>
          <w:lang w:val="en-US"/>
        </w:rPr>
        <w:t>-glutamyltranspeptidase (GGT) was increased in tumor while (B) protein abundance of glutathione reductase was unchanged compared to neighboring healthy tissue. C. Principal component analysis of individual tumor and healthy samples in redox analysis with Cys</w:t>
      </w:r>
      <w:r w:rsidRPr="00977C96">
        <w:rPr>
          <w:vertAlign w:val="superscript"/>
          <w:lang w:val="en-US"/>
        </w:rPr>
        <w:t>red</w:t>
      </w:r>
      <w:r>
        <w:rPr>
          <w:lang w:val="en-US"/>
        </w:rPr>
        <w:t>/Cys</w:t>
      </w:r>
      <w:r w:rsidRPr="00977C96">
        <w:rPr>
          <w:vertAlign w:val="superscript"/>
          <w:lang w:val="en-US"/>
        </w:rPr>
        <w:t>ox</w:t>
      </w:r>
      <w:r>
        <w:rPr>
          <w:lang w:val="en-US"/>
        </w:rPr>
        <w:t xml:space="preserve"> ratios as input. D. Together with PCA, median Cys</w:t>
      </w:r>
      <w:r w:rsidRPr="00977C96">
        <w:rPr>
          <w:vertAlign w:val="superscript"/>
          <w:lang w:val="en-US"/>
        </w:rPr>
        <w:t>red</w:t>
      </w:r>
      <w:r>
        <w:rPr>
          <w:lang w:val="en-US"/>
        </w:rPr>
        <w:t>/Cys</w:t>
      </w:r>
      <w:r w:rsidRPr="00977C96">
        <w:rPr>
          <w:vertAlign w:val="superscript"/>
          <w:lang w:val="en-US"/>
        </w:rPr>
        <w:t>ox</w:t>
      </w:r>
      <w:r>
        <w:rPr>
          <w:lang w:val="en-US"/>
        </w:rPr>
        <w:t xml:space="preserve"> ratios between tumor and healthy tissue samples reveal minimum difference of the redox ratios between the two sample groups. E. Volcano plot of the LFQ proteomics data of the lung cancer patient samples (FDR corrected p-value &lt; 0.01, S0 = 0.1; green - glucose metabolism; pink - oxidative stress; blue - MG and AGEs, red - oncogenes). F. Protein abundances (LFQ values) of superoxide dismutase (SOD) 1 and 2 (cytosolic and mitochondrial isoform) were higher while protein abundance of SOD3 (extracellular, secreted isoform) lower in tumor tissue. G. Another two extracellular antioxidants, namely myeloperoxidase (MPO) and eosinophil peroxidase (EPX) were lower in tumor tissue. H. Cys</w:t>
      </w:r>
      <w:r w:rsidRPr="00FB6D97">
        <w:rPr>
          <w:vertAlign w:val="superscript"/>
          <w:lang w:val="en-US"/>
        </w:rPr>
        <w:t>red</w:t>
      </w:r>
      <w:r>
        <w:rPr>
          <w:lang w:val="en-US"/>
        </w:rPr>
        <w:t>/Cys</w:t>
      </w:r>
      <w:r w:rsidRPr="00FB6D97">
        <w:rPr>
          <w:vertAlign w:val="superscript"/>
          <w:lang w:val="en-US"/>
        </w:rPr>
        <w:t>ox</w:t>
      </w:r>
      <w:r>
        <w:rPr>
          <w:lang w:val="en-US"/>
        </w:rPr>
        <w:t xml:space="preserve"> ratio of Cys</w:t>
      </w:r>
      <w:r w:rsidRPr="00BB6E37">
        <w:rPr>
          <w:vertAlign w:val="superscript"/>
          <w:lang w:val="en-US"/>
        </w:rPr>
        <w:t>358</w:t>
      </w:r>
      <w:r>
        <w:rPr>
          <w:lang w:val="en-US"/>
        </w:rPr>
        <w:t xml:space="preserve"> of pyruvate kinase M (PKM) and (G) Cys</w:t>
      </w:r>
      <w:r w:rsidRPr="00BB6E37">
        <w:rPr>
          <w:vertAlign w:val="superscript"/>
          <w:lang w:val="en-US"/>
        </w:rPr>
        <w:t>152</w:t>
      </w:r>
      <w:r>
        <w:rPr>
          <w:lang w:val="en-US"/>
        </w:rPr>
        <w:t xml:space="preserve"> of </w:t>
      </w:r>
      <w:r w:rsidRPr="00AC23E4">
        <w:rPr>
          <w:lang w:val="en-US"/>
        </w:rPr>
        <w:t>Glyceraldehyde 3-phosphate dehydrogenase</w:t>
      </w:r>
      <w:r>
        <w:rPr>
          <w:lang w:val="en-US"/>
        </w:rPr>
        <w:t xml:space="preserve"> (GAPDH) were not significantly chanced between tumor and healthy tissue.  **</w:t>
      </w:r>
      <w:r w:rsidRPr="006D7AE3">
        <w:rPr>
          <w:lang w:val="en-US"/>
        </w:rPr>
        <w:t xml:space="preserve">** </w:t>
      </w:r>
      <w:r>
        <w:rPr>
          <w:lang w:val="en-US"/>
        </w:rPr>
        <w:t>S</w:t>
      </w:r>
      <w:r w:rsidRPr="006D7AE3">
        <w:rPr>
          <w:lang w:val="en-US"/>
        </w:rPr>
        <w:t>tudent’s t-test p-value &lt; 0.0</w:t>
      </w:r>
      <w:r>
        <w:rPr>
          <w:lang w:val="en-US"/>
        </w:rPr>
        <w:t>001; *** p-value &lt; 0.001; ** p-value &lt; 0.01; * p-value &lt; 0.05; ns - not significant.</w:t>
      </w:r>
    </w:p>
    <w:p w14:paraId="0FB597E0" w14:textId="77777777" w:rsidR="006531BF" w:rsidRDefault="006531BF" w:rsidP="006531BF">
      <w:pPr>
        <w:jc w:val="both"/>
        <w:rPr>
          <w:lang w:val="en-US"/>
        </w:rPr>
      </w:pPr>
    </w:p>
    <w:p w14:paraId="449037AE" w14:textId="77777777" w:rsidR="006531BF" w:rsidRDefault="006531BF" w:rsidP="006531BF">
      <w:pPr>
        <w:jc w:val="both"/>
        <w:rPr>
          <w:lang w:val="en-US"/>
        </w:rPr>
      </w:pPr>
    </w:p>
    <w:p w14:paraId="6BB4D6BD" w14:textId="77777777" w:rsidR="006531BF" w:rsidRDefault="006531BF" w:rsidP="006531BF">
      <w:pPr>
        <w:jc w:val="both"/>
        <w:rPr>
          <w:lang w:val="en-US"/>
        </w:rPr>
      </w:pPr>
      <w:r>
        <w:rPr>
          <w:noProof/>
          <w:lang w:val="en-US"/>
        </w:rPr>
        <w:drawing>
          <wp:inline distT="0" distB="0" distL="0" distR="0" wp14:anchorId="06448621" wp14:editId="0DDA648D">
            <wp:extent cx="5760720" cy="24034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Fig.S2Enrichment Map_BothDOWN_and UP-01.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2403475"/>
                    </a:xfrm>
                    <a:prstGeom prst="rect">
                      <a:avLst/>
                    </a:prstGeom>
                  </pic:spPr>
                </pic:pic>
              </a:graphicData>
            </a:graphic>
          </wp:inline>
        </w:drawing>
      </w:r>
    </w:p>
    <w:p w14:paraId="139F0A46" w14:textId="77777777" w:rsidR="006531BF" w:rsidRDefault="006531BF" w:rsidP="006531BF">
      <w:pPr>
        <w:jc w:val="both"/>
        <w:rPr>
          <w:lang w:val="en-US"/>
        </w:rPr>
      </w:pPr>
      <w:r w:rsidRPr="00B21522">
        <w:rPr>
          <w:b/>
          <w:lang w:val="en-US"/>
        </w:rPr>
        <w:t>Figure S2</w:t>
      </w:r>
      <w:r>
        <w:rPr>
          <w:lang w:val="en-US"/>
        </w:rPr>
        <w:t xml:space="preserve">. </w:t>
      </w:r>
      <w:r w:rsidRPr="003D1593">
        <w:rPr>
          <w:b/>
          <w:lang w:val="en-US"/>
        </w:rPr>
        <w:t>Gene ontology enrichment of biological processes</w:t>
      </w:r>
      <w:r>
        <w:rPr>
          <w:b/>
          <w:lang w:val="en-US"/>
        </w:rPr>
        <w:t>.</w:t>
      </w:r>
      <w:r>
        <w:rPr>
          <w:lang w:val="en-US"/>
        </w:rPr>
        <w:t xml:space="preserve"> Significantly less (A) or significantly more (B) abundant proteins in tumor were used as input (threshold for protein to be considered significant significance FDR corrected p-value &lt; 0.05, S0=0.1; threshold for enrichment: FDR corrected p-value &lt; 0.05; GO terms visualized with EnrichmentMap. </w:t>
      </w:r>
    </w:p>
    <w:p w14:paraId="5759CB69" w14:textId="77777777" w:rsidR="006531BF" w:rsidRPr="00991ECE" w:rsidRDefault="006531BF" w:rsidP="006531BF">
      <w:pPr>
        <w:jc w:val="center"/>
        <w:rPr>
          <w:lang w:val="en-US"/>
        </w:rPr>
      </w:pPr>
      <w:r>
        <w:rPr>
          <w:noProof/>
          <w:lang w:val="en-US"/>
        </w:rPr>
        <w:lastRenderedPageBreak/>
        <w:drawing>
          <wp:inline distT="0" distB="0" distL="0" distR="0" wp14:anchorId="0E50306B" wp14:editId="355E3F61">
            <wp:extent cx="5590032" cy="452018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Fig1_2024_Glutathione+GSHenzymes.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590032" cy="4520184"/>
                    </a:xfrm>
                    <a:prstGeom prst="rect">
                      <a:avLst/>
                    </a:prstGeom>
                  </pic:spPr>
                </pic:pic>
              </a:graphicData>
            </a:graphic>
          </wp:inline>
        </w:drawing>
      </w:r>
    </w:p>
    <w:p w14:paraId="2ADD6CE3" w14:textId="77777777" w:rsidR="006531BF" w:rsidRDefault="006531BF" w:rsidP="006531BF">
      <w:pPr>
        <w:jc w:val="both"/>
        <w:rPr>
          <w:lang w:val="en-US"/>
        </w:rPr>
      </w:pPr>
    </w:p>
    <w:p w14:paraId="0BA70FF8" w14:textId="77777777" w:rsidR="006531BF" w:rsidRDefault="006531BF" w:rsidP="006531BF">
      <w:pPr>
        <w:jc w:val="both"/>
        <w:rPr>
          <w:lang w:val="en-US"/>
        </w:rPr>
      </w:pPr>
      <w:r w:rsidRPr="008A427E">
        <w:rPr>
          <w:b/>
          <w:lang w:val="en-US"/>
        </w:rPr>
        <w:t>Figure S</w:t>
      </w:r>
      <w:r>
        <w:rPr>
          <w:b/>
          <w:lang w:val="en-US"/>
        </w:rPr>
        <w:t>3</w:t>
      </w:r>
      <w:r w:rsidRPr="008A427E">
        <w:rPr>
          <w:b/>
          <w:lang w:val="en-US"/>
        </w:rPr>
        <w:t>. Glutathione homeostasis is affected in lung tumor tissue.</w:t>
      </w:r>
      <w:r w:rsidRPr="008A427E">
        <w:rPr>
          <w:lang w:val="en-US"/>
        </w:rPr>
        <w:t xml:space="preserve"> A. Glutathione status of tumor versus healthy lung tissue (GSH reduced glutathione; GSSG oxidized glutathione; n = 70 per group, ** paired Students’ t-test p-value &lt; 0.01, ns - not significant). B. Protein levels of key glutathione synthesis enzymes (GCLC - γ-glutamylcysteine ligase catalytic subunit; GCLC - γ-glutamylcysteine ligase modulatory subunit; GSS - glutathione synthase; ** paired Students’ t-test p-value &lt; 0.01, *** p-value &lt; 0.0001; ns - not significant).</w:t>
      </w:r>
    </w:p>
    <w:p w14:paraId="231C45DB" w14:textId="77777777" w:rsidR="006531BF" w:rsidRDefault="006531BF" w:rsidP="006531BF">
      <w:pPr>
        <w:jc w:val="both"/>
        <w:rPr>
          <w:lang w:val="en-US"/>
        </w:rPr>
      </w:pPr>
      <w:r>
        <w:rPr>
          <w:noProof/>
          <w:lang w:val="en-US"/>
        </w:rPr>
        <w:lastRenderedPageBreak/>
        <w:drawing>
          <wp:inline distT="0" distB="0" distL="0" distR="0" wp14:anchorId="7BB24327" wp14:editId="00C723FC">
            <wp:extent cx="5760720" cy="80048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 Fig_S4-0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8004810"/>
                    </a:xfrm>
                    <a:prstGeom prst="rect">
                      <a:avLst/>
                    </a:prstGeom>
                  </pic:spPr>
                </pic:pic>
              </a:graphicData>
            </a:graphic>
          </wp:inline>
        </w:drawing>
      </w:r>
    </w:p>
    <w:p w14:paraId="0EB0B535" w14:textId="77777777" w:rsidR="006531BF" w:rsidRDefault="006531BF" w:rsidP="006531BF">
      <w:pPr>
        <w:jc w:val="both"/>
        <w:rPr>
          <w:lang w:val="en-US"/>
        </w:rPr>
      </w:pPr>
      <w:r w:rsidRPr="000068EC">
        <w:rPr>
          <w:b/>
          <w:lang w:val="en-US"/>
        </w:rPr>
        <w:lastRenderedPageBreak/>
        <w:t>Figure S4.  Low levels of GLO2 and LDHD are connected with poor survival in cancer patients and inversely correlated with GAPDH expression</w:t>
      </w:r>
      <w:r>
        <w:rPr>
          <w:b/>
          <w:lang w:val="en-US"/>
        </w:rPr>
        <w:t xml:space="preserve"> in lung cancer</w:t>
      </w:r>
      <w:r>
        <w:rPr>
          <w:lang w:val="en-US"/>
        </w:rPr>
        <w:t>. A. LDHD</w:t>
      </w:r>
      <w:r w:rsidRPr="00C30E16">
        <w:rPr>
          <w:lang w:val="en-US"/>
        </w:rPr>
        <w:t xml:space="preserve"> </w:t>
      </w:r>
      <w:r>
        <w:rPr>
          <w:lang w:val="en-US"/>
        </w:rPr>
        <w:t xml:space="preserve">gene </w:t>
      </w:r>
      <w:r w:rsidRPr="00C30E16">
        <w:rPr>
          <w:lang w:val="en-US"/>
        </w:rPr>
        <w:t>expression</w:t>
      </w:r>
      <w:r>
        <w:rPr>
          <w:lang w:val="en-US"/>
        </w:rPr>
        <w:t xml:space="preserve"> (TCGA data)</w:t>
      </w:r>
      <w:r w:rsidRPr="00C30E16">
        <w:rPr>
          <w:lang w:val="en-US"/>
        </w:rPr>
        <w:t xml:space="preserve"> </w:t>
      </w:r>
      <w:r>
        <w:rPr>
          <w:lang w:val="en-US"/>
        </w:rPr>
        <w:t>is</w:t>
      </w:r>
      <w:r w:rsidRPr="00C30E16">
        <w:rPr>
          <w:lang w:val="en-US"/>
        </w:rPr>
        <w:t xml:space="preserve"> lower in lung tumor</w:t>
      </w:r>
      <w:r>
        <w:rPr>
          <w:lang w:val="en-US"/>
        </w:rPr>
        <w:t xml:space="preserve"> (N = 1011)</w:t>
      </w:r>
      <w:r w:rsidRPr="00C30E16">
        <w:rPr>
          <w:lang w:val="en-US"/>
        </w:rPr>
        <w:t xml:space="preserve"> versus normal lung </w:t>
      </w:r>
      <w:r>
        <w:rPr>
          <w:lang w:val="en-US"/>
        </w:rPr>
        <w:t xml:space="preserve">(N = 287) </w:t>
      </w:r>
      <w:r w:rsidRPr="00C30E16">
        <w:rPr>
          <w:lang w:val="en-US"/>
        </w:rPr>
        <w:t>and tumor-adjacent lung tissue</w:t>
      </w:r>
      <w:r>
        <w:rPr>
          <w:lang w:val="en-US"/>
        </w:rPr>
        <w:t xml:space="preserve"> (N=109). However, LDHD expression was markedly higher in tumor-adjacent tissue compared to normal lung tissue</w:t>
      </w:r>
      <w:r w:rsidRPr="00C30E16">
        <w:rPr>
          <w:lang w:val="en-US"/>
        </w:rPr>
        <w:t xml:space="preserve"> (source</w:t>
      </w:r>
      <w:r>
        <w:rPr>
          <w:lang w:val="en-US"/>
        </w:rPr>
        <w:t>: X</w:t>
      </w:r>
      <w:r w:rsidRPr="00C30E16">
        <w:rPr>
          <w:lang w:val="en-US"/>
        </w:rPr>
        <w:t>ena browser)</w:t>
      </w:r>
      <w:r>
        <w:rPr>
          <w:lang w:val="en-US"/>
        </w:rPr>
        <w:t>. B. Kaplan-Mayer plots of PANCAN dataset (5-year survival) for GLO1, GLO2, LDHD and GAPDH. C. Correlation analysis between LDHD versus HIF1A gene expression in lung carcinoma (LUNG; N = 1129), lung adenocarcinoma (LUAD; N = 585) and all-cancer datasets (PANCAN; N = 11768). D. Same as C just for GAPDH versus GLO1, GLO2 or LDHD (*</w:t>
      </w:r>
      <w:r w:rsidRPr="008A427E">
        <w:rPr>
          <w:lang w:val="en-US"/>
        </w:rPr>
        <w:t>*** p-value &lt; 0.0001</w:t>
      </w:r>
      <w:r>
        <w:rPr>
          <w:lang w:val="en-US"/>
        </w:rPr>
        <w:t xml:space="preserve">). </w:t>
      </w:r>
    </w:p>
    <w:p w14:paraId="200B22C7"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1BF"/>
    <w:rsid w:val="000E3FC7"/>
    <w:rsid w:val="00331A6B"/>
    <w:rsid w:val="006531BF"/>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0A3D7"/>
  <w15:chartTrackingRefBased/>
  <w15:docId w15:val="{F5AA023E-EA6D-47C0-B168-638A5B8AE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1BF"/>
    <w:rPr>
      <w:kern w:val="0"/>
      <w:lang w:val="de-AT"/>
      <w14:ligatures w14:val="none"/>
    </w:rPr>
  </w:style>
  <w:style w:type="paragraph" w:styleId="Heading1">
    <w:name w:val="heading 1"/>
    <w:basedOn w:val="Normal"/>
    <w:next w:val="Normal"/>
    <w:link w:val="Heading1Char"/>
    <w:uiPriority w:val="9"/>
    <w:qFormat/>
    <w:rsid w:val="006531BF"/>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6531BF"/>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6531BF"/>
    <w:pPr>
      <w:keepNext/>
      <w:keepLines/>
      <w:spacing w:before="160" w:after="80"/>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6531BF"/>
    <w:pPr>
      <w:keepNext/>
      <w:keepLines/>
      <w:spacing w:before="80" w:after="40"/>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6531BF"/>
    <w:pPr>
      <w:keepNext/>
      <w:keepLines/>
      <w:spacing w:before="80" w:after="40"/>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6531BF"/>
    <w:pPr>
      <w:keepNext/>
      <w:keepLines/>
      <w:spacing w:before="40" w:after="0"/>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6531BF"/>
    <w:pPr>
      <w:keepNext/>
      <w:keepLines/>
      <w:spacing w:before="40" w:after="0"/>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6531BF"/>
    <w:pPr>
      <w:keepNext/>
      <w:keepLines/>
      <w:spacing w:after="0"/>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6531BF"/>
    <w:pPr>
      <w:keepNext/>
      <w:keepLines/>
      <w:spacing w:after="0"/>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31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531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31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31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31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31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31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31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31BF"/>
    <w:rPr>
      <w:rFonts w:eastAsiaTheme="majorEastAsia" w:cstheme="majorBidi"/>
      <w:color w:val="272727" w:themeColor="text1" w:themeTint="D8"/>
    </w:rPr>
  </w:style>
  <w:style w:type="paragraph" w:styleId="Title">
    <w:name w:val="Title"/>
    <w:basedOn w:val="Normal"/>
    <w:next w:val="Normal"/>
    <w:link w:val="TitleChar"/>
    <w:uiPriority w:val="10"/>
    <w:qFormat/>
    <w:rsid w:val="006531BF"/>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6531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31BF"/>
    <w:pPr>
      <w:numPr>
        <w:ilvl w:val="1"/>
      </w:numPr>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6531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31BF"/>
    <w:pPr>
      <w:spacing w:before="160"/>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6531BF"/>
    <w:rPr>
      <w:i/>
      <w:iCs/>
      <w:color w:val="404040" w:themeColor="text1" w:themeTint="BF"/>
    </w:rPr>
  </w:style>
  <w:style w:type="paragraph" w:styleId="ListParagraph">
    <w:name w:val="List Paragraph"/>
    <w:basedOn w:val="Normal"/>
    <w:uiPriority w:val="34"/>
    <w:qFormat/>
    <w:rsid w:val="006531BF"/>
    <w:pPr>
      <w:ind w:left="720"/>
      <w:contextualSpacing/>
    </w:pPr>
    <w:rPr>
      <w:kern w:val="2"/>
      <w:lang w:val="en-US"/>
      <w14:ligatures w14:val="standardContextual"/>
    </w:rPr>
  </w:style>
  <w:style w:type="character" w:styleId="IntenseEmphasis">
    <w:name w:val="Intense Emphasis"/>
    <w:basedOn w:val="DefaultParagraphFont"/>
    <w:uiPriority w:val="21"/>
    <w:qFormat/>
    <w:rsid w:val="006531BF"/>
    <w:rPr>
      <w:i/>
      <w:iCs/>
      <w:color w:val="0F4761" w:themeColor="accent1" w:themeShade="BF"/>
    </w:rPr>
  </w:style>
  <w:style w:type="paragraph" w:styleId="IntenseQuote">
    <w:name w:val="Intense Quote"/>
    <w:basedOn w:val="Normal"/>
    <w:next w:val="Normal"/>
    <w:link w:val="IntenseQuoteChar"/>
    <w:uiPriority w:val="30"/>
    <w:qFormat/>
    <w:rsid w:val="006531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6531BF"/>
    <w:rPr>
      <w:i/>
      <w:iCs/>
      <w:color w:val="0F4761" w:themeColor="accent1" w:themeShade="BF"/>
    </w:rPr>
  </w:style>
  <w:style w:type="character" w:styleId="IntenseReference">
    <w:name w:val="Intense Reference"/>
    <w:basedOn w:val="DefaultParagraphFont"/>
    <w:uiPriority w:val="32"/>
    <w:qFormat/>
    <w:rsid w:val="006531BF"/>
    <w:rPr>
      <w:b/>
      <w:bCs/>
      <w:smallCaps/>
      <w:color w:val="0F4761" w:themeColor="accent1" w:themeShade="BF"/>
      <w:spacing w:val="5"/>
    </w:rPr>
  </w:style>
  <w:style w:type="table" w:styleId="PlainTable2">
    <w:name w:val="Plain Table 2"/>
    <w:basedOn w:val="TableNormal"/>
    <w:uiPriority w:val="42"/>
    <w:rsid w:val="006531BF"/>
    <w:pPr>
      <w:spacing w:after="0" w:line="240" w:lineRule="auto"/>
    </w:pPr>
    <w:rPr>
      <w:kern w:val="0"/>
      <w:lang w:val="de-AT"/>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ECBC2AFA326140CC988D4B3E8CE96B42"/>
        <w:category>
          <w:name w:val="General"/>
          <w:gallery w:val="placeholder"/>
        </w:category>
        <w:types>
          <w:type w:val="bbPlcHdr"/>
        </w:types>
        <w:behaviors>
          <w:behavior w:val="content"/>
        </w:behaviors>
        <w:guid w:val="{05F6707A-E56D-415D-9EA6-2047B808D057}"/>
      </w:docPartPr>
      <w:docPartBody>
        <w:p w:rsidR="00000000" w:rsidRDefault="007C4A98" w:rsidP="007C4A98">
          <w:pPr>
            <w:pStyle w:val="ECBC2AFA326140CC988D4B3E8CE96B42"/>
          </w:pPr>
          <w:r w:rsidRPr="000156E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A98"/>
    <w:rsid w:val="000E3FC7"/>
    <w:rsid w:val="007363AB"/>
    <w:rsid w:val="007C4A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C4A98"/>
    <w:rPr>
      <w:color w:val="808080"/>
    </w:rPr>
  </w:style>
  <w:style w:type="paragraph" w:customStyle="1" w:styleId="ECBC2AFA326140CC988D4B3E8CE96B42">
    <w:name w:val="ECBC2AFA326140CC988D4B3E8CE96B42"/>
    <w:rsid w:val="007C4A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3244</Words>
  <Characters>18497</Characters>
  <Application>Microsoft Office Word</Application>
  <DocSecurity>0</DocSecurity>
  <Lines>154</Lines>
  <Paragraphs>43</Paragraphs>
  <ScaleCrop>false</ScaleCrop>
  <Company>Springer Nature</Company>
  <LinksUpToDate>false</LinksUpToDate>
  <CharactersWithSpaces>21698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2024-06-19T13:31:00Z</dcterms:created>
  <dcterms:modified xsi:type="dcterms:W3CDTF">2024-06-19T13:31:00Z</dcterms:modified>
</cp:coreProperties>
</file>