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8E438" w14:textId="77777777" w:rsidR="0081299B" w:rsidRPr="0081299B" w:rsidRDefault="0081299B" w:rsidP="0081299B">
      <w:pPr>
        <w:spacing w:after="0" w:line="360" w:lineRule="auto"/>
        <w:jc w:val="center"/>
        <w:rPr>
          <w:rFonts w:ascii="Times New Roman" w:hAnsi="Times New Roman" w:cs="Times New Roman"/>
          <w:b/>
          <w:bCs/>
          <w:sz w:val="24"/>
          <w:szCs w:val="24"/>
        </w:rPr>
      </w:pPr>
      <w:bookmarkStart w:id="0" w:name="_Hlk130809656"/>
      <w:r w:rsidRPr="0081299B">
        <w:rPr>
          <w:rFonts w:ascii="Times New Roman" w:hAnsi="Times New Roman" w:cs="Times New Roman"/>
          <w:b/>
          <w:bCs/>
          <w:sz w:val="24"/>
          <w:szCs w:val="24"/>
        </w:rPr>
        <w:t>Efficacy of </w:t>
      </w:r>
      <w:r w:rsidRPr="0081299B">
        <w:rPr>
          <w:rFonts w:ascii="Times New Roman" w:hAnsi="Times New Roman" w:cs="Times New Roman"/>
          <w:b/>
          <w:bCs/>
          <w:i/>
          <w:iCs/>
          <w:sz w:val="24"/>
          <w:szCs w:val="24"/>
        </w:rPr>
        <w:t>Bacillus subtilis</w:t>
      </w:r>
      <w:r w:rsidRPr="0081299B">
        <w:rPr>
          <w:rFonts w:ascii="Times New Roman" w:hAnsi="Times New Roman" w:cs="Times New Roman"/>
          <w:b/>
          <w:bCs/>
          <w:sz w:val="24"/>
          <w:szCs w:val="24"/>
        </w:rPr>
        <w:t xml:space="preserve"> BMT4i/Activated carbon composite for removal of diclofenac and carbamazepine from aqueous solution</w:t>
      </w:r>
    </w:p>
    <w:p w14:paraId="3BEBF5B5" w14:textId="77777777" w:rsidR="006E0E10" w:rsidRPr="00BA75D6" w:rsidRDefault="006E0E10" w:rsidP="006E0E10">
      <w:pPr>
        <w:spacing w:after="0" w:line="360" w:lineRule="auto"/>
        <w:jc w:val="center"/>
        <w:rPr>
          <w:rFonts w:ascii="Times New Roman" w:hAnsi="Times New Roman" w:cs="Times New Roman"/>
          <w:b/>
          <w:bCs/>
          <w:sz w:val="24"/>
          <w:szCs w:val="24"/>
        </w:rPr>
      </w:pPr>
      <w:r w:rsidRPr="00BA75D6">
        <w:rPr>
          <w:rFonts w:ascii="Times New Roman" w:hAnsi="Times New Roman" w:cs="Times New Roman"/>
          <w:b/>
          <w:bCs/>
          <w:sz w:val="24"/>
          <w:szCs w:val="24"/>
        </w:rPr>
        <w:t>Chhaya</w:t>
      </w:r>
      <w:r w:rsidRPr="00BA75D6">
        <w:rPr>
          <w:rFonts w:ascii="Times New Roman" w:hAnsi="Times New Roman" w:cs="Times New Roman"/>
          <w:b/>
          <w:bCs/>
          <w:sz w:val="24"/>
          <w:szCs w:val="24"/>
          <w:vertAlign w:val="superscript"/>
        </w:rPr>
        <w:t>1</w:t>
      </w:r>
      <w:r w:rsidRPr="00BA75D6">
        <w:rPr>
          <w:rFonts w:ascii="Times New Roman" w:hAnsi="Times New Roman" w:cs="Times New Roman"/>
          <w:b/>
          <w:bCs/>
          <w:sz w:val="24"/>
          <w:szCs w:val="24"/>
        </w:rPr>
        <w:t xml:space="preserve">, </w:t>
      </w:r>
      <w:proofErr w:type="spellStart"/>
      <w:r w:rsidRPr="00BA75D6">
        <w:rPr>
          <w:rFonts w:ascii="Times New Roman" w:hAnsi="Times New Roman" w:cs="Times New Roman"/>
          <w:b/>
          <w:bCs/>
          <w:sz w:val="24"/>
          <w:szCs w:val="24"/>
        </w:rPr>
        <w:t>Trishikhi</w:t>
      </w:r>
      <w:proofErr w:type="spellEnd"/>
      <w:r w:rsidRPr="00BA75D6">
        <w:rPr>
          <w:rFonts w:ascii="Times New Roman" w:hAnsi="Times New Roman" w:cs="Times New Roman"/>
          <w:b/>
          <w:bCs/>
          <w:sz w:val="24"/>
          <w:szCs w:val="24"/>
        </w:rPr>
        <w:t xml:space="preserve"> Raychoudhury</w:t>
      </w:r>
      <w:r w:rsidRPr="00BA75D6">
        <w:rPr>
          <w:rFonts w:ascii="Times New Roman" w:hAnsi="Times New Roman" w:cs="Times New Roman"/>
          <w:b/>
          <w:bCs/>
          <w:sz w:val="24"/>
          <w:szCs w:val="24"/>
          <w:vertAlign w:val="superscript"/>
        </w:rPr>
        <w:t>2</w:t>
      </w:r>
      <w:r w:rsidRPr="00BA75D6">
        <w:rPr>
          <w:rFonts w:ascii="Times New Roman" w:hAnsi="Times New Roman" w:cs="Times New Roman"/>
          <w:b/>
          <w:bCs/>
          <w:sz w:val="24"/>
          <w:szCs w:val="24"/>
        </w:rPr>
        <w:t>, and Ramakrishna Bag</w:t>
      </w:r>
      <w:r w:rsidRPr="00BA75D6">
        <w:rPr>
          <w:rFonts w:ascii="Times New Roman" w:hAnsi="Times New Roman" w:cs="Times New Roman"/>
          <w:b/>
          <w:bCs/>
          <w:sz w:val="24"/>
          <w:szCs w:val="24"/>
          <w:vertAlign w:val="superscript"/>
        </w:rPr>
        <w:t>1</w:t>
      </w:r>
      <w:r w:rsidRPr="00BA75D6">
        <w:rPr>
          <w:rFonts w:ascii="Times New Roman" w:hAnsi="Times New Roman" w:cs="Times New Roman"/>
          <w:b/>
          <w:bCs/>
          <w:sz w:val="24"/>
          <w:szCs w:val="24"/>
        </w:rPr>
        <w:t>*</w:t>
      </w:r>
    </w:p>
    <w:bookmarkEnd w:id="0"/>
    <w:p w14:paraId="663DF918" w14:textId="77777777" w:rsidR="006E0E10" w:rsidRPr="00BA75D6" w:rsidRDefault="006E0E10" w:rsidP="006E0E10">
      <w:pPr>
        <w:spacing w:after="0" w:line="360" w:lineRule="auto"/>
        <w:jc w:val="center"/>
        <w:rPr>
          <w:rFonts w:ascii="Times New Roman" w:hAnsi="Times New Roman" w:cs="Times New Roman"/>
          <w:i/>
          <w:sz w:val="24"/>
          <w:szCs w:val="24"/>
        </w:rPr>
      </w:pPr>
      <w:r w:rsidRPr="00BA75D6">
        <w:rPr>
          <w:rFonts w:ascii="Times New Roman" w:hAnsi="Times New Roman" w:cs="Times New Roman"/>
          <w:i/>
          <w:sz w:val="24"/>
          <w:szCs w:val="24"/>
          <w:vertAlign w:val="superscript"/>
        </w:rPr>
        <w:t>1</w:t>
      </w:r>
      <w:r w:rsidRPr="00BA75D6">
        <w:rPr>
          <w:rFonts w:ascii="Times New Roman" w:hAnsi="Times New Roman" w:cs="Times New Roman"/>
          <w:i/>
          <w:sz w:val="24"/>
          <w:szCs w:val="24"/>
        </w:rPr>
        <w:t>Department of Civil and Environmental Engineering, Indian Institute of Technology Patna, India 801103</w:t>
      </w:r>
    </w:p>
    <w:p w14:paraId="7289ED79" w14:textId="77777777" w:rsidR="006E0E10" w:rsidRPr="00BA75D6" w:rsidRDefault="006E0E10" w:rsidP="006E0E10">
      <w:pPr>
        <w:spacing w:after="0" w:line="360" w:lineRule="auto"/>
        <w:jc w:val="center"/>
        <w:rPr>
          <w:rFonts w:ascii="Times New Roman" w:hAnsi="Times New Roman" w:cs="Times New Roman"/>
          <w:i/>
          <w:sz w:val="24"/>
          <w:szCs w:val="24"/>
        </w:rPr>
      </w:pPr>
      <w:r w:rsidRPr="00BA75D6">
        <w:rPr>
          <w:rFonts w:ascii="Times New Roman" w:hAnsi="Times New Roman" w:cs="Times New Roman"/>
          <w:i/>
          <w:sz w:val="24"/>
          <w:szCs w:val="24"/>
          <w:vertAlign w:val="superscript"/>
        </w:rPr>
        <w:t>2</w:t>
      </w:r>
      <w:r w:rsidRPr="00BA75D6">
        <w:rPr>
          <w:rFonts w:ascii="Times New Roman" w:hAnsi="Times New Roman" w:cs="Times New Roman"/>
          <w:i/>
          <w:sz w:val="24"/>
          <w:szCs w:val="24"/>
        </w:rPr>
        <w:t>Department of Civil and Infrastructure Engineering, Indian Institute of Technology Jodhpur, India 342037</w:t>
      </w:r>
    </w:p>
    <w:p w14:paraId="30684068" w14:textId="77777777" w:rsidR="006E0E10" w:rsidRPr="00BA75D6" w:rsidRDefault="006E0E10" w:rsidP="006E0E10">
      <w:pPr>
        <w:spacing w:after="0" w:line="360" w:lineRule="auto"/>
        <w:jc w:val="center"/>
        <w:rPr>
          <w:rFonts w:ascii="Times New Roman" w:hAnsi="Times New Roman" w:cs="Times New Roman"/>
          <w:i/>
          <w:sz w:val="24"/>
          <w:szCs w:val="24"/>
        </w:rPr>
      </w:pPr>
      <w:r w:rsidRPr="00BA75D6">
        <w:rPr>
          <w:rFonts w:ascii="Times New Roman" w:hAnsi="Times New Roman" w:cs="Times New Roman"/>
          <w:b/>
          <w:bCs/>
          <w:iCs/>
          <w:sz w:val="24"/>
          <w:szCs w:val="24"/>
        </w:rPr>
        <w:t>Corresponding Author</w:t>
      </w:r>
      <w:r w:rsidRPr="00BA75D6">
        <w:rPr>
          <w:rFonts w:ascii="Times New Roman" w:hAnsi="Times New Roman" w:cs="Times New Roman"/>
          <w:i/>
          <w:sz w:val="24"/>
          <w:szCs w:val="24"/>
        </w:rPr>
        <w:t xml:space="preserve">: </w:t>
      </w:r>
    </w:p>
    <w:p w14:paraId="395D4814" w14:textId="6319050A" w:rsidR="006E0E10" w:rsidRPr="00BA75D6" w:rsidRDefault="006E0E10" w:rsidP="006E0E10">
      <w:pPr>
        <w:spacing w:after="0" w:line="360" w:lineRule="auto"/>
        <w:jc w:val="center"/>
        <w:rPr>
          <w:rFonts w:ascii="Times New Roman" w:hAnsi="Times New Roman" w:cs="Times New Roman"/>
          <w:bCs/>
          <w:i/>
          <w:sz w:val="24"/>
          <w:szCs w:val="24"/>
        </w:rPr>
      </w:pPr>
      <w:r w:rsidRPr="00BA75D6">
        <w:rPr>
          <w:rFonts w:ascii="Times New Roman" w:hAnsi="Times New Roman" w:cs="Times New Roman"/>
          <w:i/>
          <w:sz w:val="24"/>
          <w:szCs w:val="24"/>
        </w:rPr>
        <w:t xml:space="preserve">Tel.: +91-6115-233 704, E-mail address: </w:t>
      </w:r>
      <w:hyperlink r:id="rId5" w:history="1">
        <w:r w:rsidRPr="00BA75D6">
          <w:rPr>
            <w:rStyle w:val="Hyperlink"/>
            <w:rFonts w:ascii="Times New Roman" w:hAnsi="Times New Roman" w:cs="Times New Roman"/>
            <w:i/>
            <w:sz w:val="24"/>
            <w:szCs w:val="24"/>
          </w:rPr>
          <w:t>rkbag@iitp.ac.in</w:t>
        </w:r>
      </w:hyperlink>
    </w:p>
    <w:p w14:paraId="3A214E34" w14:textId="77777777" w:rsidR="006E0E10" w:rsidRPr="00BA75D6" w:rsidRDefault="006E0E10" w:rsidP="006E0E10">
      <w:pPr>
        <w:spacing w:after="0" w:line="360" w:lineRule="auto"/>
        <w:jc w:val="center"/>
        <w:rPr>
          <w:rFonts w:ascii="Times New Roman" w:hAnsi="Times New Roman" w:cs="Times New Roman"/>
          <w:bCs/>
          <w:i/>
          <w:sz w:val="24"/>
          <w:szCs w:val="24"/>
        </w:rPr>
      </w:pPr>
    </w:p>
    <w:p w14:paraId="67E35B9A" w14:textId="15E2D049" w:rsidR="00B514EA" w:rsidRPr="00BA75D6" w:rsidRDefault="00B514EA" w:rsidP="00867338">
      <w:pPr>
        <w:spacing w:line="360" w:lineRule="auto"/>
        <w:rPr>
          <w:rFonts w:ascii="Times New Roman" w:hAnsi="Times New Roman" w:cs="Times New Roman"/>
          <w:b/>
          <w:bCs/>
          <w:sz w:val="24"/>
          <w:szCs w:val="24"/>
        </w:rPr>
      </w:pPr>
      <w:r w:rsidRPr="00BA75D6">
        <w:rPr>
          <w:rFonts w:ascii="Times New Roman" w:hAnsi="Times New Roman" w:cs="Times New Roman"/>
          <w:b/>
          <w:bCs/>
          <w:sz w:val="24"/>
          <w:szCs w:val="24"/>
        </w:rPr>
        <w:t>Supplementary material</w:t>
      </w:r>
    </w:p>
    <w:p w14:paraId="48219F3B" w14:textId="068578B9" w:rsidR="000E68B2" w:rsidRPr="00BA75D6" w:rsidRDefault="000E68B2" w:rsidP="00867338">
      <w:pPr>
        <w:spacing w:line="360" w:lineRule="auto"/>
        <w:rPr>
          <w:rFonts w:ascii="Times New Roman" w:hAnsi="Times New Roman" w:cs="Times New Roman"/>
          <w:b/>
          <w:bCs/>
          <w:sz w:val="24"/>
          <w:szCs w:val="24"/>
        </w:rPr>
      </w:pPr>
      <w:r w:rsidRPr="00BA75D6">
        <w:rPr>
          <w:rFonts w:ascii="Times New Roman" w:hAnsi="Times New Roman" w:cs="Times New Roman"/>
          <w:b/>
          <w:bCs/>
          <w:sz w:val="24"/>
          <w:szCs w:val="24"/>
        </w:rPr>
        <w:t>Intermediate product analysis:</w:t>
      </w:r>
    </w:p>
    <w:p w14:paraId="2632C036" w14:textId="3D43821F" w:rsidR="008623A4" w:rsidRPr="00BA75D6" w:rsidRDefault="000E68B2" w:rsidP="00142FB7">
      <w:pPr>
        <w:spacing w:line="360" w:lineRule="auto"/>
        <w:jc w:val="both"/>
        <w:rPr>
          <w:rFonts w:ascii="Times New Roman" w:hAnsi="Times New Roman" w:cs="Times New Roman"/>
          <w:sz w:val="24"/>
          <w:szCs w:val="24"/>
        </w:rPr>
      </w:pPr>
      <w:r w:rsidRPr="00BA75D6">
        <w:rPr>
          <w:rFonts w:ascii="Times New Roman" w:hAnsi="Times New Roman" w:cs="Times New Roman"/>
          <w:sz w:val="24"/>
          <w:szCs w:val="24"/>
        </w:rPr>
        <w:t xml:space="preserve">For the analysis of intermediates 5.0 µL sample was injected at a flow rate of 0.3 mL/min. A binary gradient solution containing 5 mM ammonium acetate (A) and acetonitrile (B) was used to elute the DCF, while 0.1% of formic acid (A) and Acetonitrile (B) was used to elute CBZ. The </w:t>
      </w:r>
      <w:proofErr w:type="spellStart"/>
      <w:r w:rsidRPr="00BA75D6">
        <w:rPr>
          <w:rFonts w:ascii="Times New Roman" w:hAnsi="Times New Roman" w:cs="Times New Roman"/>
          <w:sz w:val="24"/>
          <w:szCs w:val="24"/>
        </w:rPr>
        <w:t>PhACs</w:t>
      </w:r>
      <w:proofErr w:type="spellEnd"/>
      <w:r w:rsidRPr="00BA75D6">
        <w:rPr>
          <w:rFonts w:ascii="Times New Roman" w:hAnsi="Times New Roman" w:cs="Times New Roman"/>
          <w:sz w:val="24"/>
          <w:szCs w:val="24"/>
        </w:rPr>
        <w:t xml:space="preserve"> were eluted following gradient: B, 2% linearly increased to 100% in the duration of 15 mins and later held for 5 mins. Further, the system was equilibrated for 9 mins at the end of each run. The mass scan of collected samples was carried out in the range of 100-1000 Da. The mass spectroscopy detection was performed using an electrospray ionization source in both negative and positive modes. The optimized parameters are ionization spray: 5500 V; decluttering potential: 80 V; curtain gas: 35 </w:t>
      </w:r>
      <w:proofErr w:type="spellStart"/>
      <w:r w:rsidRPr="00BA75D6">
        <w:rPr>
          <w:rFonts w:ascii="Times New Roman" w:hAnsi="Times New Roman" w:cs="Times New Roman"/>
          <w:sz w:val="24"/>
          <w:szCs w:val="24"/>
        </w:rPr>
        <w:t>psig</w:t>
      </w:r>
      <w:proofErr w:type="spellEnd"/>
      <w:r w:rsidRPr="00BA75D6">
        <w:rPr>
          <w:rFonts w:ascii="Times New Roman" w:hAnsi="Times New Roman" w:cs="Times New Roman"/>
          <w:sz w:val="24"/>
          <w:szCs w:val="24"/>
        </w:rPr>
        <w:t xml:space="preserve">, nebulizer gas: 55 </w:t>
      </w:r>
      <w:proofErr w:type="spellStart"/>
      <w:r w:rsidRPr="00BA75D6">
        <w:rPr>
          <w:rFonts w:ascii="Times New Roman" w:hAnsi="Times New Roman" w:cs="Times New Roman"/>
          <w:sz w:val="24"/>
          <w:szCs w:val="24"/>
        </w:rPr>
        <w:t>psig</w:t>
      </w:r>
      <w:proofErr w:type="spellEnd"/>
      <w:r w:rsidRPr="00BA75D6">
        <w:rPr>
          <w:rFonts w:ascii="Times New Roman" w:hAnsi="Times New Roman" w:cs="Times New Roman"/>
          <w:sz w:val="24"/>
          <w:szCs w:val="24"/>
        </w:rPr>
        <w:t xml:space="preserve">; turbo gas: 55 </w:t>
      </w:r>
      <w:proofErr w:type="spellStart"/>
      <w:r w:rsidRPr="00BA75D6">
        <w:rPr>
          <w:rFonts w:ascii="Times New Roman" w:hAnsi="Times New Roman" w:cs="Times New Roman"/>
          <w:sz w:val="24"/>
          <w:szCs w:val="24"/>
        </w:rPr>
        <w:t>psig</w:t>
      </w:r>
      <w:proofErr w:type="spellEnd"/>
      <w:r w:rsidRPr="00BA75D6">
        <w:rPr>
          <w:rFonts w:ascii="Times New Roman" w:hAnsi="Times New Roman" w:cs="Times New Roman"/>
          <w:sz w:val="24"/>
          <w:szCs w:val="24"/>
        </w:rPr>
        <w:t xml:space="preserve">; temperature: 500°C. </w:t>
      </w:r>
    </w:p>
    <w:p w14:paraId="47AB0A00" w14:textId="2F254D5C" w:rsidR="00F071CA" w:rsidRPr="00BA75D6" w:rsidRDefault="00F071CA" w:rsidP="00F071CA">
      <w:pPr>
        <w:rPr>
          <w:rFonts w:ascii="Times New Roman" w:hAnsi="Times New Roman" w:cs="Times New Roman"/>
          <w:b/>
          <w:bCs/>
          <w:sz w:val="24"/>
          <w:szCs w:val="24"/>
        </w:rPr>
      </w:pPr>
      <w:r w:rsidRPr="00BA75D6">
        <w:rPr>
          <w:rFonts w:ascii="Times New Roman" w:hAnsi="Times New Roman" w:cs="Times New Roman"/>
          <w:b/>
          <w:bCs/>
          <w:sz w:val="24"/>
          <w:szCs w:val="24"/>
        </w:rPr>
        <w:t>FTIR analysis:</w:t>
      </w:r>
    </w:p>
    <w:p w14:paraId="2BAD37FC" w14:textId="705627A1" w:rsidR="00F071CA" w:rsidRPr="00BA75D6" w:rsidRDefault="00F071CA" w:rsidP="00B268D2">
      <w:pPr>
        <w:tabs>
          <w:tab w:val="left" w:pos="1113"/>
        </w:tabs>
        <w:spacing w:line="360" w:lineRule="auto"/>
        <w:jc w:val="both"/>
        <w:rPr>
          <w:rFonts w:ascii="Times New Roman" w:eastAsia="Calibri" w:hAnsi="Times New Roman" w:cs="Times New Roman"/>
          <w:color w:val="2E2E2E"/>
          <w:kern w:val="0"/>
          <w:sz w:val="24"/>
          <w:szCs w:val="24"/>
          <w14:ligatures w14:val="none"/>
        </w:rPr>
      </w:pPr>
      <w:r w:rsidRPr="00BA75D6">
        <w:rPr>
          <w:rFonts w:ascii="Times New Roman" w:eastAsia="Calibri" w:hAnsi="Times New Roman" w:cs="Times New Roman"/>
          <w:color w:val="2E2E2E"/>
          <w:kern w:val="0"/>
          <w:sz w:val="24"/>
          <w:szCs w:val="24"/>
          <w:lang w:val="en-US"/>
          <w14:ligatures w14:val="none"/>
        </w:rPr>
        <w:t>The adsorption band at 1654, and 1077 cm</w:t>
      </w:r>
      <w:r w:rsidRPr="00BA75D6">
        <w:rPr>
          <w:rFonts w:ascii="Times New Roman" w:eastAsia="Calibri" w:hAnsi="Times New Roman" w:cs="Times New Roman"/>
          <w:color w:val="2E2E2E"/>
          <w:kern w:val="0"/>
          <w:sz w:val="24"/>
          <w:szCs w:val="24"/>
          <w:vertAlign w:val="superscript"/>
          <w:lang w:val="en-US"/>
          <w14:ligatures w14:val="none"/>
        </w:rPr>
        <w:t>-1</w:t>
      </w:r>
      <w:r w:rsidRPr="00BA75D6">
        <w:rPr>
          <w:rFonts w:ascii="Times New Roman" w:eastAsia="Calibri" w:hAnsi="Times New Roman" w:cs="Times New Roman"/>
          <w:color w:val="2E2E2E"/>
          <w:kern w:val="0"/>
          <w:sz w:val="24"/>
          <w:szCs w:val="24"/>
          <w:lang w:val="en-US"/>
          <w14:ligatures w14:val="none"/>
        </w:rPr>
        <w:t xml:space="preserve"> were assigned to be the </w:t>
      </w:r>
      <w:bookmarkStart w:id="1" w:name="_Hlk156401968"/>
      <w:r w:rsidRPr="00BA75D6">
        <w:rPr>
          <w:rFonts w:ascii="Times New Roman" w:eastAsia="Calibri" w:hAnsi="Times New Roman" w:cs="Times New Roman"/>
          <w:color w:val="2E2E2E"/>
          <w:kern w:val="0"/>
          <w:sz w:val="24"/>
          <w:szCs w:val="24"/>
          <w:lang w:val="en-US"/>
          <w14:ligatures w14:val="none"/>
        </w:rPr>
        <w:t xml:space="preserve">N-H of amide in protein, C-H of CH₂ in fatty acids, </w:t>
      </w:r>
      <w:bookmarkEnd w:id="1"/>
      <w:r w:rsidRPr="00BA75D6">
        <w:rPr>
          <w:rFonts w:ascii="Times New Roman" w:eastAsia="Calibri" w:hAnsi="Times New Roman" w:cs="Times New Roman"/>
          <w:color w:val="2E2E2E"/>
          <w:kern w:val="0"/>
          <w:sz w:val="24"/>
          <w:szCs w:val="24"/>
          <w:lang w:val="en-US"/>
          <w14:ligatures w14:val="none"/>
        </w:rPr>
        <w:t xml:space="preserve">Amide I in proteins, and CH–OH bending, respectively </w:t>
      </w:r>
      <w:r w:rsidRPr="00BA75D6">
        <w:rPr>
          <w:rFonts w:ascii="Times New Roman" w:eastAsia="Calibri" w:hAnsi="Times New Roman" w:cs="Times New Roman"/>
          <w:color w:val="2E2E2E"/>
          <w:kern w:val="0"/>
          <w:sz w:val="24"/>
          <w:szCs w:val="24"/>
          <w:lang w:val="en-US"/>
          <w14:ligatures w14:val="none"/>
        </w:rPr>
        <w:fldChar w:fldCharType="begin" w:fldLock="1"/>
      </w:r>
      <w:r w:rsidR="00007E58" w:rsidRPr="00BA75D6">
        <w:rPr>
          <w:rFonts w:ascii="Times New Roman" w:eastAsia="Calibri" w:hAnsi="Times New Roman" w:cs="Times New Roman"/>
          <w:color w:val="2E2E2E"/>
          <w:kern w:val="0"/>
          <w:sz w:val="24"/>
          <w:szCs w:val="24"/>
          <w:lang w:val="en-US"/>
          <w14:ligatures w14:val="none"/>
        </w:rPr>
        <w:instrText>ADDIN CSL_CITATION {"citationItems":[{"id":"ITEM-1","itemData":{"DOI":"10.1016/J.MSEC.2015.03.012","ISSN":"18730191","PMID":"25842145","abstract":"Abstract Staphylococcus aureus (S. aureus) is a bacterium frequently found proliferating on metal surfaces such as stainless steels used in healthcare and food processing facilities. Past research has shown that a novel Cu-bearing 304 type stainless steel (304CuSS) exhibits excellent antibacterial ability (i.e. against S. aureus) in a short time period (24 h.). This work was dedicated to investigate the 304CuSS's inhibition ability towards the S. aureus biofilm formation for an extended period of 7 days after incubation. It was found that the antibacterial rate of the 304CuSS against sessile bacterial cells reached over 99.9% in comparison with the 304SS. The thickness and sizes of the biofilms on the 304SS surfaces increased markedly with period of contact, and thus expected higher risk of bio-contamination, indicated by the changes of surface free energy between biofilm and the steel surfaces. The results demonstrated that the 304CuSS exhibited strong inhibition on the growth and adherence of the biofilms. The surface free energy of the 304CuSS after contact with sessile bacterial cells was much lower than that of the 304SS towards the same culture times. The continuously dissolved Cu2+ ions well demonstrated the dissolution ability of Cu-rich precipitates after exposure to S. aureus solution, from 3.1 ppm (2 days) to 4.5 ppm (7 days). For this to occur, a hypothesis mechanism might be established for 304CuSS in which the Cu2+ ions were released from Cu-rich phases that bond with extracellular polymeric substances (EPS) of the microorganisms. And these inhibited the activities of cell protein/enzymes and effectively prevented planktonic bacterial cells attaching to the 304CuSS metal surface.","author":[{"dropping-particle":"","family":"Nan","given":"Li","non-dropping-particle":"","parse-names":false,"suffix":""},{"dropping-particle":"","family":"Yang","given":"Ke","non-dropping-particle":"","parse-names":false,"suffix":""},{"dropping-particle":"","family":"Ren","given":"Guogang","non-dropping-particle":"","parse-names":false,"suffix":""}],"container-title":"Materials Science and Engineering C","id":"ITEM-1","issued":{"date-parts":[["2015","6","1"]]},"page":"356-361","publisher":"Elsevier Ltd","title":"Anti-biofilm formation of a novel stainless steel against Staphylococcus aureus","type":"article-journal","volume":"51"},"uris":["http://www.mendeley.com/documents/?uuid=f2bad7ac-c900-3d2c-9cd4-cba0b2a2e25a"]}],"mendeley":{"formattedCitation":"&lt;sup&gt;1&lt;/sup&gt;","plainTextFormattedCitation":"1","previouslyFormattedCitation":"(Nan et al. 2015)"},"properties":{"noteIndex":0},"schema":"https://github.com/citation-style-language/schema/raw/master/csl-citation.json"}</w:instrText>
      </w:r>
      <w:r w:rsidRPr="00BA75D6">
        <w:rPr>
          <w:rFonts w:ascii="Times New Roman" w:eastAsia="Calibri" w:hAnsi="Times New Roman" w:cs="Times New Roman"/>
          <w:color w:val="2E2E2E"/>
          <w:kern w:val="0"/>
          <w:sz w:val="24"/>
          <w:szCs w:val="24"/>
          <w:lang w:val="en-US"/>
          <w14:ligatures w14:val="none"/>
        </w:rPr>
        <w:fldChar w:fldCharType="separate"/>
      </w:r>
      <w:r w:rsidR="00007E58" w:rsidRPr="00BA75D6">
        <w:rPr>
          <w:rFonts w:ascii="Times New Roman" w:eastAsia="Calibri" w:hAnsi="Times New Roman" w:cs="Times New Roman"/>
          <w:noProof/>
          <w:color w:val="2E2E2E"/>
          <w:kern w:val="0"/>
          <w:sz w:val="24"/>
          <w:szCs w:val="24"/>
          <w:vertAlign w:val="superscript"/>
          <w:lang w:val="en-US"/>
          <w14:ligatures w14:val="none"/>
        </w:rPr>
        <w:t>1</w:t>
      </w:r>
      <w:r w:rsidRPr="00BA75D6">
        <w:rPr>
          <w:rFonts w:ascii="Times New Roman" w:eastAsia="Calibri" w:hAnsi="Times New Roman" w:cs="Times New Roman"/>
          <w:color w:val="2E2E2E"/>
          <w:kern w:val="0"/>
          <w:sz w:val="24"/>
          <w:szCs w:val="24"/>
          <w:lang w:val="en-US"/>
          <w14:ligatures w14:val="none"/>
        </w:rPr>
        <w:fldChar w:fldCharType="end"/>
      </w:r>
      <w:r w:rsidRPr="00BA75D6">
        <w:rPr>
          <w:rFonts w:ascii="Times New Roman" w:eastAsia="Calibri" w:hAnsi="Times New Roman" w:cs="Times New Roman"/>
          <w:color w:val="2E2E2E"/>
          <w:kern w:val="0"/>
          <w:sz w:val="24"/>
          <w:szCs w:val="24"/>
          <w:lang w:val="en-US"/>
          <w14:ligatures w14:val="none"/>
        </w:rPr>
        <w:t xml:space="preserve">. </w:t>
      </w:r>
      <w:r w:rsidRPr="00BA75D6">
        <w:rPr>
          <w:rFonts w:ascii="Times New Roman" w:eastAsia="Calibri" w:hAnsi="Times New Roman" w:cs="Times New Roman"/>
          <w:bCs/>
          <w:color w:val="000000" w:themeColor="text1"/>
          <w:sz w:val="24"/>
          <w:szCs w:val="24"/>
          <w:lang w:val="en-US"/>
        </w:rPr>
        <w:t>The peaks at 3462 and 3453 cm</w:t>
      </w:r>
      <w:r w:rsidRPr="00BA75D6">
        <w:rPr>
          <w:rFonts w:ascii="Times New Roman" w:eastAsia="Calibri" w:hAnsi="Times New Roman" w:cs="Times New Roman"/>
          <w:bCs/>
          <w:color w:val="000000" w:themeColor="text1"/>
          <w:sz w:val="24"/>
          <w:szCs w:val="24"/>
          <w:vertAlign w:val="superscript"/>
          <w:lang w:val="en-US"/>
        </w:rPr>
        <w:t xml:space="preserve">−1 </w:t>
      </w:r>
      <w:r w:rsidRPr="00BA75D6">
        <w:rPr>
          <w:rFonts w:ascii="Times New Roman" w:eastAsia="Calibri" w:hAnsi="Times New Roman" w:cs="Times New Roman"/>
          <w:bCs/>
          <w:color w:val="000000" w:themeColor="text1"/>
          <w:sz w:val="24"/>
          <w:szCs w:val="24"/>
          <w:lang w:val="en-US"/>
        </w:rPr>
        <w:t xml:space="preserve">for </w:t>
      </w:r>
      <w:proofErr w:type="spellStart"/>
      <w:r w:rsidRPr="00BA75D6">
        <w:rPr>
          <w:rFonts w:ascii="Times New Roman" w:eastAsia="Calibri" w:hAnsi="Times New Roman" w:cs="Times New Roman"/>
          <w:bCs/>
          <w:color w:val="000000" w:themeColor="text1"/>
          <w:sz w:val="24"/>
          <w:szCs w:val="24"/>
          <w:lang w:val="en-US"/>
        </w:rPr>
        <w:t>AC</w:t>
      </w:r>
      <w:r w:rsidRPr="00BA75D6">
        <w:rPr>
          <w:rFonts w:ascii="Times New Roman" w:eastAsia="Calibri" w:hAnsi="Times New Roman" w:cs="Times New Roman"/>
          <w:bCs/>
          <w:color w:val="000000" w:themeColor="text1"/>
          <w:sz w:val="24"/>
          <w:szCs w:val="24"/>
          <w:vertAlign w:val="subscript"/>
          <w:lang w:val="en-US"/>
        </w:rPr>
        <w:t>Eco</w:t>
      </w:r>
      <w:proofErr w:type="spellEnd"/>
      <w:r w:rsidRPr="00BA75D6">
        <w:rPr>
          <w:rFonts w:ascii="Times New Roman" w:eastAsia="Calibri" w:hAnsi="Times New Roman" w:cs="Times New Roman"/>
          <w:bCs/>
          <w:color w:val="000000" w:themeColor="text1"/>
          <w:sz w:val="24"/>
          <w:szCs w:val="24"/>
          <w:lang w:val="en-US"/>
        </w:rPr>
        <w:t xml:space="preserve"> and </w:t>
      </w:r>
      <w:proofErr w:type="spellStart"/>
      <w:r w:rsidRPr="00BA75D6">
        <w:rPr>
          <w:rFonts w:ascii="Times New Roman" w:eastAsia="Calibri" w:hAnsi="Times New Roman" w:cs="Times New Roman"/>
          <w:bCs/>
          <w:color w:val="000000" w:themeColor="text1"/>
          <w:sz w:val="24"/>
          <w:szCs w:val="24"/>
          <w:lang w:val="en-US"/>
        </w:rPr>
        <w:t>AC</w:t>
      </w:r>
      <w:r w:rsidRPr="00BA75D6">
        <w:rPr>
          <w:rFonts w:ascii="Times New Roman" w:eastAsia="Calibri" w:hAnsi="Times New Roman" w:cs="Times New Roman"/>
          <w:bCs/>
          <w:color w:val="000000" w:themeColor="text1"/>
          <w:sz w:val="24"/>
          <w:szCs w:val="24"/>
          <w:vertAlign w:val="subscript"/>
          <w:lang w:val="en-US"/>
        </w:rPr>
        <w:t>Darco</w:t>
      </w:r>
      <w:proofErr w:type="spellEnd"/>
      <w:r w:rsidRPr="00BA75D6">
        <w:rPr>
          <w:rFonts w:ascii="Times New Roman" w:eastAsia="Calibri" w:hAnsi="Times New Roman" w:cs="Times New Roman"/>
          <w:bCs/>
          <w:color w:val="000000" w:themeColor="text1"/>
          <w:sz w:val="24"/>
          <w:szCs w:val="24"/>
          <w:lang w:val="en-US"/>
        </w:rPr>
        <w:t xml:space="preserve">, respectively were assigned to the vibration of free -OH groups and to the hydrogen-bonded OH group of alcohols and carboxylic acids </w:t>
      </w:r>
      <w:r w:rsidRPr="00BA75D6">
        <w:rPr>
          <w:rFonts w:ascii="Times New Roman" w:eastAsia="Calibri" w:hAnsi="Times New Roman" w:cs="Times New Roman"/>
          <w:bCs/>
          <w:color w:val="000000" w:themeColor="text1"/>
          <w:sz w:val="24"/>
          <w:szCs w:val="24"/>
          <w:lang w:val="en-US"/>
        </w:rPr>
        <w:fldChar w:fldCharType="begin" w:fldLock="1"/>
      </w:r>
      <w:r w:rsidR="00007E58" w:rsidRPr="00BA75D6">
        <w:rPr>
          <w:rFonts w:ascii="Times New Roman" w:eastAsia="Calibri" w:hAnsi="Times New Roman" w:cs="Times New Roman"/>
          <w:bCs/>
          <w:color w:val="000000" w:themeColor="text1"/>
          <w:sz w:val="24"/>
          <w:szCs w:val="24"/>
          <w:lang w:val="en-US"/>
        </w:rPr>
        <w:instrText>ADDIN CSL_CITATION {"citationItems":[{"id":"ITEM-1","itemData":{"DOI":"10.1016/j.biortech.2010.01.121","ISSN":"09608524","PMID":"20163954","abstract":"Sawdust, an available and renewable biomass, was investigated as a novel ammonium biosorbent. Biosorption occurred over a pH range of 6-10, reached an equilibrium state within only 20 min, and can be described by a pseudo-second-order model predicting a chemisorption process. Equilibrium data were very well represented by Langmuir isotherm and confirm monolayer coverage. FTIR analysis before and after biosorption of ammonium onto sawdust suggested that the main mechanisms involved in the removal of ammonium might be the ionic exchange and complexation. The use of sawdust presents an interesting option for both tertiary wastewater treatment (as a possible non-conventional biosorbent for the removal of ammonium), and waste recycling (as a fertilizer and compost). © 2010 Elsevier Ltd. All rights reserved.","author":[{"dropping-particle":"","family":"Wahab","given":"Mohamed Ali","non-dropping-particle":"","parse-names":false,"suffix":""},{"dropping-particle":"","family":"Jellali","given":"Salah","non-dropping-particle":"","parse-names":false,"suffix":""},{"dropping-particle":"","family":"Jedidi","given":"Naceur","non-dropping-particle":"","parse-names":false,"suffix":""}],"container-title":"Bioresource Technology","id":"ITEM-1","issue":"14","issued":{"date-parts":[["2010","7","1"]]},"page":"5070-5075","publisher":"Elsevier","title":"Ammonium biosorption onto sawdust: FTIR analysis, kinetics and adsorption isotherms modeling","type":"article-journal","volume":"101"},"uris":["http://www.mendeley.com/documents/?uuid=ab1dfcc8-74a4-3d81-881a-35f45f8637ad"]}],"mendeley":{"formattedCitation":"&lt;sup&gt;2&lt;/sup&gt;","plainTextFormattedCitation":"2","previouslyFormattedCitation":"(Wahab et al. 2010)"},"properties":{"noteIndex":0},"schema":"https://github.com/citation-style-language/schema/raw/master/csl-citation.json"}</w:instrText>
      </w:r>
      <w:r w:rsidRPr="00BA75D6">
        <w:rPr>
          <w:rFonts w:ascii="Times New Roman" w:eastAsia="Calibri" w:hAnsi="Times New Roman" w:cs="Times New Roman"/>
          <w:bCs/>
          <w:color w:val="000000" w:themeColor="text1"/>
          <w:sz w:val="24"/>
          <w:szCs w:val="24"/>
          <w:lang w:val="en-US"/>
        </w:rPr>
        <w:fldChar w:fldCharType="separate"/>
      </w:r>
      <w:r w:rsidR="00007E58" w:rsidRPr="00BA75D6">
        <w:rPr>
          <w:rFonts w:ascii="Times New Roman" w:eastAsia="Calibri" w:hAnsi="Times New Roman" w:cs="Times New Roman"/>
          <w:bCs/>
          <w:noProof/>
          <w:color w:val="000000" w:themeColor="text1"/>
          <w:sz w:val="24"/>
          <w:szCs w:val="24"/>
          <w:vertAlign w:val="superscript"/>
          <w:lang w:val="en-US"/>
        </w:rPr>
        <w:t>2</w:t>
      </w:r>
      <w:r w:rsidRPr="00BA75D6">
        <w:rPr>
          <w:rFonts w:ascii="Times New Roman" w:eastAsia="Calibri" w:hAnsi="Times New Roman" w:cs="Times New Roman"/>
          <w:bCs/>
          <w:color w:val="000000" w:themeColor="text1"/>
          <w:sz w:val="24"/>
          <w:szCs w:val="24"/>
        </w:rPr>
        <w:fldChar w:fldCharType="end"/>
      </w:r>
      <w:r w:rsidRPr="00BA75D6">
        <w:rPr>
          <w:rFonts w:ascii="Times New Roman" w:eastAsia="Calibri" w:hAnsi="Times New Roman" w:cs="Times New Roman"/>
          <w:bCs/>
          <w:color w:val="000000" w:themeColor="text1"/>
          <w:sz w:val="24"/>
          <w:szCs w:val="24"/>
          <w:lang w:val="en-US"/>
        </w:rPr>
        <w:t>. The peaks at 2944 and 2929 cm</w:t>
      </w:r>
      <w:r w:rsidRPr="00BA75D6">
        <w:rPr>
          <w:rFonts w:ascii="Times New Roman" w:eastAsia="Calibri" w:hAnsi="Times New Roman" w:cs="Times New Roman"/>
          <w:bCs/>
          <w:color w:val="000000" w:themeColor="text1"/>
          <w:sz w:val="24"/>
          <w:szCs w:val="24"/>
          <w:vertAlign w:val="superscript"/>
          <w:lang w:val="en-US"/>
        </w:rPr>
        <w:t xml:space="preserve">−1 </w:t>
      </w:r>
      <w:r w:rsidRPr="00BA75D6">
        <w:rPr>
          <w:rFonts w:ascii="Times New Roman" w:eastAsia="Calibri" w:hAnsi="Times New Roman" w:cs="Times New Roman"/>
          <w:bCs/>
          <w:color w:val="000000" w:themeColor="text1"/>
          <w:sz w:val="24"/>
          <w:szCs w:val="24"/>
          <w:lang w:val="en-US"/>
        </w:rPr>
        <w:t xml:space="preserve">for </w:t>
      </w:r>
      <w:proofErr w:type="spellStart"/>
      <w:r w:rsidRPr="00BA75D6">
        <w:rPr>
          <w:rFonts w:ascii="Times New Roman" w:eastAsia="Calibri" w:hAnsi="Times New Roman" w:cs="Times New Roman"/>
          <w:bCs/>
          <w:color w:val="000000" w:themeColor="text1"/>
          <w:sz w:val="24"/>
          <w:szCs w:val="24"/>
          <w:lang w:val="en-US"/>
        </w:rPr>
        <w:t>AC</w:t>
      </w:r>
      <w:r w:rsidRPr="00BA75D6">
        <w:rPr>
          <w:rFonts w:ascii="Times New Roman" w:eastAsia="Calibri" w:hAnsi="Times New Roman" w:cs="Times New Roman"/>
          <w:bCs/>
          <w:color w:val="000000" w:themeColor="text1"/>
          <w:sz w:val="24"/>
          <w:szCs w:val="24"/>
          <w:vertAlign w:val="subscript"/>
          <w:lang w:val="en-US"/>
        </w:rPr>
        <w:t>Eco</w:t>
      </w:r>
      <w:proofErr w:type="spellEnd"/>
      <w:r w:rsidRPr="00BA75D6">
        <w:rPr>
          <w:rFonts w:ascii="Times New Roman" w:eastAsia="Calibri" w:hAnsi="Times New Roman" w:cs="Times New Roman"/>
          <w:bCs/>
          <w:color w:val="000000" w:themeColor="text1"/>
          <w:sz w:val="24"/>
          <w:szCs w:val="24"/>
          <w:lang w:val="en-US"/>
        </w:rPr>
        <w:t xml:space="preserve"> and </w:t>
      </w:r>
      <w:proofErr w:type="spellStart"/>
      <w:r w:rsidRPr="00BA75D6">
        <w:rPr>
          <w:rFonts w:ascii="Times New Roman" w:eastAsia="Calibri" w:hAnsi="Times New Roman" w:cs="Times New Roman"/>
          <w:bCs/>
          <w:color w:val="000000" w:themeColor="text1"/>
          <w:sz w:val="24"/>
          <w:szCs w:val="24"/>
          <w:lang w:val="en-US"/>
        </w:rPr>
        <w:t>AC</w:t>
      </w:r>
      <w:r w:rsidRPr="00BA75D6">
        <w:rPr>
          <w:rFonts w:ascii="Times New Roman" w:eastAsia="Calibri" w:hAnsi="Times New Roman" w:cs="Times New Roman"/>
          <w:bCs/>
          <w:color w:val="000000" w:themeColor="text1"/>
          <w:sz w:val="24"/>
          <w:szCs w:val="24"/>
          <w:vertAlign w:val="subscript"/>
          <w:lang w:val="en-US"/>
        </w:rPr>
        <w:t>Darco</w:t>
      </w:r>
      <w:proofErr w:type="spellEnd"/>
      <w:r w:rsidRPr="00BA75D6">
        <w:rPr>
          <w:rFonts w:ascii="Times New Roman" w:eastAsia="Calibri" w:hAnsi="Times New Roman" w:cs="Times New Roman"/>
          <w:bCs/>
          <w:color w:val="000000" w:themeColor="text1"/>
          <w:sz w:val="24"/>
          <w:szCs w:val="24"/>
          <w:lang w:val="en-US"/>
        </w:rPr>
        <w:t xml:space="preserve">, respectively were due to the stretching vibrations of the C-H methyl and methylene groups </w:t>
      </w:r>
      <w:r w:rsidRPr="00BA75D6">
        <w:rPr>
          <w:rFonts w:ascii="Times New Roman" w:eastAsia="Calibri" w:hAnsi="Times New Roman" w:cs="Times New Roman"/>
          <w:bCs/>
          <w:color w:val="000000" w:themeColor="text1"/>
          <w:sz w:val="24"/>
          <w:szCs w:val="24"/>
          <w:lang w:val="en-US"/>
        </w:rPr>
        <w:fldChar w:fldCharType="begin" w:fldLock="1"/>
      </w:r>
      <w:r w:rsidR="00007E58" w:rsidRPr="00BA75D6">
        <w:rPr>
          <w:rFonts w:ascii="Times New Roman" w:eastAsia="Calibri" w:hAnsi="Times New Roman" w:cs="Times New Roman"/>
          <w:bCs/>
          <w:color w:val="000000" w:themeColor="text1"/>
          <w:sz w:val="24"/>
          <w:szCs w:val="24"/>
          <w:lang w:val="en-US"/>
        </w:rPr>
        <w:instrText>ADDIN CSL_CITATION {"citationItems":[{"id":"ITEM-1","itemData":{"DOI":"10.1016/j.biortech.2010.01.121","ISSN":"09608524","PMID":"20163954","abstract":"Sawdust, an available and renewable biomass, was investigated as a novel ammonium biosorbent. Biosorption occurred over a pH range of 6-10, reached an equilibrium state within only 20 min, and can be described by a pseudo-second-order model predicting a chemisorption process. Equilibrium data were very well represented by Langmuir isotherm and confirm monolayer coverage. FTIR analysis before and after biosorption of ammonium onto sawdust suggested that the main mechanisms involved in the removal of ammonium might be the ionic exchange and complexation. The use of sawdust presents an interesting option for both tertiary wastewater treatment (as a possible non-conventional biosorbent for the removal of ammonium), and waste recycling (as a fertilizer and compost). © 2010 Elsevier Ltd. All rights reserved.","author":[{"dropping-particle":"","family":"Wahab","given":"Mohamed Ali","non-dropping-particle":"","parse-names":false,"suffix":""},{"dropping-particle":"","family":"Jellali","given":"Salah","non-dropping-particle":"","parse-names":false,"suffix":""},{"dropping-particle":"","family":"Jedidi","given":"Naceur","non-dropping-particle":"","parse-names":false,"suffix":""}],"container-title":"Bioresource Technology","id":"ITEM-1","issue":"14","issued":{"date-parts":[["2010","7","1"]]},"page":"5070-5075","publisher":"Elsevier","title":"Ammonium biosorption onto sawdust: FTIR analysis, kinetics and adsorption isotherms modeling","type":"article-journal","volume":"101"},"uris":["http://www.mendeley.com/documents/?uuid=ab1dfcc8-74a4-3d81-881a-35f45f8637ad"]}],"mendeley":{"formattedCitation":"&lt;sup&gt;2&lt;/sup&gt;","plainTextFormattedCitation":"2","previouslyFormattedCitation":"(Wahab et al. 2010)"},"properties":{"noteIndex":0},"schema":"https://github.com/citation-style-language/schema/raw/master/csl-citation.json"}</w:instrText>
      </w:r>
      <w:r w:rsidRPr="00BA75D6">
        <w:rPr>
          <w:rFonts w:ascii="Times New Roman" w:eastAsia="Calibri" w:hAnsi="Times New Roman" w:cs="Times New Roman"/>
          <w:bCs/>
          <w:color w:val="000000" w:themeColor="text1"/>
          <w:sz w:val="24"/>
          <w:szCs w:val="24"/>
          <w:lang w:val="en-US"/>
        </w:rPr>
        <w:fldChar w:fldCharType="separate"/>
      </w:r>
      <w:r w:rsidR="00007E58" w:rsidRPr="00BA75D6">
        <w:rPr>
          <w:rFonts w:ascii="Times New Roman" w:eastAsia="Calibri" w:hAnsi="Times New Roman" w:cs="Times New Roman"/>
          <w:bCs/>
          <w:noProof/>
          <w:color w:val="000000" w:themeColor="text1"/>
          <w:sz w:val="24"/>
          <w:szCs w:val="24"/>
          <w:vertAlign w:val="superscript"/>
          <w:lang w:val="en-US"/>
        </w:rPr>
        <w:t>2</w:t>
      </w:r>
      <w:r w:rsidRPr="00BA75D6">
        <w:rPr>
          <w:rFonts w:ascii="Times New Roman" w:eastAsia="Calibri" w:hAnsi="Times New Roman" w:cs="Times New Roman"/>
          <w:bCs/>
          <w:color w:val="000000" w:themeColor="text1"/>
          <w:sz w:val="24"/>
          <w:szCs w:val="24"/>
        </w:rPr>
        <w:fldChar w:fldCharType="end"/>
      </w:r>
      <w:r w:rsidRPr="00BA75D6">
        <w:rPr>
          <w:rFonts w:ascii="Times New Roman" w:eastAsia="Calibri" w:hAnsi="Times New Roman" w:cs="Times New Roman"/>
          <w:bCs/>
          <w:color w:val="000000" w:themeColor="text1"/>
          <w:sz w:val="24"/>
          <w:szCs w:val="24"/>
          <w:lang w:val="en-US"/>
        </w:rPr>
        <w:t xml:space="preserve">. </w:t>
      </w:r>
      <w:r w:rsidRPr="00BA75D6">
        <w:rPr>
          <w:rFonts w:ascii="Times New Roman" w:eastAsia="Calibri" w:hAnsi="Times New Roman" w:cs="Times New Roman"/>
          <w:color w:val="2E2E2E"/>
          <w:kern w:val="0"/>
          <w:sz w:val="24"/>
          <w:szCs w:val="24"/>
          <w:lang w:val="en-US"/>
          <w14:ligatures w14:val="none"/>
        </w:rPr>
        <w:t xml:space="preserve">Moreover, </w:t>
      </w:r>
      <w:r w:rsidRPr="00BA75D6">
        <w:rPr>
          <w:rFonts w:ascii="Times New Roman" w:eastAsia="Calibri" w:hAnsi="Times New Roman" w:cs="Times New Roman"/>
          <w:color w:val="2E2E2E"/>
          <w:kern w:val="0"/>
          <w:sz w:val="24"/>
          <w:szCs w:val="24"/>
          <w14:ligatures w14:val="none"/>
        </w:rPr>
        <w:t>the peaks at 1254 and 1412 cm</w:t>
      </w:r>
      <w:r w:rsidRPr="00BA75D6">
        <w:rPr>
          <w:rFonts w:ascii="Times New Roman" w:eastAsia="Calibri" w:hAnsi="Times New Roman" w:cs="Times New Roman"/>
          <w:color w:val="2E2E2E"/>
          <w:kern w:val="0"/>
          <w:sz w:val="24"/>
          <w:szCs w:val="24"/>
          <w:vertAlign w:val="superscript"/>
          <w14:ligatures w14:val="none"/>
        </w:rPr>
        <w:t>−1</w:t>
      </w:r>
      <w:r w:rsidRPr="00BA75D6">
        <w:rPr>
          <w:rFonts w:ascii="Times New Roman" w:eastAsia="Calibri" w:hAnsi="Times New Roman" w:cs="Times New Roman"/>
          <w:color w:val="2E2E2E"/>
          <w:kern w:val="0"/>
          <w:sz w:val="24"/>
          <w:szCs w:val="24"/>
          <w14:ligatures w14:val="none"/>
        </w:rPr>
        <w:t xml:space="preserve"> are characteristics of N–H deformation</w:t>
      </w:r>
      <w:r w:rsidRPr="00BA75D6">
        <w:rPr>
          <w:rFonts w:ascii="Times New Roman" w:eastAsia="Calibri" w:hAnsi="Times New Roman" w:cs="Times New Roman"/>
          <w:color w:val="2E2E2E"/>
          <w:kern w:val="0"/>
          <w:sz w:val="24"/>
          <w:szCs w:val="24"/>
          <w:lang w:val="en-US"/>
          <w14:ligatures w14:val="none"/>
        </w:rPr>
        <w:t xml:space="preserve"> and</w:t>
      </w:r>
      <w:r w:rsidRPr="00BA75D6">
        <w:rPr>
          <w:rFonts w:ascii="Times New Roman" w:eastAsia="Calibri" w:hAnsi="Times New Roman" w:cs="Times New Roman"/>
          <w:color w:val="2E2E2E"/>
          <w:kern w:val="0"/>
          <w:sz w:val="24"/>
          <w:szCs w:val="24"/>
          <w14:ligatures w14:val="none"/>
        </w:rPr>
        <w:t xml:space="preserve"> the glucosamine residue's C–O–C stretching</w:t>
      </w:r>
      <w:r w:rsidRPr="00BA75D6">
        <w:rPr>
          <w:rFonts w:ascii="Times New Roman" w:eastAsia="Calibri" w:hAnsi="Times New Roman" w:cs="Times New Roman"/>
          <w:bCs/>
          <w:color w:val="000000" w:themeColor="text1"/>
          <w:sz w:val="24"/>
          <w:szCs w:val="24"/>
          <w:lang w:val="en-US"/>
        </w:rPr>
        <w:t>, respectively</w:t>
      </w:r>
      <w:r w:rsidRPr="00BA75D6">
        <w:rPr>
          <w:rFonts w:ascii="Times New Roman" w:eastAsia="Calibri" w:hAnsi="Times New Roman" w:cs="Times New Roman"/>
          <w:color w:val="2E2E2E"/>
          <w:kern w:val="0"/>
          <w:sz w:val="24"/>
          <w:szCs w:val="24"/>
          <w14:ligatures w14:val="none"/>
        </w:rPr>
        <w:t xml:space="preserve"> </w:t>
      </w:r>
      <w:r w:rsidRPr="00BA75D6">
        <w:rPr>
          <w:rFonts w:ascii="Times New Roman" w:eastAsia="Calibri" w:hAnsi="Times New Roman" w:cs="Times New Roman"/>
          <w:color w:val="2E2E2E"/>
          <w:kern w:val="0"/>
          <w:sz w:val="24"/>
          <w:szCs w:val="24"/>
          <w14:ligatures w14:val="none"/>
        </w:rPr>
        <w:fldChar w:fldCharType="begin" w:fldLock="1"/>
      </w:r>
      <w:r w:rsidR="00007E58" w:rsidRPr="00BA75D6">
        <w:rPr>
          <w:rFonts w:ascii="Times New Roman" w:eastAsia="Calibri" w:hAnsi="Times New Roman" w:cs="Times New Roman"/>
          <w:color w:val="2E2E2E"/>
          <w:kern w:val="0"/>
          <w:sz w:val="24"/>
          <w:szCs w:val="24"/>
          <w14:ligatures w14:val="none"/>
        </w:rPr>
        <w:instrText>ADDIN CSL_CITATION {"citationItems":[{"id":"ITEM-1","itemData":{"DOI":"10.1016/J.JALLCOM.2007.11.100","ISSN":"0925-8388","abstract":"Magnetic Fe3O4-chitosan nanoparticles were prepared by the covalent binding of chitosan (CTS) onto the surface of magnetic Fe3O4 nanoparticles which were prepared by hydrothermal method using H2O2 as an oxidizer. Transmission electron microscopy (TEM) showed that Fe3O4 particles and Fe3O4-chitosan nanocomposites were regular sphere with a mean diameter of 23 nm and 25 nm, respectively. X-ray diffraction patterns (XRD) indicated that the magnetic Fe3O4 nanoparticles were pure Fe3O4 with a spinel structure and the coating of chitosan did not result in a phase change. The coating of CTS onto the Fe3O4 nanoparticles was also demonstrated by the measurement of thermogravimetric analysis (TGA) and Fourier transform infrared (FTIR) spectra. Magnetic measurement revealed that the saturated magnetization of the Fe3O4-chitosan nanoparticles reached 21.5 emu g-1 and the nanoparticles showed the characteristics of superparamagnetism. © 2007 Elsevier B.V. All rights reserved.","author":[{"dropping-particle":"","family":"Li","given":"Gui yin","non-dropping-particle":"","parse-names":false,"suffix":""},{"dropping-particle":"","family":"Jiang","given":"Yu ren","non-dropping-particle":"","parse-names":false,"suffix":""},{"dropping-particle":"","family":"Huang","given":"Ke long","non-dropping-particle":"","parse-names":false,"suffix":""},{"dropping-particle":"","family":"Ding","given":"Ping","non-dropping-particle":"","parse-names":false,"suffix":""},{"dropping-particle":"","family":"Chen","given":"Jie","non-dropping-particle":"","parse-names":false,"suffix":""}],"container-title":"Journal of Alloys and Compounds","id":"ITEM-1","issue":"1-2","issued":{"date-parts":[["2008","10","20"]]},"page":"451-456","publisher":"Elsevier","title":"Preparation and properties of magnetic Fe3O4–chitosan nanoparticles","type":"article-journal","volume":"466"},"uris":["http://www.mendeley.com/documents/?uuid=1c76b7c7-e15e-3fd1-be68-2c0cd4964565"]}],"mendeley":{"formattedCitation":"&lt;sup&gt;3&lt;/sup&gt;","plainTextFormattedCitation":"3","previouslyFormattedCitation":"(Li et al. 2008)"},"properties":{"noteIndex":0},"schema":"https://github.com/citation-style-language/schema/raw/master/csl-citation.json"}</w:instrText>
      </w:r>
      <w:r w:rsidRPr="00BA75D6">
        <w:rPr>
          <w:rFonts w:ascii="Times New Roman" w:eastAsia="Calibri" w:hAnsi="Times New Roman" w:cs="Times New Roman"/>
          <w:color w:val="2E2E2E"/>
          <w:kern w:val="0"/>
          <w:sz w:val="24"/>
          <w:szCs w:val="24"/>
          <w14:ligatures w14:val="none"/>
        </w:rPr>
        <w:fldChar w:fldCharType="separate"/>
      </w:r>
      <w:r w:rsidR="00007E58" w:rsidRPr="00BA75D6">
        <w:rPr>
          <w:rFonts w:ascii="Times New Roman" w:eastAsia="Calibri" w:hAnsi="Times New Roman" w:cs="Times New Roman"/>
          <w:noProof/>
          <w:color w:val="2E2E2E"/>
          <w:kern w:val="0"/>
          <w:sz w:val="24"/>
          <w:szCs w:val="24"/>
          <w:vertAlign w:val="superscript"/>
          <w14:ligatures w14:val="none"/>
        </w:rPr>
        <w:t>3</w:t>
      </w:r>
      <w:r w:rsidRPr="00BA75D6">
        <w:rPr>
          <w:rFonts w:ascii="Times New Roman" w:eastAsia="Calibri" w:hAnsi="Times New Roman" w:cs="Times New Roman"/>
          <w:color w:val="2E2E2E"/>
          <w:kern w:val="0"/>
          <w:sz w:val="24"/>
          <w:szCs w:val="24"/>
          <w14:ligatures w14:val="none"/>
        </w:rPr>
        <w:fldChar w:fldCharType="end"/>
      </w:r>
      <w:r w:rsidRPr="00BA75D6">
        <w:rPr>
          <w:rFonts w:ascii="Times New Roman" w:eastAsia="Calibri" w:hAnsi="Times New Roman" w:cs="Times New Roman"/>
          <w:color w:val="2E2E2E"/>
          <w:kern w:val="0"/>
          <w:sz w:val="24"/>
          <w:szCs w:val="24"/>
          <w14:ligatures w14:val="none"/>
        </w:rPr>
        <w:t xml:space="preserve">. The corresponding peaks confirm the </w:t>
      </w:r>
      <w:bookmarkStart w:id="2" w:name="_Hlk156402470"/>
      <w:r w:rsidRPr="00BA75D6">
        <w:rPr>
          <w:rFonts w:ascii="Times New Roman" w:eastAsia="Calibri" w:hAnsi="Times New Roman" w:cs="Times New Roman"/>
          <w:color w:val="2E2E2E"/>
          <w:kern w:val="0"/>
          <w:sz w:val="24"/>
          <w:szCs w:val="24"/>
          <w14:ligatures w14:val="none"/>
        </w:rPr>
        <w:t>occurrence of the cell membrane (i.e., phospholipids, proteins, and lipoteichoic acids) over ACs.</w:t>
      </w:r>
    </w:p>
    <w:bookmarkEnd w:id="2"/>
    <w:p w14:paraId="7043A96B" w14:textId="66D35DA4" w:rsidR="00F071CA" w:rsidRPr="00BA75D6" w:rsidRDefault="00F071CA" w:rsidP="00F071CA">
      <w:pPr>
        <w:tabs>
          <w:tab w:val="left" w:pos="1113"/>
        </w:tabs>
        <w:spacing w:line="360" w:lineRule="auto"/>
        <w:jc w:val="center"/>
        <w:rPr>
          <w:rFonts w:ascii="Times New Roman" w:eastAsia="Calibri" w:hAnsi="Times New Roman" w:cs="Times New Roman"/>
          <w:color w:val="2E2E2E"/>
          <w:kern w:val="0"/>
          <w:sz w:val="24"/>
          <w:szCs w:val="24"/>
          <w14:ligatures w14:val="none"/>
        </w:rPr>
      </w:pPr>
    </w:p>
    <w:p w14:paraId="0E4CF7B6" w14:textId="19EEA532" w:rsidR="001C4763" w:rsidRPr="00BA75D6" w:rsidRDefault="001C4763" w:rsidP="00F071CA">
      <w:pPr>
        <w:tabs>
          <w:tab w:val="left" w:pos="1113"/>
        </w:tabs>
        <w:spacing w:line="360" w:lineRule="auto"/>
        <w:jc w:val="center"/>
        <w:rPr>
          <w:rFonts w:ascii="Times New Roman" w:eastAsia="Calibri" w:hAnsi="Times New Roman" w:cs="Times New Roman"/>
          <w:color w:val="2E2E2E"/>
          <w:kern w:val="0"/>
          <w:sz w:val="24"/>
          <w:szCs w:val="24"/>
          <w14:ligatures w14:val="none"/>
        </w:rPr>
      </w:pPr>
      <w:r w:rsidRPr="00BA75D6">
        <w:rPr>
          <w:noProof/>
          <w:sz w:val="24"/>
          <w:szCs w:val="24"/>
        </w:rPr>
        <w:drawing>
          <wp:inline distT="0" distB="0" distL="0" distR="0" wp14:anchorId="1BA303B0" wp14:editId="73EB0368">
            <wp:extent cx="4533900" cy="3680460"/>
            <wp:effectExtent l="0" t="0" r="0" b="0"/>
            <wp:docPr id="1896583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33900" cy="3680460"/>
                    </a:xfrm>
                    <a:prstGeom prst="rect">
                      <a:avLst/>
                    </a:prstGeom>
                    <a:noFill/>
                    <a:ln>
                      <a:noFill/>
                    </a:ln>
                  </pic:spPr>
                </pic:pic>
              </a:graphicData>
            </a:graphic>
          </wp:inline>
        </w:drawing>
      </w:r>
    </w:p>
    <w:p w14:paraId="68AE2CCB" w14:textId="73B9B233" w:rsidR="00F071CA" w:rsidRPr="00BA75D6" w:rsidRDefault="00F071CA" w:rsidP="008E694C">
      <w:pPr>
        <w:tabs>
          <w:tab w:val="left" w:pos="1113"/>
        </w:tabs>
        <w:spacing w:line="360" w:lineRule="auto"/>
        <w:jc w:val="center"/>
        <w:rPr>
          <w:rFonts w:ascii="Times New Roman" w:eastAsia="Calibri" w:hAnsi="Times New Roman" w:cs="Times New Roman"/>
          <w:color w:val="2E2E2E"/>
          <w:kern w:val="0"/>
          <w:sz w:val="24"/>
          <w:szCs w:val="24"/>
          <w14:ligatures w14:val="none"/>
        </w:rPr>
      </w:pPr>
      <w:r w:rsidRPr="00BA75D6">
        <w:rPr>
          <w:rFonts w:ascii="Times New Roman" w:eastAsia="Calibri" w:hAnsi="Times New Roman" w:cs="Times New Roman"/>
          <w:b/>
          <w:bCs/>
          <w:color w:val="2E2E2E"/>
          <w:kern w:val="0"/>
          <w:sz w:val="24"/>
          <w:szCs w:val="24"/>
          <w14:ligatures w14:val="none"/>
        </w:rPr>
        <w:t>Fig. S</w:t>
      </w:r>
      <w:r w:rsidR="008623A4" w:rsidRPr="00BA75D6">
        <w:rPr>
          <w:rFonts w:ascii="Times New Roman" w:eastAsia="Calibri" w:hAnsi="Times New Roman" w:cs="Times New Roman"/>
          <w:b/>
          <w:bCs/>
          <w:color w:val="2E2E2E"/>
          <w:kern w:val="0"/>
          <w:sz w:val="24"/>
          <w:szCs w:val="24"/>
          <w14:ligatures w14:val="none"/>
        </w:rPr>
        <w:t>1</w:t>
      </w:r>
      <w:r w:rsidRPr="00BA75D6">
        <w:rPr>
          <w:rFonts w:ascii="Times New Roman" w:eastAsia="Calibri" w:hAnsi="Times New Roman" w:cs="Times New Roman"/>
          <w:color w:val="2E2E2E"/>
          <w:kern w:val="0"/>
          <w:sz w:val="24"/>
          <w:szCs w:val="24"/>
          <w14:ligatures w14:val="none"/>
        </w:rPr>
        <w:t xml:space="preserve"> FTIR analysis of ACs and biofilm</w:t>
      </w:r>
    </w:p>
    <w:p w14:paraId="153768DC" w14:textId="4A30AFB7" w:rsidR="00A2645D" w:rsidRPr="00BA75D6" w:rsidRDefault="00A2645D" w:rsidP="00A2645D">
      <w:pPr>
        <w:jc w:val="center"/>
        <w:rPr>
          <w:sz w:val="24"/>
          <w:szCs w:val="24"/>
        </w:rPr>
      </w:pPr>
    </w:p>
    <w:p w14:paraId="09BE8708" w14:textId="3B64D63B" w:rsidR="00A2645D" w:rsidRPr="00BA75D6" w:rsidRDefault="00A2645D" w:rsidP="00A2645D">
      <w:pPr>
        <w:jc w:val="center"/>
        <w:rPr>
          <w:sz w:val="24"/>
          <w:szCs w:val="24"/>
        </w:rPr>
      </w:pPr>
    </w:p>
    <w:p w14:paraId="3255C09D" w14:textId="12EDABF5" w:rsidR="009E5E05" w:rsidRPr="00BA75D6" w:rsidRDefault="001C4763" w:rsidP="00A2645D">
      <w:pPr>
        <w:jc w:val="center"/>
        <w:rPr>
          <w:sz w:val="24"/>
          <w:szCs w:val="24"/>
        </w:rPr>
      </w:pPr>
      <w:r w:rsidRPr="00BA75D6">
        <w:rPr>
          <w:noProof/>
          <w:sz w:val="24"/>
          <w:szCs w:val="24"/>
        </w:rPr>
        <w:drawing>
          <wp:inline distT="0" distB="0" distL="0" distR="0" wp14:anchorId="1939CB6C" wp14:editId="7AFB3A04">
            <wp:extent cx="5181600" cy="3268980"/>
            <wp:effectExtent l="0" t="0" r="0" b="7620"/>
            <wp:docPr id="9244926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81600" cy="3268980"/>
                    </a:xfrm>
                    <a:prstGeom prst="rect">
                      <a:avLst/>
                    </a:prstGeom>
                    <a:noFill/>
                    <a:ln>
                      <a:noFill/>
                    </a:ln>
                  </pic:spPr>
                </pic:pic>
              </a:graphicData>
            </a:graphic>
          </wp:inline>
        </w:drawing>
      </w:r>
    </w:p>
    <w:p w14:paraId="7A411C30" w14:textId="5D0B0A21" w:rsidR="001C4763" w:rsidRPr="00BA75D6" w:rsidRDefault="001C4763" w:rsidP="00A2645D">
      <w:pPr>
        <w:jc w:val="center"/>
        <w:rPr>
          <w:sz w:val="24"/>
          <w:szCs w:val="24"/>
        </w:rPr>
      </w:pPr>
      <w:r w:rsidRPr="00BA75D6">
        <w:rPr>
          <w:noProof/>
          <w:sz w:val="24"/>
          <w:szCs w:val="24"/>
        </w:rPr>
        <w:lastRenderedPageBreak/>
        <w:drawing>
          <wp:inline distT="0" distB="0" distL="0" distR="0" wp14:anchorId="0F6BF662" wp14:editId="238F86A5">
            <wp:extent cx="5212080" cy="3135781"/>
            <wp:effectExtent l="0" t="0" r="7620" b="7620"/>
            <wp:docPr id="2838034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8029" cy="3139360"/>
                    </a:xfrm>
                    <a:prstGeom prst="rect">
                      <a:avLst/>
                    </a:prstGeom>
                    <a:noFill/>
                    <a:ln>
                      <a:noFill/>
                    </a:ln>
                  </pic:spPr>
                </pic:pic>
              </a:graphicData>
            </a:graphic>
          </wp:inline>
        </w:drawing>
      </w:r>
    </w:p>
    <w:p w14:paraId="6D4EFFD7" w14:textId="416E7957" w:rsidR="00A2645D" w:rsidRPr="00BA75D6" w:rsidRDefault="00A2645D" w:rsidP="00A2645D">
      <w:pPr>
        <w:spacing w:line="480" w:lineRule="auto"/>
        <w:jc w:val="center"/>
        <w:rPr>
          <w:rFonts w:ascii="Times New Roman" w:hAnsi="Times New Roman" w:cs="Times New Roman"/>
          <w:sz w:val="24"/>
          <w:szCs w:val="24"/>
        </w:rPr>
      </w:pPr>
      <w:r w:rsidRPr="00BA75D6">
        <w:rPr>
          <w:rFonts w:ascii="Times New Roman" w:hAnsi="Times New Roman" w:cs="Times New Roman"/>
          <w:b/>
          <w:bCs/>
          <w:sz w:val="24"/>
          <w:szCs w:val="24"/>
        </w:rPr>
        <w:t>Fig. S</w:t>
      </w:r>
      <w:r w:rsidR="008623A4" w:rsidRPr="00BA75D6">
        <w:rPr>
          <w:rFonts w:ascii="Times New Roman" w:hAnsi="Times New Roman" w:cs="Times New Roman"/>
          <w:b/>
          <w:bCs/>
          <w:sz w:val="24"/>
          <w:szCs w:val="24"/>
        </w:rPr>
        <w:t>2</w:t>
      </w:r>
      <w:r w:rsidRPr="00BA75D6">
        <w:rPr>
          <w:rFonts w:ascii="Times New Roman" w:hAnsi="Times New Roman" w:cs="Times New Roman"/>
          <w:sz w:val="24"/>
          <w:szCs w:val="24"/>
        </w:rPr>
        <w:t xml:space="preserve"> Real-time optical density measurements at 600 nm to check the bacteria in the effluent of solution containing (a) DCF and (b) CBZ </w:t>
      </w:r>
    </w:p>
    <w:p w14:paraId="35CC7B1C" w14:textId="36556350" w:rsidR="00F071CA" w:rsidRPr="00BA75D6" w:rsidRDefault="00F071CA" w:rsidP="00F071CA">
      <w:pPr>
        <w:spacing w:line="480" w:lineRule="auto"/>
        <w:jc w:val="both"/>
        <w:rPr>
          <w:rFonts w:ascii="Times New Roman" w:hAnsi="Times New Roman" w:cs="Times New Roman"/>
          <w:sz w:val="24"/>
          <w:szCs w:val="24"/>
        </w:rPr>
      </w:pPr>
      <w:r w:rsidRPr="00BA75D6">
        <w:rPr>
          <w:rFonts w:ascii="Times New Roman" w:hAnsi="Times New Roman" w:cs="Times New Roman"/>
          <w:sz w:val="24"/>
          <w:szCs w:val="24"/>
        </w:rPr>
        <w:t>References:</w:t>
      </w:r>
    </w:p>
    <w:p w14:paraId="1B7F5820" w14:textId="6CC0D2AE" w:rsidR="00007E58" w:rsidRPr="00BA75D6" w:rsidRDefault="00E02B0E" w:rsidP="00007E58">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BA75D6">
        <w:rPr>
          <w:rFonts w:ascii="Times New Roman" w:hAnsi="Times New Roman" w:cs="Times New Roman"/>
          <w:sz w:val="24"/>
          <w:szCs w:val="24"/>
        </w:rPr>
        <w:fldChar w:fldCharType="begin" w:fldLock="1"/>
      </w:r>
      <w:r w:rsidRPr="00BA75D6">
        <w:rPr>
          <w:rFonts w:ascii="Times New Roman" w:hAnsi="Times New Roman" w:cs="Times New Roman"/>
          <w:sz w:val="24"/>
          <w:szCs w:val="24"/>
        </w:rPr>
        <w:instrText xml:space="preserve">ADDIN Mendeley Bibliography CSL_BIBLIOGRAPHY </w:instrText>
      </w:r>
      <w:r w:rsidRPr="00BA75D6">
        <w:rPr>
          <w:rFonts w:ascii="Times New Roman" w:hAnsi="Times New Roman" w:cs="Times New Roman"/>
          <w:sz w:val="24"/>
          <w:szCs w:val="24"/>
        </w:rPr>
        <w:fldChar w:fldCharType="separate"/>
      </w:r>
      <w:r w:rsidR="00007E58" w:rsidRPr="00BA75D6">
        <w:rPr>
          <w:rFonts w:ascii="Times New Roman" w:hAnsi="Times New Roman" w:cs="Times New Roman"/>
          <w:noProof/>
          <w:kern w:val="0"/>
          <w:sz w:val="24"/>
          <w:szCs w:val="24"/>
        </w:rPr>
        <w:t>1</w:t>
      </w:r>
      <w:r w:rsidR="00007E58" w:rsidRPr="00BA75D6">
        <w:rPr>
          <w:rFonts w:ascii="Times New Roman" w:hAnsi="Times New Roman" w:cs="Times New Roman"/>
          <w:noProof/>
          <w:kern w:val="0"/>
          <w:sz w:val="24"/>
          <w:szCs w:val="24"/>
        </w:rPr>
        <w:tab/>
        <w:t xml:space="preserve">L. Nan, K. Yang and G. Ren, </w:t>
      </w:r>
      <w:r w:rsidR="00007E58" w:rsidRPr="00BA75D6">
        <w:rPr>
          <w:rFonts w:ascii="Times New Roman" w:hAnsi="Times New Roman" w:cs="Times New Roman"/>
          <w:i/>
          <w:iCs/>
          <w:noProof/>
          <w:kern w:val="0"/>
          <w:sz w:val="24"/>
          <w:szCs w:val="24"/>
        </w:rPr>
        <w:t>Mater. Sci. Eng. C</w:t>
      </w:r>
      <w:r w:rsidR="00007E58" w:rsidRPr="00BA75D6">
        <w:rPr>
          <w:rFonts w:ascii="Times New Roman" w:hAnsi="Times New Roman" w:cs="Times New Roman"/>
          <w:noProof/>
          <w:kern w:val="0"/>
          <w:sz w:val="24"/>
          <w:szCs w:val="24"/>
        </w:rPr>
        <w:t xml:space="preserve">, 2015, </w:t>
      </w:r>
      <w:r w:rsidR="00007E58" w:rsidRPr="00BA75D6">
        <w:rPr>
          <w:rFonts w:ascii="Times New Roman" w:hAnsi="Times New Roman" w:cs="Times New Roman"/>
          <w:b/>
          <w:bCs/>
          <w:noProof/>
          <w:kern w:val="0"/>
          <w:sz w:val="24"/>
          <w:szCs w:val="24"/>
        </w:rPr>
        <w:t>51</w:t>
      </w:r>
      <w:r w:rsidR="00007E58" w:rsidRPr="00BA75D6">
        <w:rPr>
          <w:rFonts w:ascii="Times New Roman" w:hAnsi="Times New Roman" w:cs="Times New Roman"/>
          <w:noProof/>
          <w:kern w:val="0"/>
          <w:sz w:val="24"/>
          <w:szCs w:val="24"/>
        </w:rPr>
        <w:t>, 356–361.</w:t>
      </w:r>
    </w:p>
    <w:p w14:paraId="7F64729A" w14:textId="77777777" w:rsidR="00007E58" w:rsidRPr="00BA75D6" w:rsidRDefault="00007E58" w:rsidP="00007E58">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BA75D6">
        <w:rPr>
          <w:rFonts w:ascii="Times New Roman" w:hAnsi="Times New Roman" w:cs="Times New Roman"/>
          <w:noProof/>
          <w:kern w:val="0"/>
          <w:sz w:val="24"/>
          <w:szCs w:val="24"/>
        </w:rPr>
        <w:t>2</w:t>
      </w:r>
      <w:r w:rsidRPr="00BA75D6">
        <w:rPr>
          <w:rFonts w:ascii="Times New Roman" w:hAnsi="Times New Roman" w:cs="Times New Roman"/>
          <w:noProof/>
          <w:kern w:val="0"/>
          <w:sz w:val="24"/>
          <w:szCs w:val="24"/>
        </w:rPr>
        <w:tab/>
        <w:t xml:space="preserve">M. A. Wahab, S. Jellali and N. Jedidi, </w:t>
      </w:r>
      <w:r w:rsidRPr="00BA75D6">
        <w:rPr>
          <w:rFonts w:ascii="Times New Roman" w:hAnsi="Times New Roman" w:cs="Times New Roman"/>
          <w:i/>
          <w:iCs/>
          <w:noProof/>
          <w:kern w:val="0"/>
          <w:sz w:val="24"/>
          <w:szCs w:val="24"/>
        </w:rPr>
        <w:t>Bioresour. Technol.</w:t>
      </w:r>
      <w:r w:rsidRPr="00BA75D6">
        <w:rPr>
          <w:rFonts w:ascii="Times New Roman" w:hAnsi="Times New Roman" w:cs="Times New Roman"/>
          <w:noProof/>
          <w:kern w:val="0"/>
          <w:sz w:val="24"/>
          <w:szCs w:val="24"/>
        </w:rPr>
        <w:t xml:space="preserve">, 2010, </w:t>
      </w:r>
      <w:r w:rsidRPr="00BA75D6">
        <w:rPr>
          <w:rFonts w:ascii="Times New Roman" w:hAnsi="Times New Roman" w:cs="Times New Roman"/>
          <w:b/>
          <w:bCs/>
          <w:noProof/>
          <w:kern w:val="0"/>
          <w:sz w:val="24"/>
          <w:szCs w:val="24"/>
        </w:rPr>
        <w:t>101</w:t>
      </w:r>
      <w:r w:rsidRPr="00BA75D6">
        <w:rPr>
          <w:rFonts w:ascii="Times New Roman" w:hAnsi="Times New Roman" w:cs="Times New Roman"/>
          <w:noProof/>
          <w:kern w:val="0"/>
          <w:sz w:val="24"/>
          <w:szCs w:val="24"/>
        </w:rPr>
        <w:t>, 5070–5075.</w:t>
      </w:r>
    </w:p>
    <w:p w14:paraId="0AB9D551" w14:textId="7AF77378" w:rsidR="00A2645D" w:rsidRPr="00BA75D6" w:rsidRDefault="00007E58" w:rsidP="00BA75D6">
      <w:pPr>
        <w:widowControl w:val="0"/>
        <w:autoSpaceDE w:val="0"/>
        <w:autoSpaceDN w:val="0"/>
        <w:adjustRightInd w:val="0"/>
        <w:spacing w:line="360" w:lineRule="auto"/>
        <w:ind w:left="640" w:hanging="640"/>
        <w:rPr>
          <w:rFonts w:ascii="Times New Roman" w:hAnsi="Times New Roman" w:cs="Times New Roman"/>
          <w:sz w:val="24"/>
          <w:szCs w:val="24"/>
        </w:rPr>
      </w:pPr>
      <w:r w:rsidRPr="00BA75D6">
        <w:rPr>
          <w:rFonts w:ascii="Times New Roman" w:hAnsi="Times New Roman" w:cs="Times New Roman"/>
          <w:noProof/>
          <w:kern w:val="0"/>
          <w:sz w:val="24"/>
          <w:szCs w:val="24"/>
        </w:rPr>
        <w:t>3</w:t>
      </w:r>
      <w:r w:rsidRPr="00BA75D6">
        <w:rPr>
          <w:rFonts w:ascii="Times New Roman" w:hAnsi="Times New Roman" w:cs="Times New Roman"/>
          <w:noProof/>
          <w:kern w:val="0"/>
          <w:sz w:val="24"/>
          <w:szCs w:val="24"/>
        </w:rPr>
        <w:tab/>
        <w:t xml:space="preserve">G. yin Li, Y. ren Jiang, K. long Huang, P. Ding and J. Chen, </w:t>
      </w:r>
      <w:r w:rsidRPr="00BA75D6">
        <w:rPr>
          <w:rFonts w:ascii="Times New Roman" w:hAnsi="Times New Roman" w:cs="Times New Roman"/>
          <w:i/>
          <w:iCs/>
          <w:noProof/>
          <w:kern w:val="0"/>
          <w:sz w:val="24"/>
          <w:szCs w:val="24"/>
        </w:rPr>
        <w:t>J. Alloys Compd.</w:t>
      </w:r>
      <w:r w:rsidRPr="00BA75D6">
        <w:rPr>
          <w:rFonts w:ascii="Times New Roman" w:hAnsi="Times New Roman" w:cs="Times New Roman"/>
          <w:noProof/>
          <w:kern w:val="0"/>
          <w:sz w:val="24"/>
          <w:szCs w:val="24"/>
        </w:rPr>
        <w:t xml:space="preserve">, 2008, </w:t>
      </w:r>
      <w:r w:rsidRPr="00BA75D6">
        <w:rPr>
          <w:rFonts w:ascii="Times New Roman" w:hAnsi="Times New Roman" w:cs="Times New Roman"/>
          <w:b/>
          <w:bCs/>
          <w:noProof/>
          <w:kern w:val="0"/>
          <w:sz w:val="24"/>
          <w:szCs w:val="24"/>
        </w:rPr>
        <w:t>466</w:t>
      </w:r>
      <w:r w:rsidRPr="00BA75D6">
        <w:rPr>
          <w:rFonts w:ascii="Times New Roman" w:hAnsi="Times New Roman" w:cs="Times New Roman"/>
          <w:noProof/>
          <w:kern w:val="0"/>
          <w:sz w:val="24"/>
          <w:szCs w:val="24"/>
        </w:rPr>
        <w:t>, 451–456.</w:t>
      </w:r>
      <w:r w:rsidR="00E02B0E" w:rsidRPr="00BA75D6">
        <w:rPr>
          <w:rFonts w:ascii="Times New Roman" w:hAnsi="Times New Roman" w:cs="Times New Roman"/>
          <w:sz w:val="24"/>
          <w:szCs w:val="24"/>
        </w:rPr>
        <w:fldChar w:fldCharType="end"/>
      </w:r>
    </w:p>
    <w:sectPr w:rsidR="00A2645D" w:rsidRPr="00BA75D6" w:rsidSect="008A1CEC">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YxN7MwszQwMjW0NDJQ0lEKTi0uzszPAykwNKwFAE6BFIQtAAAA"/>
  </w:docVars>
  <w:rsids>
    <w:rsidRoot w:val="00A2645D"/>
    <w:rsid w:val="00007E58"/>
    <w:rsid w:val="0009215B"/>
    <w:rsid w:val="000B072C"/>
    <w:rsid w:val="000E68B2"/>
    <w:rsid w:val="000F711B"/>
    <w:rsid w:val="00142FB7"/>
    <w:rsid w:val="001C4763"/>
    <w:rsid w:val="0022176F"/>
    <w:rsid w:val="003A2CCD"/>
    <w:rsid w:val="003F76CF"/>
    <w:rsid w:val="004B21E9"/>
    <w:rsid w:val="004D25EA"/>
    <w:rsid w:val="00520073"/>
    <w:rsid w:val="00650B9C"/>
    <w:rsid w:val="006E0E10"/>
    <w:rsid w:val="007E6569"/>
    <w:rsid w:val="0081299B"/>
    <w:rsid w:val="0084000A"/>
    <w:rsid w:val="008623A4"/>
    <w:rsid w:val="00867338"/>
    <w:rsid w:val="00886916"/>
    <w:rsid w:val="008A1CEC"/>
    <w:rsid w:val="008E694C"/>
    <w:rsid w:val="009E5E05"/>
    <w:rsid w:val="00A2645D"/>
    <w:rsid w:val="00AC73C3"/>
    <w:rsid w:val="00B268D2"/>
    <w:rsid w:val="00B4272A"/>
    <w:rsid w:val="00B4441A"/>
    <w:rsid w:val="00B514EA"/>
    <w:rsid w:val="00BA5BA8"/>
    <w:rsid w:val="00BA75D6"/>
    <w:rsid w:val="00D62F5D"/>
    <w:rsid w:val="00D71720"/>
    <w:rsid w:val="00D71772"/>
    <w:rsid w:val="00D861CC"/>
    <w:rsid w:val="00E02B0E"/>
    <w:rsid w:val="00EA557D"/>
    <w:rsid w:val="00EF79AE"/>
    <w:rsid w:val="00F071CA"/>
    <w:rsid w:val="00F271E7"/>
    <w:rsid w:val="00F3724C"/>
    <w:rsid w:val="00FD52E7"/>
    <w:rsid w:val="00FF7F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53AD8"/>
  <w15:docId w15:val="{09D56090-E9D7-4363-A450-0AE1485C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4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45D"/>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0E68B2"/>
    <w:rPr>
      <w:sz w:val="16"/>
      <w:szCs w:val="16"/>
    </w:rPr>
  </w:style>
  <w:style w:type="table" w:styleId="TableGrid">
    <w:name w:val="Table Grid"/>
    <w:basedOn w:val="TableNormal"/>
    <w:uiPriority w:val="39"/>
    <w:rsid w:val="00862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Hyperlink">
    <w:name w:val="Hyperlink"/>
    <w:basedOn w:val="DefaultParagraphFont"/>
    <w:uiPriority w:val="99"/>
    <w:unhideWhenUsed/>
    <w:rsid w:val="006E0E10"/>
    <w:rPr>
      <w:color w:val="0563C1" w:themeColor="hyperlink"/>
      <w:u w:val="single"/>
    </w:rPr>
  </w:style>
  <w:style w:type="character" w:styleId="UnresolvedMention">
    <w:name w:val="Unresolved Mention"/>
    <w:basedOn w:val="DefaultParagraphFont"/>
    <w:uiPriority w:val="99"/>
    <w:semiHidden/>
    <w:unhideWhenUsed/>
    <w:rsid w:val="006E0E10"/>
    <w:rPr>
      <w:color w:val="605E5C"/>
      <w:shd w:val="clear" w:color="auto" w:fill="E1DFDD"/>
    </w:rPr>
  </w:style>
  <w:style w:type="character" w:styleId="LineNumber">
    <w:name w:val="line number"/>
    <w:basedOn w:val="DefaultParagraphFont"/>
    <w:uiPriority w:val="99"/>
    <w:semiHidden/>
    <w:unhideWhenUsed/>
    <w:rsid w:val="006E0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01278">
      <w:bodyDiv w:val="1"/>
      <w:marLeft w:val="0"/>
      <w:marRight w:val="0"/>
      <w:marTop w:val="0"/>
      <w:marBottom w:val="0"/>
      <w:divBdr>
        <w:top w:val="none" w:sz="0" w:space="0" w:color="auto"/>
        <w:left w:val="none" w:sz="0" w:space="0" w:color="auto"/>
        <w:bottom w:val="none" w:sz="0" w:space="0" w:color="auto"/>
        <w:right w:val="none" w:sz="0" w:space="0" w:color="auto"/>
      </w:divBdr>
    </w:div>
    <w:div w:id="910576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hyperlink" Target="mailto:rkbag@iitp.ac.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891D0-53C4-4FFC-8FEA-3E44C5C2F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430</Words>
  <Characters>2208</Characters>
  <Application>Microsoft Office Word</Application>
  <DocSecurity>0</DocSecurity>
  <Lines>46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chhaya tiwary</cp:lastModifiedBy>
  <cp:revision>14</cp:revision>
  <dcterms:created xsi:type="dcterms:W3CDTF">2024-02-26T11:09:00Z</dcterms:created>
  <dcterms:modified xsi:type="dcterms:W3CDTF">2024-05-07T11:43:00Z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b41dc373-dac7-4e44-9178-e1daf1649820</vt:lpwstr>
  </property>
  <property fmtid="{D5CDD505-2E9C-101B-9397-08002B2CF9AE}" pid="3" name="Mendeley Recent Style Id 0_1">
    <vt:lpwstr>http://www.zotero.org/styles/acs-catalysis</vt:lpwstr>
  </property>
  <property fmtid="{D5CDD505-2E9C-101B-9397-08002B2CF9AE}" pid="4" name="Mendeley Recent Style Name 0_1">
    <vt:lpwstr>ACS Catalysis</vt:lpwstr>
  </property>
  <property fmtid="{D5CDD505-2E9C-101B-9397-08002B2CF9AE}" pid="5" name="Mendeley Recent Style Id 1_1">
    <vt:lpwstr>http://www.zotero.org/styles/asce-asme-journal-of-risk-and-uncertainty-in-engineering-systems-part-a-civil-engineering</vt:lpwstr>
  </property>
  <property fmtid="{D5CDD505-2E9C-101B-9397-08002B2CF9AE}" pid="6" name="Mendeley Recent Style Name 1_1">
    <vt:lpwstr>ASCE-ASME Journal of Risk and Uncertainty in Engineering Systems, Part A: Civil Engineering</vt:lpwstr>
  </property>
  <property fmtid="{D5CDD505-2E9C-101B-9397-08002B2CF9AE}" pid="7" name="Mendeley Recent Style Id 2_1">
    <vt:lpwstr>http://www.zotero.org/styles/environmental-nanotechnology-monitoring-and-management</vt:lpwstr>
  </property>
  <property fmtid="{D5CDD505-2E9C-101B-9397-08002B2CF9AE}" pid="8" name="Mendeley Recent Style Name 2_1">
    <vt:lpwstr>Environmental Nanotechnology, Monitoring &amp; Management</vt:lpwstr>
  </property>
  <property fmtid="{D5CDD505-2E9C-101B-9397-08002B2CF9AE}" pid="9" name="Mendeley Recent Style Id 3_1">
    <vt:lpwstr>http://www.zotero.org/styles/environmental-science-and-pollution-research</vt:lpwstr>
  </property>
  <property fmtid="{D5CDD505-2E9C-101B-9397-08002B2CF9AE}" pid="10" name="Mendeley Recent Style Name 3_1">
    <vt:lpwstr>Environmental Science and Pollution Research</vt:lpwstr>
  </property>
  <property fmtid="{D5CDD505-2E9C-101B-9397-08002B2CF9AE}" pid="11" name="Mendeley Recent Style Id 4_1">
    <vt:lpwstr>http://www.zotero.org/styles/environmental-science-water-research-and-technology</vt:lpwstr>
  </property>
  <property fmtid="{D5CDD505-2E9C-101B-9397-08002B2CF9AE}" pid="12" name="Mendeley Recent Style Name 4_1">
    <vt:lpwstr>Environmental Science: Water Research &amp; Technology</vt:lpwstr>
  </property>
  <property fmtid="{D5CDD505-2E9C-101B-9397-08002B2CF9AE}" pid="13" name="Mendeley Recent Style Id 5_1">
    <vt:lpwstr>http://www.zotero.org/styles/heliyon</vt:lpwstr>
  </property>
  <property fmtid="{D5CDD505-2E9C-101B-9397-08002B2CF9AE}" pid="14" name="Mendeley Recent Style Name 5_1">
    <vt:lpwstr>Heliyon</vt:lpwstr>
  </property>
  <property fmtid="{D5CDD505-2E9C-101B-9397-08002B2CF9AE}" pid="15" name="Mendeley Recent Style Id 6_1">
    <vt:lpwstr>http://www.zotero.org/styles/international-journal-of-environmental-science-and-technology</vt:lpwstr>
  </property>
  <property fmtid="{D5CDD505-2E9C-101B-9397-08002B2CF9AE}" pid="16" name="Mendeley Recent Style Name 6_1">
    <vt:lpwstr>International Journal of Environmental Science and Technology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http://www.zotero.org/styles/science-of-the-total-environment</vt:lpwstr>
  </property>
  <property fmtid="{D5CDD505-2E9C-101B-9397-08002B2CF9AE}" pid="20" name="Mendeley Recent Style Name 8_1">
    <vt:lpwstr>Science of the Total Environment</vt:lpwstr>
  </property>
  <property fmtid="{D5CDD505-2E9C-101B-9397-08002B2CF9AE}" pid="21" name="Mendeley Recent Style Id 9_1">
    <vt:lpwstr>http://www.zotero.org/styles/water-science-and-engineering</vt:lpwstr>
  </property>
  <property fmtid="{D5CDD505-2E9C-101B-9397-08002B2CF9AE}" pid="22" name="Mendeley Recent Style Name 9_1">
    <vt:lpwstr>Water Science and Engineering</vt:lpwstr>
  </property>
  <property fmtid="{D5CDD505-2E9C-101B-9397-08002B2CF9AE}" pid="23" name="Mendeley Document_1">
    <vt:lpwstr>True</vt:lpwstr>
  </property>
  <property fmtid="{D5CDD505-2E9C-101B-9397-08002B2CF9AE}" pid="24" name="Mendeley Unique User Id_1">
    <vt:lpwstr>b27be129-7e8f-3284-b4b1-968a2005d25e</vt:lpwstr>
  </property>
  <property fmtid="{D5CDD505-2E9C-101B-9397-08002B2CF9AE}" pid="25" name="Mendeley Citation Style_1">
    <vt:lpwstr>http://www.zotero.org/styles/environmental-science-water-research-and-technology</vt:lpwstr>
  </property>
</Properties>
</file>