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b/>
          <w:bCs/>
          <w:sz w:val="18"/>
          <w:szCs w:val="18"/>
        </w:rPr>
        <w:t>T</w:t>
      </w:r>
      <w:r>
        <w:rPr>
          <w:rFonts w:hint="eastAsia"/>
          <w:b/>
          <w:bCs/>
          <w:sz w:val="18"/>
          <w:szCs w:val="18"/>
        </w:rPr>
        <w:t>able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1 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  <w:t>MRI scan parameters</w:t>
      </w:r>
    </w:p>
    <w:tbl>
      <w:tblPr>
        <w:tblStyle w:val="5"/>
        <w:tblpPr w:leftFromText="180" w:rightFromText="180" w:vertAnchor="text" w:horzAnchor="page" w:tblpX="1923" w:tblpY="160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870"/>
        <w:gridCol w:w="858"/>
        <w:gridCol w:w="734"/>
        <w:gridCol w:w="1937"/>
        <w:gridCol w:w="1103"/>
        <w:gridCol w:w="10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TR</w:t>
            </w:r>
            <w:r>
              <w:rPr>
                <w:rFonts w:hint="eastAsia" w:cs="Times New Roman"/>
                <w:color w:val="auto"/>
                <w:lang w:val="en-US" w:eastAsia="zh-CN"/>
              </w:rPr>
              <w:t>(ms)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TE</w:t>
            </w:r>
            <w:r>
              <w:rPr>
                <w:rFonts w:hint="eastAsia" w:cs="Times New Roman"/>
                <w:color w:val="auto"/>
                <w:lang w:val="en-US" w:eastAsia="zh-CN"/>
              </w:rPr>
              <w:t>(ms)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lang w:val="en-US" w:eastAsia="zh-CN"/>
              </w:rPr>
              <w:t>FA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layer thickness</w:t>
            </w:r>
            <w:r>
              <w:rPr>
                <w:rFonts w:hint="eastAsia" w:cs="Times New Roman"/>
                <w:color w:val="auto"/>
                <w:lang w:val="en-US" w:eastAsia="zh-CN"/>
              </w:rPr>
              <w:t>(mm)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FOV</w:t>
            </w:r>
            <w:r>
              <w:rPr>
                <w:rFonts w:hint="eastAsia" w:cs="Times New Roman"/>
                <w:color w:val="auto"/>
                <w:lang w:val="en-US" w:eastAsia="zh-CN"/>
              </w:rPr>
              <w:t>(mm)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matrices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FLAIR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  <w:r>
              <w:rPr>
                <w:rFonts w:hint="eastAsia"/>
              </w:rPr>
              <w:t>8500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eastAsia="宋体"/>
                <w:color w:val="auto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color w:val="auto"/>
              </w:rPr>
              <w:t>110</w:t>
            </w:r>
            <w:r>
              <w:rPr>
                <w:rFonts w:hint="eastAsia"/>
                <w:color w:val="auto"/>
              </w:rPr>
              <w:t>°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240×240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  <w:r>
              <w:rPr>
                <w:rFonts w:hint="eastAsia"/>
              </w:rPr>
              <w:t>288×288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CE-TIWI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sz w:val="18"/>
                <w:szCs w:val="18"/>
                <w:vertAlign w:val="baseline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7.4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3.0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auto"/>
                <w:sz w:val="18"/>
                <w:szCs w:val="18"/>
                <w:vertAlign w:val="baseline"/>
                <w:lang w:bidi="ar"/>
              </w:rPr>
            </w:pPr>
            <w:r>
              <w:rPr>
                <w:color w:val="auto"/>
              </w:rPr>
              <w:t>8</w:t>
            </w:r>
            <w:r>
              <w:rPr>
                <w:rFonts w:hint="eastAsia"/>
                <w:color w:val="auto"/>
              </w:rPr>
              <w:t>°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eastAsia="宋体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kern w:val="2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240×240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kern w:val="2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240×240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color w:val="FF0000"/>
          <w:sz w:val="18"/>
          <w:szCs w:val="18"/>
          <w:lang w:bidi="ar"/>
        </w:rPr>
      </w:pPr>
      <w:r>
        <w:rPr>
          <w:rFonts w:hint="eastAsia"/>
          <w:b/>
          <w:bCs/>
          <w:sz w:val="18"/>
          <w:szCs w:val="18"/>
          <w:lang w:val="en-US" w:eastAsia="zh-CN" w:bidi="ar"/>
        </w:rPr>
        <w:t>T</w:t>
      </w:r>
      <w:r>
        <w:rPr>
          <w:b/>
          <w:bCs/>
          <w:sz w:val="18"/>
          <w:szCs w:val="18"/>
          <w:lang w:bidi="ar"/>
        </w:rPr>
        <w:t>able</w:t>
      </w:r>
      <w:r>
        <w:rPr>
          <w:rFonts w:hint="eastAsia"/>
          <w:b/>
          <w:bCs/>
          <w:sz w:val="18"/>
          <w:szCs w:val="18"/>
          <w:lang w:val="en-US" w:eastAsia="zh-CN" w:bidi="ar"/>
        </w:rPr>
        <w:t xml:space="preserve"> 2</w:t>
      </w:r>
      <w:r>
        <w:rPr>
          <w:b/>
          <w:bCs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 xml:space="preserve"> </w:t>
      </w:r>
      <w:r>
        <w:rPr>
          <w:rFonts w:hint="eastAsia"/>
          <w:sz w:val="18"/>
          <w:szCs w:val="18"/>
          <w:lang w:bidi="ar"/>
        </w:rPr>
        <w:t>Clinical</w:t>
      </w:r>
      <w:r>
        <w:rPr>
          <w:sz w:val="18"/>
          <w:szCs w:val="18"/>
          <w:lang w:bidi="ar"/>
        </w:rPr>
        <w:t xml:space="preserve"> characteristics of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GBM in the</w:t>
      </w:r>
      <w:r>
        <w:rPr>
          <w:rFonts w:hint="eastAsia"/>
          <w:sz w:val="18"/>
          <w:szCs w:val="18"/>
          <w:lang w:bidi="ar"/>
        </w:rPr>
        <w:t xml:space="preserve"> training and validation sets</w:t>
      </w:r>
      <w:r>
        <w:rPr>
          <w:sz w:val="18"/>
          <w:szCs w:val="18"/>
          <w:lang w:bidi="ar"/>
        </w:rPr>
        <w:t xml:space="preserve"> (N=129)</w:t>
      </w: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tbl>
      <w:tblPr>
        <w:tblStyle w:val="4"/>
        <w:tblpPr w:leftFromText="180" w:rightFromText="180" w:vertAnchor="text" w:horzAnchor="page" w:tblpX="1628" w:tblpY="106"/>
        <w:tblOverlap w:val="never"/>
        <w:tblW w:w="861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457"/>
        <w:gridCol w:w="1414"/>
        <w:gridCol w:w="879"/>
        <w:gridCol w:w="1384"/>
        <w:gridCol w:w="1394"/>
        <w:gridCol w:w="8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</w:trPr>
        <w:tc>
          <w:tcPr>
            <w:tcW w:w="1236" w:type="dxa"/>
            <w:vMerge w:val="restart"/>
            <w:tcBorders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Characters</w:t>
            </w:r>
          </w:p>
        </w:tc>
        <w:tc>
          <w:tcPr>
            <w:tcW w:w="2871" w:type="dxa"/>
            <w:gridSpan w:val="2"/>
            <w:tcBorders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Training set </w:t>
            </w:r>
            <w:r>
              <w:rPr>
                <w:rFonts w:hint="default" w:ascii="Arial Rounded MT Bold" w:hAnsi="Arial Rounded MT Bold" w:eastAsiaTheme="majorEastAsia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90)</w:t>
            </w:r>
          </w:p>
        </w:tc>
        <w:tc>
          <w:tcPr>
            <w:tcW w:w="879" w:type="dxa"/>
            <w:tcBorders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8" w:type="dxa"/>
            <w:gridSpan w:val="2"/>
            <w:tcBorders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Validation set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850" w:type="dxa"/>
            <w:tcBorders>
              <w:left w:val="single" w:color="FFFFFF" w:sz="8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236" w:type="dxa"/>
            <w:vMerge w:val="continue"/>
            <w:tcBorders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Progress</w:t>
            </w:r>
            <w:r>
              <w:rPr>
                <w:rFonts w:hint="default" w:ascii="Arial Rounded MT Bold" w:hAnsi="Arial Rounded MT Bold" w:eastAsiaTheme="majorEastAsia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Progress</w:t>
            </w:r>
          </w:p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50）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No Progress 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Progress</w:t>
            </w:r>
          </w:p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n=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Rounded MT Bold" w:hAnsi="Arial Rounded MT Bold" w:eastAsiaTheme="majorEastAsia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1236" w:type="dxa"/>
            <w:tcBorders>
              <w:top w:val="single" w:color="auto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Gender</w:t>
            </w:r>
          </w:p>
        </w:tc>
        <w:tc>
          <w:tcPr>
            <w:tcW w:w="2871" w:type="dxa"/>
            <w:gridSpan w:val="2"/>
            <w:tcBorders>
              <w:top w:val="single" w:color="auto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      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0.354 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       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 w:bidi="ar"/>
              </w:rPr>
              <w:t>571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ind w:firstLine="360" w:firstLineChars="20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(50.0%) 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 (62.0%)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 (60.0%)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14 (73.7%)   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Age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52.1 (11.1)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55.9 (9.98)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0.097  </w:t>
            </w: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57.5 [47.5;62.2]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 [49.0;69.5]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0.227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Ki-67 (%)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 [28.8;40.0]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 [25.0;40.0]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0.819  </w:t>
            </w: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30.0 [30.0;40.0]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25.0 [20.0;30.0]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&lt;0.001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KPS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0.705  </w:t>
            </w: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       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0.487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ind w:firstLine="360" w:firstLineChars="20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>50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(2.22%) 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(2.50%) 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80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(11.1%)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(15.0%) 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(0.00%)    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(5.26%)    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36" w:type="dxa"/>
            <w:tcBorders>
              <w:top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90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 (85.6%)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 (82.5%)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(90.0%)   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(94.7%)   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236" w:type="dxa"/>
            <w:tcBorders>
              <w:top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100</w:t>
            </w:r>
          </w:p>
        </w:tc>
        <w:tc>
          <w:tcPr>
            <w:tcW w:w="1457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(1.11%)    </w:t>
            </w:r>
          </w:p>
        </w:tc>
        <w:tc>
          <w:tcPr>
            <w:tcW w:w="1414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(0.00%)    </w:t>
            </w:r>
          </w:p>
        </w:tc>
        <w:tc>
          <w:tcPr>
            <w:tcW w:w="879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384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(10.0%)    </w:t>
            </w:r>
          </w:p>
        </w:tc>
        <w:tc>
          <w:tcPr>
            <w:tcW w:w="1394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  <w:right w:val="single" w:color="EBEBEB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(0.00%)    </w:t>
            </w:r>
          </w:p>
        </w:tc>
        <w:tc>
          <w:tcPr>
            <w:tcW w:w="850" w:type="dxa"/>
            <w:tcBorders>
              <w:top w:val="single" w:color="EBEBEB" w:sz="4" w:space="0"/>
              <w:left w:val="single" w:color="EBEBEB" w:sz="4" w:space="0"/>
              <w:bottom w:val="single" w:color="000000" w:themeColor="text1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bidi="ar"/>
              </w:rPr>
              <w:t xml:space="preserve">         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pStyle w:val="7"/>
        <w:spacing w:line="240" w:lineRule="exact"/>
        <w:rPr>
          <w:rFonts w:hint="eastAsia"/>
        </w:rPr>
      </w:pPr>
      <w:r>
        <w:t>GBM</w:t>
      </w:r>
      <w:r>
        <w:rPr>
          <w:rFonts w:hint="eastAsia"/>
        </w:rPr>
        <w:t xml:space="preserve">, </w:t>
      </w:r>
      <w:r>
        <w:t>glioblastoma; KPS,</w:t>
      </w:r>
      <w:r>
        <w:rPr>
          <w:rFonts w:hint="eastAsia"/>
        </w:rPr>
        <w:t xml:space="preserve"> Karnofsky Performance Scale</w:t>
      </w: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eastAsia"/>
          <w:color w:val="auto"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>
        <w:rPr>
          <w:rFonts w:hint="eastAsia"/>
          <w:b/>
          <w:bCs/>
          <w:sz w:val="18"/>
          <w:szCs w:val="18"/>
        </w:rPr>
        <w:t>able</w:t>
      </w:r>
      <w:r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3 </w:t>
      </w:r>
      <w:r>
        <w:rPr>
          <w:sz w:val="18"/>
          <w:szCs w:val="18"/>
        </w:rPr>
        <w:t>ROC curve analysis of different</w:t>
      </w:r>
      <w:r>
        <w:rPr>
          <w:rFonts w:hint="eastAsia"/>
          <w:sz w:val="18"/>
          <w:szCs w:val="18"/>
        </w:rPr>
        <w:t xml:space="preserve"> models</w:t>
      </w:r>
      <w:r>
        <w:rPr>
          <w:sz w:val="18"/>
          <w:szCs w:val="18"/>
        </w:rPr>
        <w:t xml:space="preserve"> in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survival assessment of </w:t>
      </w:r>
      <w:r>
        <w:rPr>
          <w:rFonts w:hint="eastAsia"/>
          <w:sz w:val="18"/>
          <w:szCs w:val="18"/>
        </w:rPr>
        <w:t>GBM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patie</w:t>
      </w:r>
      <w:r>
        <w:rPr>
          <w:rFonts w:hint="eastAsia"/>
          <w:color w:val="auto"/>
          <w:sz w:val="18"/>
          <w:szCs w:val="18"/>
        </w:rPr>
        <w:t>nts</w:t>
      </w:r>
      <w:r>
        <w:rPr>
          <w:color w:val="auto"/>
          <w:sz w:val="18"/>
          <w:szCs w:val="18"/>
        </w:rPr>
        <w:t xml:space="preserve"> in terms </w:t>
      </w:r>
      <w:r>
        <w:rPr>
          <w:rFonts w:hint="eastAsia"/>
          <w:color w:val="auto"/>
          <w:sz w:val="18"/>
          <w:szCs w:val="18"/>
        </w:rPr>
        <w:t xml:space="preserve">of </w:t>
      </w:r>
      <w:r>
        <w:rPr>
          <w:color w:val="auto"/>
          <w:sz w:val="18"/>
          <w:szCs w:val="18"/>
        </w:rPr>
        <w:t>PFS</w:t>
      </w:r>
      <w:r>
        <w:rPr>
          <w:rFonts w:hint="eastAsia"/>
          <w:color w:val="auto"/>
          <w:sz w:val="18"/>
          <w:szCs w:val="18"/>
        </w:rPr>
        <w:t xml:space="preserve"> at 1 year</w:t>
      </w:r>
    </w:p>
    <w:p>
      <w:pPr>
        <w:rPr>
          <w:sz w:val="18"/>
          <w:szCs w:val="18"/>
          <w:lang w:bidi="ar"/>
        </w:rPr>
      </w:pPr>
    </w:p>
    <w:tbl>
      <w:tblPr>
        <w:tblStyle w:val="4"/>
        <w:tblpPr w:leftFromText="180" w:rightFromText="180" w:vertAnchor="page" w:horzAnchor="page" w:tblpX="2037" w:tblpY="2492"/>
        <w:tblOverlap w:val="never"/>
        <w:tblW w:w="4998" w:type="pct"/>
        <w:tblInd w:w="0" w:type="dxa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1096"/>
        <w:gridCol w:w="1898"/>
        <w:gridCol w:w="1295"/>
        <w:gridCol w:w="1454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29" w:type="pct"/>
            <w:vMerge w:val="restart"/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Characters</w:t>
            </w:r>
          </w:p>
        </w:tc>
        <w:tc>
          <w:tcPr>
            <w:tcW w:w="1757" w:type="pct"/>
            <w:gridSpan w:val="2"/>
            <w:tcBorders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Training set</w:t>
            </w:r>
          </w:p>
        </w:tc>
        <w:tc>
          <w:tcPr>
            <w:tcW w:w="1613" w:type="pct"/>
            <w:gridSpan w:val="2"/>
            <w:tcBorders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Validation set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pct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AUC</w:t>
            </w:r>
          </w:p>
        </w:tc>
        <w:tc>
          <w:tcPr>
            <w:tcW w:w="1113" w:type="pct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760" w:type="pct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AUC</w:t>
            </w:r>
          </w:p>
        </w:tc>
        <w:tc>
          <w:tcPr>
            <w:tcW w:w="853" w:type="pct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ounded MT Bold" w:hAnsi="Arial Rounded MT Bold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op w:val="single" w:color="auto" w:sz="2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Clinical</w:t>
            </w:r>
          </w:p>
        </w:tc>
        <w:tc>
          <w:tcPr>
            <w:tcW w:w="643" w:type="pct"/>
            <w:tcBorders>
              <w:top w:val="single" w:color="auto" w:sz="2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0.650</w:t>
            </w:r>
          </w:p>
        </w:tc>
        <w:tc>
          <w:tcPr>
            <w:tcW w:w="1113" w:type="pct"/>
            <w:tcBorders>
              <w:top w:val="single" w:color="auto" w:sz="2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0.525−0.775</w:t>
            </w:r>
          </w:p>
        </w:tc>
        <w:tc>
          <w:tcPr>
            <w:tcW w:w="760" w:type="pct"/>
            <w:tcBorders>
              <w:top w:val="single" w:color="auto" w:sz="2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0.536</w:t>
            </w:r>
          </w:p>
        </w:tc>
        <w:tc>
          <w:tcPr>
            <w:tcW w:w="853" w:type="pct"/>
            <w:tcBorders>
              <w:top w:val="single" w:color="auto" w:sz="2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0.316-0.756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Con MRI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0.700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0.579−0.821</w:t>
            </w:r>
          </w:p>
        </w:tc>
        <w:tc>
          <w:tcPr>
            <w:tcW w:w="76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 xml:space="preserve">0.799 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0.640-0.958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FLAIR value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0.793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0.686−0.899</w:t>
            </w:r>
          </w:p>
        </w:tc>
        <w:tc>
          <w:tcPr>
            <w:tcW w:w="76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0.531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0.297-0.765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Clinical+Con MRI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0.743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0.627−0.860</w:t>
            </w:r>
          </w:p>
        </w:tc>
        <w:tc>
          <w:tcPr>
            <w:tcW w:w="76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0.813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0.663-0.963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Nomogram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0.806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0.704−0.907</w:t>
            </w:r>
          </w:p>
        </w:tc>
        <w:tc>
          <w:tcPr>
            <w:tcW w:w="76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0.818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0.671-0.965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629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/>
                <w:sz w:val="18"/>
                <w:szCs w:val="18"/>
              </w:rPr>
              <w:t>Combined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0.866</w:t>
            </w:r>
          </w:p>
        </w:tc>
        <w:tc>
          <w:tcPr>
            <w:tcW w:w="111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0.783−0.948</w:t>
            </w:r>
          </w:p>
        </w:tc>
        <w:tc>
          <w:tcPr>
            <w:tcW w:w="760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0.732</w:t>
            </w:r>
          </w:p>
        </w:tc>
        <w:tc>
          <w:tcPr>
            <w:tcW w:w="853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eastAsiaTheme="majorEastAsia"/>
                <w:bCs/>
                <w:color w:val="auto"/>
                <w:sz w:val="18"/>
                <w:szCs w:val="18"/>
              </w:rPr>
            </w:pPr>
            <w:r>
              <w:rPr>
                <w:rFonts w:eastAsiaTheme="majorEastAsia"/>
                <w:bCs/>
                <w:color w:val="auto"/>
                <w:sz w:val="18"/>
                <w:szCs w:val="18"/>
              </w:rPr>
              <w:t>0.534-0.930</w:t>
            </w:r>
          </w:p>
        </w:tc>
      </w:tr>
    </w:tbl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GBM, </w:t>
      </w:r>
      <w:r>
        <w:rPr>
          <w:rFonts w:hint="eastAsia"/>
          <w:bCs/>
          <w:color w:val="auto"/>
          <w:sz w:val="18"/>
          <w:szCs w:val="18"/>
        </w:rPr>
        <w:t>glioblastoma;</w:t>
      </w:r>
      <w:r>
        <w:rPr>
          <w:rFonts w:hint="eastAsia"/>
          <w:sz w:val="18"/>
          <w:szCs w:val="18"/>
        </w:rPr>
        <w:t xml:space="preserve"> </w:t>
      </w:r>
      <w:r>
        <w:rPr>
          <w:bCs/>
          <w:color w:val="auto"/>
          <w:sz w:val="18"/>
          <w:szCs w:val="18"/>
        </w:rPr>
        <w:t>PFS</w:t>
      </w:r>
      <w:r>
        <w:rPr>
          <w:rFonts w:hint="eastAsia"/>
          <w:bCs/>
          <w:color w:val="auto"/>
          <w:sz w:val="18"/>
          <w:szCs w:val="18"/>
        </w:rPr>
        <w:t xml:space="preserve">, </w:t>
      </w:r>
      <w:r>
        <w:rPr>
          <w:rFonts w:hint="eastAsia"/>
          <w:sz w:val="18"/>
          <w:szCs w:val="18"/>
        </w:rPr>
        <w:t>progression-free survival</w:t>
      </w:r>
      <w:r>
        <w:rPr>
          <w:bCs/>
          <w:color w:val="auto"/>
          <w:sz w:val="18"/>
          <w:szCs w:val="18"/>
        </w:rPr>
        <w:t xml:space="preserve">; </w:t>
      </w:r>
      <w:r>
        <w:rPr>
          <w:sz w:val="18"/>
          <w:szCs w:val="18"/>
        </w:rPr>
        <w:t>AUC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 xml:space="preserve">area under the curve; </w:t>
      </w:r>
      <w:r>
        <w:rPr>
          <w:bCs/>
          <w:color w:val="auto"/>
          <w:sz w:val="18"/>
          <w:szCs w:val="18"/>
        </w:rPr>
        <w:t>CI</w:t>
      </w:r>
      <w:r>
        <w:rPr>
          <w:rFonts w:hint="eastAsia"/>
          <w:bCs/>
          <w:color w:val="auto"/>
          <w:sz w:val="18"/>
          <w:szCs w:val="18"/>
        </w:rPr>
        <w:t xml:space="preserve">, </w:t>
      </w:r>
      <w:r>
        <w:rPr>
          <w:bCs/>
          <w:color w:val="auto"/>
          <w:sz w:val="18"/>
          <w:szCs w:val="18"/>
        </w:rPr>
        <w:t>confidence interval</w:t>
      </w:r>
      <w:r>
        <w:rPr>
          <w:sz w:val="18"/>
          <w:szCs w:val="18"/>
        </w:rPr>
        <w:t>; Clinical</w:t>
      </w:r>
      <w:r>
        <w:rPr>
          <w:rFonts w:hint="eastAsia"/>
          <w:sz w:val="18"/>
          <w:szCs w:val="18"/>
        </w:rPr>
        <w:t>,</w:t>
      </w:r>
      <w:r>
        <w:rPr>
          <w:sz w:val="18"/>
          <w:szCs w:val="18"/>
        </w:rPr>
        <w:t xml:space="preserve"> including age,</w:t>
      </w:r>
      <w:r>
        <w:rPr>
          <w:rFonts w:hint="eastAsia"/>
          <w:sz w:val="18"/>
          <w:szCs w:val="18"/>
        </w:rPr>
        <w:t xml:space="preserve"> gender</w:t>
      </w:r>
      <w:r>
        <w:rPr>
          <w:sz w:val="18"/>
          <w:szCs w:val="18"/>
        </w:rPr>
        <w:t>,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KPS,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Ki-67; Con MRI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>including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bidi="ar"/>
        </w:rPr>
        <w:t>l</w:t>
      </w:r>
      <w:r>
        <w:rPr>
          <w:sz w:val="18"/>
          <w:szCs w:val="18"/>
          <w:lang w:bidi="ar"/>
        </w:rPr>
        <w:t>ocation</w:t>
      </w:r>
      <w:r>
        <w:rPr>
          <w:rFonts w:hint="eastAsia"/>
          <w:sz w:val="18"/>
          <w:szCs w:val="18"/>
          <w:lang w:bidi="ar"/>
        </w:rPr>
        <w:t>, i</w:t>
      </w:r>
      <w:r>
        <w:rPr>
          <w:sz w:val="18"/>
          <w:szCs w:val="18"/>
          <w:lang w:bidi="ar"/>
        </w:rPr>
        <w:t>nvolve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callosum</w:t>
      </w:r>
      <w:r>
        <w:rPr>
          <w:sz w:val="18"/>
          <w:szCs w:val="18"/>
        </w:rPr>
        <w:t xml:space="preserve">, </w:t>
      </w:r>
      <w:r>
        <w:rPr>
          <w:rFonts w:hint="eastAsia"/>
          <w:sz w:val="18"/>
          <w:szCs w:val="18"/>
          <w:lang w:bidi="ar"/>
        </w:rPr>
        <w:t>m</w:t>
      </w:r>
      <w:r>
        <w:rPr>
          <w:sz w:val="18"/>
          <w:szCs w:val="18"/>
          <w:lang w:bidi="ar"/>
        </w:rPr>
        <w:t>idline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shift</w:t>
      </w:r>
      <w:r>
        <w:rPr>
          <w:rFonts w:hint="eastAsia"/>
          <w:sz w:val="18"/>
          <w:szCs w:val="18"/>
          <w:lang w:bidi="ar"/>
        </w:rPr>
        <w:t xml:space="preserve">, </w:t>
      </w:r>
      <w:r>
        <w:rPr>
          <w:rFonts w:hint="eastAsia"/>
          <w:sz w:val="18"/>
          <w:szCs w:val="18"/>
          <w:lang w:val="en-US" w:eastAsia="zh-CN" w:bidi="ar"/>
        </w:rPr>
        <w:t>MAR</w:t>
      </w:r>
      <w:r>
        <w:rPr>
          <w:rFonts w:hint="eastAsia"/>
          <w:sz w:val="18"/>
          <w:szCs w:val="18"/>
          <w:lang w:bidi="ar"/>
        </w:rPr>
        <w:t xml:space="preserve">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vloume</w:t>
      </w:r>
      <w:r>
        <w:rPr>
          <w:rFonts w:hint="eastAsia"/>
          <w:sz w:val="18"/>
          <w:szCs w:val="18"/>
          <w:lang w:bidi="ar"/>
        </w:rPr>
        <w:t xml:space="preserve">, </w:t>
      </w:r>
      <w:r>
        <w:rPr>
          <w:sz w:val="18"/>
          <w:szCs w:val="18"/>
          <w:lang w:bidi="ar"/>
        </w:rPr>
        <w:t>UR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vloume</w:t>
      </w:r>
      <w:r>
        <w:rPr>
          <w:rFonts w:hint="eastAsia"/>
          <w:sz w:val="18"/>
          <w:szCs w:val="18"/>
          <w:lang w:bidi="ar"/>
        </w:rPr>
        <w:t xml:space="preserve">, </w:t>
      </w:r>
      <w:r>
        <w:rPr>
          <w:sz w:val="18"/>
          <w:szCs w:val="18"/>
          <w:lang w:bidi="ar"/>
        </w:rPr>
        <w:t>RC</w:t>
      </w:r>
      <w:r>
        <w:rPr>
          <w:rFonts w:hint="eastAsia"/>
          <w:sz w:val="18"/>
          <w:szCs w:val="18"/>
          <w:lang w:bidi="ar"/>
        </w:rPr>
        <w:t xml:space="preserve"> </w:t>
      </w:r>
      <w:r>
        <w:rPr>
          <w:sz w:val="18"/>
          <w:szCs w:val="18"/>
          <w:lang w:bidi="ar"/>
        </w:rPr>
        <w:t>morphology</w:t>
      </w:r>
      <w:r>
        <w:rPr>
          <w:rFonts w:hint="eastAsia"/>
          <w:sz w:val="18"/>
          <w:szCs w:val="18"/>
          <w:lang w:bidi="ar"/>
        </w:rPr>
        <w:t xml:space="preserve">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, extent of </w:t>
      </w:r>
      <w:r>
        <w:rPr>
          <w:rFonts w:hint="eastAsia"/>
          <w:sz w:val="18"/>
          <w:szCs w:val="18"/>
          <w:lang w:bidi="ar"/>
        </w:rPr>
        <w:t>resection</w:t>
      </w:r>
      <w:r>
        <w:rPr>
          <w:sz w:val="18"/>
          <w:szCs w:val="18"/>
        </w:rPr>
        <w:t xml:space="preserve"> and </w:t>
      </w:r>
      <w:r>
        <w:rPr>
          <w:rFonts w:hint="eastAsia"/>
          <w:bCs/>
          <w:color w:val="auto"/>
          <w:sz w:val="18"/>
          <w:szCs w:val="18"/>
        </w:rPr>
        <w:t xml:space="preserve">SVZ 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involvement</w:t>
      </w:r>
      <w:r>
        <w:rPr>
          <w:sz w:val="18"/>
          <w:szCs w:val="18"/>
        </w:rPr>
        <w:t xml:space="preserve">; </w:t>
      </w:r>
      <w:r>
        <w:rPr>
          <w:rFonts w:eastAsiaTheme="majorEastAsia"/>
          <w:sz w:val="18"/>
          <w:szCs w:val="18"/>
        </w:rPr>
        <w:t>FLAIR value</w:t>
      </w:r>
      <w:r>
        <w:rPr>
          <w:rFonts w:hint="eastAsia"/>
          <w:sz w:val="18"/>
          <w:szCs w:val="18"/>
        </w:rPr>
        <w:t xml:space="preserve">, </w:t>
      </w:r>
      <w:r>
        <w:rPr>
          <w:sz w:val="18"/>
          <w:szCs w:val="18"/>
        </w:rPr>
        <w:t xml:space="preserve">including </w:t>
      </w:r>
      <w:r>
        <w:rPr>
          <w:rFonts w:hint="eastAsia"/>
          <w:sz w:val="18"/>
          <w:szCs w:val="18"/>
        </w:rPr>
        <w:t xml:space="preserve">UR sd, UR median, UR max, UR mean, UR min,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sd,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median,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mean,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max,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min,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+UR ratio, UR ratio, </w:t>
      </w:r>
      <w:r>
        <w:rPr>
          <w:rFonts w:hint="eastAsia"/>
          <w:sz w:val="18"/>
          <w:szCs w:val="18"/>
          <w:lang w:eastAsia="zh-CN" w:bidi="ar"/>
        </w:rPr>
        <w:t>ER</w:t>
      </w:r>
      <w:r>
        <w:rPr>
          <w:rFonts w:hint="eastAsia"/>
          <w:sz w:val="18"/>
          <w:szCs w:val="18"/>
        </w:rPr>
        <w:t xml:space="preserve"> ratio and all ratio</w:t>
      </w:r>
    </w:p>
    <w:p>
      <w:pPr>
        <w:rPr>
          <w:sz w:val="18"/>
          <w:szCs w:val="18"/>
          <w:lang w:bidi="ar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CA148E"/>
    <w:rsid w:val="000443AF"/>
    <w:rsid w:val="000D2C3F"/>
    <w:rsid w:val="00144934"/>
    <w:rsid w:val="00147D9B"/>
    <w:rsid w:val="00183B64"/>
    <w:rsid w:val="001C45FC"/>
    <w:rsid w:val="002D6926"/>
    <w:rsid w:val="003658A8"/>
    <w:rsid w:val="0045787A"/>
    <w:rsid w:val="004E696D"/>
    <w:rsid w:val="00767DF5"/>
    <w:rsid w:val="007D3B3B"/>
    <w:rsid w:val="007F39D2"/>
    <w:rsid w:val="008B2450"/>
    <w:rsid w:val="008D7F6D"/>
    <w:rsid w:val="009036F3"/>
    <w:rsid w:val="00AB5770"/>
    <w:rsid w:val="00B2322C"/>
    <w:rsid w:val="00B65EAE"/>
    <w:rsid w:val="00BE656F"/>
    <w:rsid w:val="00CA148E"/>
    <w:rsid w:val="00D15807"/>
    <w:rsid w:val="00E42730"/>
    <w:rsid w:val="00ED36B9"/>
    <w:rsid w:val="01DA5189"/>
    <w:rsid w:val="03495937"/>
    <w:rsid w:val="03DC50F5"/>
    <w:rsid w:val="03F07987"/>
    <w:rsid w:val="048E782E"/>
    <w:rsid w:val="0567507A"/>
    <w:rsid w:val="07F94C6F"/>
    <w:rsid w:val="09220224"/>
    <w:rsid w:val="11FA3CE9"/>
    <w:rsid w:val="13C147C1"/>
    <w:rsid w:val="1850653D"/>
    <w:rsid w:val="1A0659AD"/>
    <w:rsid w:val="1ABA73C3"/>
    <w:rsid w:val="1B4B2EB9"/>
    <w:rsid w:val="2374078C"/>
    <w:rsid w:val="23A4464D"/>
    <w:rsid w:val="260B549C"/>
    <w:rsid w:val="31B85448"/>
    <w:rsid w:val="34F7295E"/>
    <w:rsid w:val="3A46186A"/>
    <w:rsid w:val="3F4F544C"/>
    <w:rsid w:val="40BB2DA2"/>
    <w:rsid w:val="41EC1DCD"/>
    <w:rsid w:val="41FE0DFC"/>
    <w:rsid w:val="425A375E"/>
    <w:rsid w:val="486806A9"/>
    <w:rsid w:val="49E97640"/>
    <w:rsid w:val="4B663FF3"/>
    <w:rsid w:val="4E34118D"/>
    <w:rsid w:val="4E6A6963"/>
    <w:rsid w:val="51147949"/>
    <w:rsid w:val="534477F1"/>
    <w:rsid w:val="53597EBA"/>
    <w:rsid w:val="56625829"/>
    <w:rsid w:val="566D134A"/>
    <w:rsid w:val="56EE1B4A"/>
    <w:rsid w:val="572B1843"/>
    <w:rsid w:val="595E27CE"/>
    <w:rsid w:val="5B292A2C"/>
    <w:rsid w:val="5DC45AF5"/>
    <w:rsid w:val="680C4639"/>
    <w:rsid w:val="69E52FB4"/>
    <w:rsid w:val="6CBF5E13"/>
    <w:rsid w:val="6D623512"/>
    <w:rsid w:val="6DBD696C"/>
    <w:rsid w:val="6DFD15B1"/>
    <w:rsid w:val="6F4A1800"/>
    <w:rsid w:val="70E90A29"/>
    <w:rsid w:val="715547E5"/>
    <w:rsid w:val="71993F0D"/>
    <w:rsid w:val="74C57072"/>
    <w:rsid w:val="7AFD25D0"/>
    <w:rsid w:val="7F210D97"/>
    <w:rsid w:val="7FF1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80" w:lineRule="exact"/>
      <w:jc w:val="both"/>
    </w:pPr>
    <w:rPr>
      <w:rFonts w:ascii="Times New Roman" w:hAnsi="Times New Roman" w:eastAsia="宋体" w:cs="Times New Roman"/>
      <w:snapToGrid w:val="0"/>
      <w:color w:val="000000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0缩进正文"/>
    <w:basedOn w:val="1"/>
    <w:autoRedefine/>
    <w:qFormat/>
    <w:uiPriority w:val="0"/>
    <w:pPr>
      <w:adjustRightInd w:val="0"/>
      <w:snapToGrid w:val="0"/>
      <w:spacing w:line="440" w:lineRule="exact"/>
      <w:ind w:firstLine="360" w:firstLineChars="200"/>
    </w:pPr>
    <w:rPr>
      <w:kern w:val="0"/>
      <w:sz w:val="18"/>
      <w:szCs w:val="18"/>
    </w:rPr>
  </w:style>
  <w:style w:type="character" w:customStyle="1" w:styleId="8">
    <w:name w:val="页眉 字符"/>
    <w:basedOn w:val="6"/>
    <w:link w:val="3"/>
    <w:autoRedefine/>
    <w:qFormat/>
    <w:uiPriority w:val="0"/>
    <w:rPr>
      <w:snapToGrid w:val="0"/>
      <w:color w:val="000000"/>
      <w:kern w:val="2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0"/>
    <w:rPr>
      <w:snapToGrid w:val="0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283</Words>
  <Characters>1426</Characters>
  <Lines>43</Lines>
  <Paragraphs>12</Paragraphs>
  <TotalTime>0</TotalTime>
  <ScaleCrop>false</ScaleCrop>
  <LinksUpToDate>false</LinksUpToDate>
  <CharactersWithSpaces>1774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2024-01-08T02:41:00Z</dcterms:created>
  <dc:creator>57710</dc:creator>
  <cp:lastModifiedBy>高丽娟</cp:lastModifiedBy>
  <dcterms:modified xsi:type="dcterms:W3CDTF">2024-06-05T06:25:23Z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A0769AF462884DEE8341901DBADC2F3D_13</vt:lpwstr>
  </property>
</Properties>
</file>