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vsdx" ContentType="application/vnd.ms-visio.drawi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872ABD" w14:textId="785653E5" w:rsidR="00B337A6" w:rsidRDefault="00B337A6" w:rsidP="00B337A6">
      <w:pPr>
        <w:pStyle w:val="1"/>
        <w:jc w:val="center"/>
        <w:rPr>
          <w:rFonts w:ascii="Times New Roman" w:hAnsi="Times New Roman" w:cs="Times New Roman"/>
          <w:b w:val="0"/>
          <w:bCs w:val="0"/>
          <w:sz w:val="52"/>
          <w:szCs w:val="52"/>
        </w:rPr>
      </w:pPr>
      <w:r w:rsidRPr="00BA0FEB">
        <w:rPr>
          <w:rFonts w:ascii="Times New Roman" w:hAnsi="Times New Roman" w:cs="Times New Roman"/>
          <w:b w:val="0"/>
          <w:bCs w:val="0"/>
          <w:sz w:val="52"/>
          <w:szCs w:val="52"/>
        </w:rPr>
        <w:t>Supplementary Information</w:t>
      </w:r>
    </w:p>
    <w:p w14:paraId="22DD78EC" w14:textId="77777777" w:rsidR="00D328B0" w:rsidRPr="00D328B0" w:rsidRDefault="00D328B0" w:rsidP="00D328B0">
      <w:pPr>
        <w:rPr>
          <w:lang w:val="en-GB" w:eastAsia="en-US"/>
        </w:rPr>
      </w:pPr>
    </w:p>
    <w:p w14:paraId="328BD1BD" w14:textId="77777777" w:rsidR="0039586D" w:rsidRDefault="0039586D" w:rsidP="00B337A6">
      <w:pPr>
        <w:spacing w:line="288" w:lineRule="auto"/>
        <w:ind w:firstLine="420"/>
        <w:jc w:val="center"/>
        <w:rPr>
          <w:sz w:val="32"/>
          <w:szCs w:val="36"/>
        </w:rPr>
      </w:pPr>
      <w:r w:rsidRPr="0039586D">
        <w:rPr>
          <w:sz w:val="32"/>
          <w:szCs w:val="36"/>
        </w:rPr>
        <w:t>Reducing exposure to COVID-19 by improving access to fever clinics: An empirical research of the Shenzhen area of China</w:t>
      </w:r>
      <w:r w:rsidRPr="0039586D">
        <w:rPr>
          <w:sz w:val="32"/>
          <w:szCs w:val="36"/>
        </w:rPr>
        <w:t xml:space="preserve"> </w:t>
      </w:r>
    </w:p>
    <w:p w14:paraId="2A65E9D2" w14:textId="77777777" w:rsidR="0039586D" w:rsidRDefault="0039586D" w:rsidP="00B337A6">
      <w:pPr>
        <w:spacing w:line="288" w:lineRule="auto"/>
        <w:ind w:firstLine="420"/>
        <w:jc w:val="center"/>
        <w:rPr>
          <w:sz w:val="32"/>
          <w:szCs w:val="36"/>
        </w:rPr>
      </w:pPr>
    </w:p>
    <w:p w14:paraId="3B21756C" w14:textId="15DADFF4" w:rsidR="00BD243B" w:rsidRPr="00BD243B" w:rsidRDefault="00BD243B" w:rsidP="00BD243B">
      <w:pPr>
        <w:spacing w:beforeLines="50" w:before="120" w:line="360" w:lineRule="auto"/>
        <w:ind w:firstLine="420"/>
        <w:jc w:val="center"/>
        <w:rPr>
          <w:rFonts w:ascii="Times New Roman" w:hAnsi="Times New Roman" w:cs="Times New Roman"/>
          <w:sz w:val="24"/>
          <w:szCs w:val="28"/>
        </w:rPr>
      </w:pPr>
      <w:r w:rsidRPr="00BD243B">
        <w:rPr>
          <w:rFonts w:ascii="Times New Roman" w:hAnsi="Times New Roman" w:cs="Times New Roman"/>
          <w:b/>
          <w:bCs/>
          <w:sz w:val="28"/>
          <w:szCs w:val="32"/>
        </w:rPr>
        <w:t>Data source:</w:t>
      </w:r>
      <w:r w:rsidRPr="00BD243B">
        <w:rPr>
          <w:rFonts w:ascii="Times New Roman" w:hAnsi="Times New Roman" w:cs="Times New Roman"/>
          <w:sz w:val="28"/>
          <w:szCs w:val="32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>P</w:t>
      </w:r>
      <w:r w:rsidRPr="00BD243B">
        <w:rPr>
          <w:rFonts w:ascii="Times New Roman" w:hAnsi="Times New Roman" w:cs="Times New Roman"/>
          <w:sz w:val="24"/>
          <w:szCs w:val="28"/>
        </w:rPr>
        <w:t>ublicly available at the Shenzhen Municipal Health Commission(</w:t>
      </w:r>
      <w:hyperlink r:id="rId6" w:history="1">
        <w:r w:rsidRPr="00BD243B">
          <w:rPr>
            <w:rStyle w:val="a8"/>
            <w:rFonts w:ascii="Times New Roman" w:hAnsi="Times New Roman" w:cs="Times New Roman"/>
            <w:sz w:val="24"/>
            <w:szCs w:val="28"/>
          </w:rPr>
          <w:t>http://wjw.sz.gov.cn/</w:t>
        </w:r>
      </w:hyperlink>
      <w:r w:rsidRPr="00BD243B">
        <w:rPr>
          <w:rFonts w:ascii="Times New Roman" w:hAnsi="Times New Roman" w:cs="Times New Roman"/>
          <w:sz w:val="24"/>
          <w:szCs w:val="28"/>
        </w:rPr>
        <w:t>)</w:t>
      </w:r>
    </w:p>
    <w:p w14:paraId="71B75E3F" w14:textId="543C9C89" w:rsidR="00B337A6" w:rsidRDefault="00B337A6" w:rsidP="00B337A6">
      <w:pPr>
        <w:spacing w:line="312" w:lineRule="auto"/>
        <w:jc w:val="center"/>
      </w:pPr>
      <w:r w:rsidRPr="00043171">
        <w:rPr>
          <w:noProof/>
        </w:rPr>
        <w:drawing>
          <wp:inline distT="0" distB="0" distL="0" distR="0" wp14:anchorId="7B6BF807" wp14:editId="2C36FAB4">
            <wp:extent cx="5211445" cy="2863850"/>
            <wp:effectExtent l="0" t="0" r="8255" b="0"/>
            <wp:docPr id="3" name="图表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22A78F39" w14:textId="77777777" w:rsidR="00B337A6" w:rsidRPr="005A718C" w:rsidRDefault="00B337A6" w:rsidP="00B337A6">
      <w:pPr>
        <w:spacing w:line="312" w:lineRule="auto"/>
        <w:ind w:firstLine="420"/>
        <w:jc w:val="center"/>
        <w:rPr>
          <w:sz w:val="28"/>
          <w:szCs w:val="40"/>
        </w:rPr>
      </w:pPr>
      <w:bookmarkStart w:id="0" w:name="Figs1"/>
      <w:bookmarkEnd w:id="0"/>
      <w:r w:rsidRPr="005A718C">
        <w:rPr>
          <w:b/>
          <w:bCs/>
          <w:sz w:val="28"/>
          <w:szCs w:val="40"/>
        </w:rPr>
        <w:t xml:space="preserve">Supplementary Fig.S1. </w:t>
      </w:r>
      <w:r w:rsidRPr="005A718C">
        <w:rPr>
          <w:sz w:val="28"/>
          <w:szCs w:val="40"/>
        </w:rPr>
        <w:t>Daily changes in confirmed cases of "COVID-9" in Shenzhen as of February 29,2020</w:t>
      </w:r>
    </w:p>
    <w:p w14:paraId="38437A28" w14:textId="03128AD8" w:rsidR="00B337A6" w:rsidRDefault="00B337A6" w:rsidP="00B337A6">
      <w:pPr>
        <w:spacing w:line="312" w:lineRule="auto"/>
        <w:ind w:firstLine="420"/>
        <w:jc w:val="center"/>
        <w:rPr>
          <w:b/>
          <w:bCs/>
        </w:rPr>
      </w:pPr>
      <w:r w:rsidRPr="00043171">
        <w:rPr>
          <w:noProof/>
        </w:rPr>
        <w:drawing>
          <wp:inline distT="0" distB="0" distL="0" distR="0" wp14:anchorId="781712D6" wp14:editId="4061CD6C">
            <wp:extent cx="4563745" cy="2316480"/>
            <wp:effectExtent l="0" t="0" r="8255" b="7620"/>
            <wp:docPr id="2" name="图表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  <w:bookmarkStart w:id="1" w:name="Figs2"/>
      <w:bookmarkEnd w:id="1"/>
    </w:p>
    <w:p w14:paraId="0FB2158B" w14:textId="77777777" w:rsidR="00B337A6" w:rsidRPr="005A718C" w:rsidRDefault="00B337A6" w:rsidP="00B337A6">
      <w:pPr>
        <w:spacing w:line="312" w:lineRule="auto"/>
        <w:ind w:firstLine="420"/>
        <w:jc w:val="center"/>
        <w:rPr>
          <w:b/>
          <w:bCs/>
          <w:szCs w:val="36"/>
        </w:rPr>
      </w:pPr>
      <w:r w:rsidRPr="005A718C">
        <w:rPr>
          <w:b/>
          <w:bCs/>
          <w:szCs w:val="36"/>
        </w:rPr>
        <w:t xml:space="preserve">Supplementary </w:t>
      </w:r>
      <w:r w:rsidRPr="005A718C">
        <w:rPr>
          <w:rFonts w:hint="eastAsia"/>
          <w:b/>
          <w:bCs/>
          <w:szCs w:val="36"/>
        </w:rPr>
        <w:t>Fig</w:t>
      </w:r>
      <w:r w:rsidRPr="005A718C">
        <w:rPr>
          <w:b/>
          <w:bCs/>
          <w:szCs w:val="36"/>
        </w:rPr>
        <w:t>.S2</w:t>
      </w:r>
      <w:r w:rsidRPr="005A718C">
        <w:rPr>
          <w:rFonts w:hint="eastAsia"/>
          <w:b/>
          <w:bCs/>
          <w:szCs w:val="36"/>
        </w:rPr>
        <w:t>.</w:t>
      </w:r>
      <w:r w:rsidRPr="005A718C">
        <w:rPr>
          <w:rFonts w:hint="eastAsia"/>
          <w:szCs w:val="36"/>
        </w:rPr>
        <w:t xml:space="preserve"> The number of ECs,</w:t>
      </w:r>
      <w:r w:rsidRPr="005A718C">
        <w:rPr>
          <w:szCs w:val="36"/>
        </w:rPr>
        <w:t xml:space="preserve"> </w:t>
      </w:r>
      <w:r w:rsidRPr="005A718C">
        <w:rPr>
          <w:rFonts w:hint="eastAsia"/>
          <w:szCs w:val="36"/>
        </w:rPr>
        <w:t xml:space="preserve">confirmed </w:t>
      </w:r>
      <w:r w:rsidRPr="005A718C">
        <w:rPr>
          <w:szCs w:val="36"/>
        </w:rPr>
        <w:t xml:space="preserve">cases and </w:t>
      </w:r>
      <w:r w:rsidRPr="005A718C">
        <w:rPr>
          <w:rFonts w:hint="eastAsia"/>
          <w:szCs w:val="36"/>
        </w:rPr>
        <w:t>available beds in Shenzhen as of February 7, 2020.</w:t>
      </w:r>
      <w:r w:rsidRPr="005A718C">
        <w:rPr>
          <w:szCs w:val="36"/>
        </w:rPr>
        <w:t xml:space="preserve"> </w:t>
      </w:r>
    </w:p>
    <w:p w14:paraId="6969F6DB" w14:textId="7947CE5D" w:rsidR="00B337A6" w:rsidRDefault="00B337A6" w:rsidP="00B337A6">
      <w:pPr>
        <w:spacing w:line="360" w:lineRule="auto"/>
        <w:jc w:val="center"/>
        <w:rPr>
          <w:b/>
          <w:bCs/>
        </w:rPr>
      </w:pPr>
      <w:r w:rsidRPr="00043171">
        <w:rPr>
          <w:noProof/>
        </w:rPr>
        <w:lastRenderedPageBreak/>
        <w:drawing>
          <wp:inline distT="0" distB="0" distL="0" distR="0" wp14:anchorId="283A83F8" wp14:editId="67C7DBCA">
            <wp:extent cx="5013960" cy="2545080"/>
            <wp:effectExtent l="19050" t="19050" r="15240" b="266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3960" cy="2545080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D9D9D9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21302F17" w14:textId="77777777" w:rsidR="00B337A6" w:rsidRPr="005A718C" w:rsidRDefault="00B337A6" w:rsidP="00B337A6">
      <w:pPr>
        <w:spacing w:beforeLines="100" w:before="240" w:afterLines="100" w:after="240" w:line="360" w:lineRule="auto"/>
        <w:jc w:val="center"/>
        <w:rPr>
          <w:szCs w:val="28"/>
        </w:rPr>
      </w:pPr>
      <w:bookmarkStart w:id="2" w:name="Figs3"/>
      <w:bookmarkEnd w:id="2"/>
      <w:r w:rsidRPr="005A718C">
        <w:rPr>
          <w:b/>
          <w:bCs/>
          <w:szCs w:val="28"/>
        </w:rPr>
        <w:t xml:space="preserve">Supplementary </w:t>
      </w:r>
      <w:r w:rsidRPr="005A718C">
        <w:rPr>
          <w:rFonts w:hint="eastAsia"/>
          <w:b/>
          <w:bCs/>
          <w:szCs w:val="28"/>
        </w:rPr>
        <w:t>Fig.</w:t>
      </w:r>
      <w:r w:rsidRPr="005A718C">
        <w:rPr>
          <w:b/>
          <w:bCs/>
          <w:szCs w:val="28"/>
        </w:rPr>
        <w:t>S3</w:t>
      </w:r>
      <w:r w:rsidRPr="005A718C">
        <w:rPr>
          <w:rFonts w:hint="eastAsia"/>
          <w:b/>
          <w:bCs/>
          <w:szCs w:val="28"/>
        </w:rPr>
        <w:t>.</w:t>
      </w:r>
      <w:r w:rsidRPr="005A718C">
        <w:rPr>
          <w:rFonts w:hint="eastAsia"/>
          <w:szCs w:val="28"/>
        </w:rPr>
        <w:t xml:space="preserve"> The spatial distribution of ECs</w:t>
      </w:r>
      <w:r w:rsidRPr="005A718C">
        <w:rPr>
          <w:szCs w:val="28"/>
        </w:rPr>
        <w:t xml:space="preserve"> and </w:t>
      </w:r>
      <w:r w:rsidRPr="005A718C">
        <w:rPr>
          <w:rFonts w:hint="eastAsia"/>
          <w:szCs w:val="28"/>
        </w:rPr>
        <w:t>FCs as of February 7, 2020.</w:t>
      </w:r>
    </w:p>
    <w:p w14:paraId="508B3EAD" w14:textId="77777777" w:rsidR="00B337A6" w:rsidRPr="00BA0F1A" w:rsidRDefault="00B337A6" w:rsidP="00B337A6">
      <w:pPr>
        <w:spacing w:beforeLines="100" w:before="240" w:afterLines="100" w:after="240" w:line="360" w:lineRule="auto"/>
        <w:jc w:val="center"/>
        <w:rPr>
          <w:sz w:val="32"/>
          <w:szCs w:val="36"/>
        </w:rPr>
      </w:pPr>
    </w:p>
    <w:p w14:paraId="08F04AF8" w14:textId="77777777" w:rsidR="00B337A6" w:rsidRDefault="00B337A6" w:rsidP="00B337A6">
      <w:pPr>
        <w:tabs>
          <w:tab w:val="center" w:pos="4153"/>
          <w:tab w:val="left" w:pos="6415"/>
        </w:tabs>
        <w:spacing w:line="360" w:lineRule="auto"/>
        <w:jc w:val="center"/>
        <w:rPr>
          <w:sz w:val="20"/>
          <w:szCs w:val="21"/>
        </w:rPr>
      </w:pPr>
      <w:r>
        <w:rPr>
          <w:sz w:val="20"/>
          <w:szCs w:val="21"/>
        </w:rPr>
        <w:object w:dxaOrig="8088" w:dyaOrig="4369" w14:anchorId="67E58E0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05pt;height:216.6pt" o:ole="">
            <v:imagedata r:id="rId10" o:title=""/>
          </v:shape>
          <o:OLEObject Type="Embed" ProgID="Visio.Drawing.15" ShapeID="_x0000_i1025" DrawAspect="Content" ObjectID="_1681326526" r:id="rId11"/>
        </w:object>
      </w:r>
    </w:p>
    <w:p w14:paraId="0578B096" w14:textId="77777777" w:rsidR="00B337A6" w:rsidRPr="005A718C" w:rsidRDefault="00B337A6" w:rsidP="00B337A6">
      <w:pPr>
        <w:tabs>
          <w:tab w:val="center" w:pos="4153"/>
          <w:tab w:val="left" w:pos="6415"/>
        </w:tabs>
        <w:jc w:val="center"/>
        <w:rPr>
          <w:szCs w:val="28"/>
        </w:rPr>
      </w:pPr>
      <w:bookmarkStart w:id="3" w:name="S4"/>
      <w:bookmarkStart w:id="4" w:name="Figs4"/>
      <w:bookmarkEnd w:id="3"/>
      <w:bookmarkEnd w:id="4"/>
      <w:r w:rsidRPr="005A718C">
        <w:rPr>
          <w:b/>
          <w:bCs/>
          <w:szCs w:val="28"/>
        </w:rPr>
        <w:t>Supplementary F</w:t>
      </w:r>
      <w:r w:rsidRPr="005A718C">
        <w:rPr>
          <w:rFonts w:hint="eastAsia"/>
          <w:b/>
          <w:bCs/>
          <w:szCs w:val="28"/>
        </w:rPr>
        <w:t>ig</w:t>
      </w:r>
      <w:r w:rsidRPr="005A718C">
        <w:rPr>
          <w:b/>
          <w:bCs/>
          <w:szCs w:val="28"/>
        </w:rPr>
        <w:t>.S4</w:t>
      </w:r>
      <w:r w:rsidRPr="005A718C">
        <w:rPr>
          <w:rFonts w:hint="eastAsia"/>
          <w:b/>
          <w:bCs/>
          <w:szCs w:val="28"/>
        </w:rPr>
        <w:t>.</w:t>
      </w:r>
      <w:r w:rsidRPr="005A718C">
        <w:rPr>
          <w:b/>
          <w:bCs/>
          <w:sz w:val="36"/>
          <w:szCs w:val="36"/>
        </w:rPr>
        <w:t xml:space="preserve"> </w:t>
      </w:r>
      <w:r w:rsidRPr="005A718C">
        <w:rPr>
          <w:szCs w:val="28"/>
        </w:rPr>
        <w:t>Baidu navigation data acquisition and process flow chart</w:t>
      </w:r>
    </w:p>
    <w:p w14:paraId="6A1C4494" w14:textId="77777777" w:rsidR="00EF0DE9" w:rsidRPr="00B337A6" w:rsidRDefault="00EF0DE9"/>
    <w:sectPr w:rsidR="00EF0DE9" w:rsidRPr="00B337A6" w:rsidSect="00C41E94">
      <w:footerReference w:type="default" r:id="rId12"/>
      <w:pgSz w:w="11906" w:h="16838"/>
      <w:pgMar w:top="1440" w:right="1800" w:bottom="1440" w:left="1800" w:header="708" w:footer="708" w:gutter="0"/>
      <w:lnNumType w:countBy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420DB3" w14:textId="77777777" w:rsidR="006C3F74" w:rsidRDefault="006C3F74" w:rsidP="00B337A6">
      <w:r>
        <w:separator/>
      </w:r>
    </w:p>
  </w:endnote>
  <w:endnote w:type="continuationSeparator" w:id="0">
    <w:p w14:paraId="48B28B16" w14:textId="77777777" w:rsidR="006C3F74" w:rsidRDefault="006C3F74" w:rsidP="00B337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1B2F95" w14:textId="77777777" w:rsidR="00C41E94" w:rsidRDefault="00291670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3</w:t>
    </w:r>
    <w:r>
      <w:rPr>
        <w:noProof/>
      </w:rPr>
      <w:fldChar w:fldCharType="end"/>
    </w:r>
  </w:p>
  <w:p w14:paraId="67FD065F" w14:textId="77777777" w:rsidR="00E018F6" w:rsidRDefault="006C3F7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614F48" w14:textId="77777777" w:rsidR="006C3F74" w:rsidRDefault="006C3F74" w:rsidP="00B337A6">
      <w:r>
        <w:separator/>
      </w:r>
    </w:p>
  </w:footnote>
  <w:footnote w:type="continuationSeparator" w:id="0">
    <w:p w14:paraId="3B73804E" w14:textId="77777777" w:rsidR="006C3F74" w:rsidRDefault="006C3F74" w:rsidP="00B337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GwNDI3M7IwMzQyNDNR0lEKTi0uzszPAykwqgUAJZtWASwAAAA="/>
  </w:docVars>
  <w:rsids>
    <w:rsidRoot w:val="007F1A3A"/>
    <w:rsid w:val="00011402"/>
    <w:rsid w:val="00290EC2"/>
    <w:rsid w:val="00291670"/>
    <w:rsid w:val="0039586D"/>
    <w:rsid w:val="006C3F74"/>
    <w:rsid w:val="007F1A3A"/>
    <w:rsid w:val="00B337A6"/>
    <w:rsid w:val="00BD243B"/>
    <w:rsid w:val="00D328B0"/>
    <w:rsid w:val="00E16909"/>
    <w:rsid w:val="00EB285D"/>
    <w:rsid w:val="00EF0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BC5EC4A"/>
  <w14:defaultImageDpi w14:val="32767"/>
  <w15:docId w15:val="{3472F92F-EAA2-4938-9ADD-83C3D63DA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337A6"/>
    <w:pPr>
      <w:keepNext/>
      <w:widowControl/>
      <w:spacing w:before="240" w:after="60"/>
      <w:jc w:val="left"/>
      <w:outlineLvl w:val="0"/>
    </w:pPr>
    <w:rPr>
      <w:rFonts w:ascii="Arial" w:eastAsia="等线" w:hAnsi="Arial" w:cs="Arial"/>
      <w:b/>
      <w:bCs/>
      <w:kern w:val="32"/>
      <w:sz w:val="32"/>
      <w:szCs w:val="32"/>
      <w:lang w:val="en-GB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37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337A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337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337A6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B337A6"/>
    <w:rPr>
      <w:rFonts w:ascii="Arial" w:eastAsia="等线" w:hAnsi="Arial" w:cs="Arial"/>
      <w:b/>
      <w:bCs/>
      <w:kern w:val="32"/>
      <w:sz w:val="32"/>
      <w:szCs w:val="32"/>
      <w:lang w:val="en-GB" w:eastAsia="en-US"/>
    </w:rPr>
  </w:style>
  <w:style w:type="character" w:styleId="a7">
    <w:name w:val="line number"/>
    <w:basedOn w:val="a0"/>
    <w:uiPriority w:val="99"/>
    <w:semiHidden/>
    <w:unhideWhenUsed/>
    <w:rsid w:val="00B337A6"/>
  </w:style>
  <w:style w:type="character" w:styleId="a8">
    <w:name w:val="Hyperlink"/>
    <w:basedOn w:val="a0"/>
    <w:uiPriority w:val="99"/>
    <w:unhideWhenUsed/>
    <w:rsid w:val="00BD243B"/>
    <w:rPr>
      <w:color w:val="0000FF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BD24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chart" Target="charts/chart1.xml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jw.sz.gov.cn/" TargetMode="External"/><Relationship Id="rId11" Type="http://schemas.openxmlformats.org/officeDocument/2006/relationships/package" Target="embeddings/Microsoft_Visio_Drawing.vsdx"/><Relationship Id="rId5" Type="http://schemas.openxmlformats.org/officeDocument/2006/relationships/endnotes" Target="endnotes.xml"/><Relationship Id="rId10" Type="http://schemas.openxmlformats.org/officeDocument/2006/relationships/image" Target="media/image2.emf"/><Relationship Id="rId4" Type="http://schemas.openxmlformats.org/officeDocument/2006/relationships/footnotes" Target="footnote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oleObject" Target="file:///C:\&#23398;&#20064;\&#20316;&#19994;\&#30740;&#31350;&#29983;&#35770;&#25991;\&#27605;&#19994;&#35770;&#25991;\&#21069;&#26399;&#20934;&#22791;\&#32954;&#28814;\6&#31295;\&#28145;&#22323;&#32047;&#35745;&#30830;&#35786;&#20154;&#25968;.xlsx" TargetMode="External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oleObject" Target="file:///C:\&#23398;&#20064;\&#20316;&#19994;\&#30740;&#31350;&#29983;&#35770;&#25991;\&#27605;&#19994;&#35770;&#25991;\&#21069;&#26399;&#20934;&#22791;\&#32954;&#28814;\&#24191;&#19996;\&#30123;&#24773;.xlsx" TargetMode="External"/><Relationship Id="rId1" Type="http://schemas.openxmlformats.org/officeDocument/2006/relationships/themeOverride" Target="../theme/themeOverrid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0421341204335681"/>
          <c:y val="2.8021714129606211E-2"/>
          <c:w val="0.86880316768670274"/>
          <c:h val="0.89195128619264874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Sheet1!$A$3</c:f>
              <c:strCache>
                <c:ptCount val="1"/>
                <c:pt idx="0">
                  <c:v>Daily confirmed cases</c:v>
                </c:pt>
              </c:strCache>
            </c:strRef>
          </c:tx>
          <c:spPr>
            <a:solidFill>
              <a:srgbClr val="43CEFF"/>
            </a:solidFill>
            <a:ln>
              <a:noFill/>
            </a:ln>
            <a:effectLst/>
          </c:spPr>
          <c:invertIfNegative val="0"/>
          <c:cat>
            <c:strRef>
              <c:f>Sheet1!$B$2:$AQ$2</c:f>
              <c:strCache>
                <c:ptCount val="42"/>
                <c:pt idx="0">
                  <c:v>1.19</c:v>
                </c:pt>
                <c:pt idx="1">
                  <c:v>1.20</c:v>
                </c:pt>
                <c:pt idx="2">
                  <c:v>1.21</c:v>
                </c:pt>
                <c:pt idx="3">
                  <c:v>1.22</c:v>
                </c:pt>
                <c:pt idx="4">
                  <c:v>1.23</c:v>
                </c:pt>
                <c:pt idx="5">
                  <c:v>1.24</c:v>
                </c:pt>
                <c:pt idx="6">
                  <c:v>1.25</c:v>
                </c:pt>
                <c:pt idx="7">
                  <c:v>1.26</c:v>
                </c:pt>
                <c:pt idx="8">
                  <c:v>1.27</c:v>
                </c:pt>
                <c:pt idx="9">
                  <c:v>1.28</c:v>
                </c:pt>
                <c:pt idx="10">
                  <c:v>1.29</c:v>
                </c:pt>
                <c:pt idx="11">
                  <c:v>1.30</c:v>
                </c:pt>
                <c:pt idx="12">
                  <c:v>1.31</c:v>
                </c:pt>
                <c:pt idx="13">
                  <c:v>2.1</c:v>
                </c:pt>
                <c:pt idx="14">
                  <c:v>2.2</c:v>
                </c:pt>
                <c:pt idx="15">
                  <c:v>2.3</c:v>
                </c:pt>
                <c:pt idx="16">
                  <c:v>2.4</c:v>
                </c:pt>
                <c:pt idx="17">
                  <c:v>2.5</c:v>
                </c:pt>
                <c:pt idx="18">
                  <c:v>2.6</c:v>
                </c:pt>
                <c:pt idx="19">
                  <c:v>2.7</c:v>
                </c:pt>
                <c:pt idx="20">
                  <c:v>2.8</c:v>
                </c:pt>
                <c:pt idx="21">
                  <c:v>2.9</c:v>
                </c:pt>
                <c:pt idx="22">
                  <c:v>2.10</c:v>
                </c:pt>
                <c:pt idx="23">
                  <c:v>2.11</c:v>
                </c:pt>
                <c:pt idx="24">
                  <c:v>2.12</c:v>
                </c:pt>
                <c:pt idx="25">
                  <c:v>2.13</c:v>
                </c:pt>
                <c:pt idx="26">
                  <c:v>2.14</c:v>
                </c:pt>
                <c:pt idx="27">
                  <c:v>2.15</c:v>
                </c:pt>
                <c:pt idx="28">
                  <c:v>2.16</c:v>
                </c:pt>
                <c:pt idx="29">
                  <c:v>2.17</c:v>
                </c:pt>
                <c:pt idx="30">
                  <c:v>2.18</c:v>
                </c:pt>
                <c:pt idx="31">
                  <c:v>2.19</c:v>
                </c:pt>
                <c:pt idx="32">
                  <c:v>2.20</c:v>
                </c:pt>
                <c:pt idx="33">
                  <c:v>2.21</c:v>
                </c:pt>
                <c:pt idx="34">
                  <c:v>2.22</c:v>
                </c:pt>
                <c:pt idx="35">
                  <c:v>2.23</c:v>
                </c:pt>
                <c:pt idx="36">
                  <c:v>2.24</c:v>
                </c:pt>
                <c:pt idx="37">
                  <c:v>2.25</c:v>
                </c:pt>
                <c:pt idx="38">
                  <c:v>2.26</c:v>
                </c:pt>
                <c:pt idx="39">
                  <c:v>2.27</c:v>
                </c:pt>
                <c:pt idx="40">
                  <c:v>2.28</c:v>
                </c:pt>
                <c:pt idx="41">
                  <c:v>2.29</c:v>
                </c:pt>
              </c:strCache>
            </c:strRef>
          </c:cat>
          <c:val>
            <c:numRef>
              <c:f>Sheet1!$B$3:$AQ$3</c:f>
              <c:numCache>
                <c:formatCode>General</c:formatCode>
                <c:ptCount val="42"/>
                <c:pt idx="0">
                  <c:v>1</c:v>
                </c:pt>
                <c:pt idx="1">
                  <c:v>9</c:v>
                </c:pt>
                <c:pt idx="2">
                  <c:v>4</c:v>
                </c:pt>
                <c:pt idx="3">
                  <c:v>1</c:v>
                </c:pt>
                <c:pt idx="4">
                  <c:v>0</c:v>
                </c:pt>
                <c:pt idx="5">
                  <c:v>5</c:v>
                </c:pt>
                <c:pt idx="6">
                  <c:v>7</c:v>
                </c:pt>
                <c:pt idx="7">
                  <c:v>9</c:v>
                </c:pt>
                <c:pt idx="8">
                  <c:v>13</c:v>
                </c:pt>
                <c:pt idx="9">
                  <c:v>14</c:v>
                </c:pt>
                <c:pt idx="10">
                  <c:v>23</c:v>
                </c:pt>
                <c:pt idx="11">
                  <c:v>24</c:v>
                </c:pt>
                <c:pt idx="12">
                  <c:v>60</c:v>
                </c:pt>
                <c:pt idx="13">
                  <c:v>26</c:v>
                </c:pt>
                <c:pt idx="14">
                  <c:v>30</c:v>
                </c:pt>
                <c:pt idx="15">
                  <c:v>43</c:v>
                </c:pt>
                <c:pt idx="16">
                  <c:v>20</c:v>
                </c:pt>
                <c:pt idx="17">
                  <c:v>25</c:v>
                </c:pt>
                <c:pt idx="18">
                  <c:v>20</c:v>
                </c:pt>
                <c:pt idx="19">
                  <c:v>17</c:v>
                </c:pt>
                <c:pt idx="20">
                  <c:v>13</c:v>
                </c:pt>
                <c:pt idx="21">
                  <c:v>4</c:v>
                </c:pt>
                <c:pt idx="22">
                  <c:v>7</c:v>
                </c:pt>
                <c:pt idx="23">
                  <c:v>11</c:v>
                </c:pt>
                <c:pt idx="24">
                  <c:v>5</c:v>
                </c:pt>
                <c:pt idx="25">
                  <c:v>9</c:v>
                </c:pt>
                <c:pt idx="26">
                  <c:v>6</c:v>
                </c:pt>
                <c:pt idx="27">
                  <c:v>8</c:v>
                </c:pt>
                <c:pt idx="28">
                  <c:v>1</c:v>
                </c:pt>
                <c:pt idx="29">
                  <c:v>1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1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EC6-440A-B768-7B46A86AC92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50"/>
        <c:overlap val="-27"/>
        <c:axId val="485252096"/>
        <c:axId val="485253888"/>
      </c:barChart>
      <c:lineChart>
        <c:grouping val="standard"/>
        <c:varyColors val="0"/>
        <c:ser>
          <c:idx val="1"/>
          <c:order val="1"/>
          <c:tx>
            <c:strRef>
              <c:f>Sheet1!$A$4</c:f>
              <c:strCache>
                <c:ptCount val="1"/>
              </c:strCache>
            </c:strRef>
          </c:tx>
          <c:spPr>
            <a:ln w="6350" cap="rnd">
              <a:solidFill>
                <a:schemeClr val="accent6">
                  <a:lumMod val="75000"/>
                </a:schemeClr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chemeClr val="bg1"/>
              </a:solidFill>
              <a:ln w="9525">
                <a:solidFill>
                  <a:schemeClr val="accent6">
                    <a:lumMod val="75000"/>
                  </a:schemeClr>
                </a:solidFill>
              </a:ln>
              <a:effectLst/>
            </c:spPr>
          </c:marker>
          <c:dLbls>
            <c:dLbl>
              <c:idx val="12"/>
              <c:layout>
                <c:manualLayout>
                  <c:x val="-4.2777777777778291E-3"/>
                  <c:y val="2.3773089047849475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1EC6-440A-B768-7B46A86AC926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6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zh-CN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Sheet1!$B$2:$AQ$2</c:f>
              <c:strCache>
                <c:ptCount val="42"/>
                <c:pt idx="0">
                  <c:v>1.19</c:v>
                </c:pt>
                <c:pt idx="1">
                  <c:v>1.20</c:v>
                </c:pt>
                <c:pt idx="2">
                  <c:v>1.21</c:v>
                </c:pt>
                <c:pt idx="3">
                  <c:v>1.22</c:v>
                </c:pt>
                <c:pt idx="4">
                  <c:v>1.23</c:v>
                </c:pt>
                <c:pt idx="5">
                  <c:v>1.24</c:v>
                </c:pt>
                <c:pt idx="6">
                  <c:v>1.25</c:v>
                </c:pt>
                <c:pt idx="7">
                  <c:v>1.26</c:v>
                </c:pt>
                <c:pt idx="8">
                  <c:v>1.27</c:v>
                </c:pt>
                <c:pt idx="9">
                  <c:v>1.28</c:v>
                </c:pt>
                <c:pt idx="10">
                  <c:v>1.29</c:v>
                </c:pt>
                <c:pt idx="11">
                  <c:v>1.30</c:v>
                </c:pt>
                <c:pt idx="12">
                  <c:v>1.31</c:v>
                </c:pt>
                <c:pt idx="13">
                  <c:v>2.1</c:v>
                </c:pt>
                <c:pt idx="14">
                  <c:v>2.2</c:v>
                </c:pt>
                <c:pt idx="15">
                  <c:v>2.3</c:v>
                </c:pt>
                <c:pt idx="16">
                  <c:v>2.4</c:v>
                </c:pt>
                <c:pt idx="17">
                  <c:v>2.5</c:v>
                </c:pt>
                <c:pt idx="18">
                  <c:v>2.6</c:v>
                </c:pt>
                <c:pt idx="19">
                  <c:v>2.7</c:v>
                </c:pt>
                <c:pt idx="20">
                  <c:v>2.8</c:v>
                </c:pt>
                <c:pt idx="21">
                  <c:v>2.9</c:v>
                </c:pt>
                <c:pt idx="22">
                  <c:v>2.10</c:v>
                </c:pt>
                <c:pt idx="23">
                  <c:v>2.11</c:v>
                </c:pt>
                <c:pt idx="24">
                  <c:v>2.12</c:v>
                </c:pt>
                <c:pt idx="25">
                  <c:v>2.13</c:v>
                </c:pt>
                <c:pt idx="26">
                  <c:v>2.14</c:v>
                </c:pt>
                <c:pt idx="27">
                  <c:v>2.15</c:v>
                </c:pt>
                <c:pt idx="28">
                  <c:v>2.16</c:v>
                </c:pt>
                <c:pt idx="29">
                  <c:v>2.17</c:v>
                </c:pt>
                <c:pt idx="30">
                  <c:v>2.18</c:v>
                </c:pt>
                <c:pt idx="31">
                  <c:v>2.19</c:v>
                </c:pt>
                <c:pt idx="32">
                  <c:v>2.20</c:v>
                </c:pt>
                <c:pt idx="33">
                  <c:v>2.21</c:v>
                </c:pt>
                <c:pt idx="34">
                  <c:v>2.22</c:v>
                </c:pt>
                <c:pt idx="35">
                  <c:v>2.23</c:v>
                </c:pt>
                <c:pt idx="36">
                  <c:v>2.24</c:v>
                </c:pt>
                <c:pt idx="37">
                  <c:v>2.25</c:v>
                </c:pt>
                <c:pt idx="38">
                  <c:v>2.26</c:v>
                </c:pt>
                <c:pt idx="39">
                  <c:v>2.27</c:v>
                </c:pt>
                <c:pt idx="40">
                  <c:v>2.28</c:v>
                </c:pt>
                <c:pt idx="41">
                  <c:v>2.29</c:v>
                </c:pt>
              </c:strCache>
            </c:strRef>
          </c:cat>
          <c:val>
            <c:numRef>
              <c:f>Sheet1!$B$4:$AQ$4</c:f>
              <c:numCache>
                <c:formatCode>General</c:formatCode>
                <c:ptCount val="42"/>
                <c:pt idx="0">
                  <c:v>1</c:v>
                </c:pt>
                <c:pt idx="1">
                  <c:v>9</c:v>
                </c:pt>
                <c:pt idx="2">
                  <c:v>4</c:v>
                </c:pt>
                <c:pt idx="3">
                  <c:v>1</c:v>
                </c:pt>
                <c:pt idx="4">
                  <c:v>0</c:v>
                </c:pt>
                <c:pt idx="5">
                  <c:v>5</c:v>
                </c:pt>
                <c:pt idx="6">
                  <c:v>7</c:v>
                </c:pt>
                <c:pt idx="7">
                  <c:v>9</c:v>
                </c:pt>
                <c:pt idx="8">
                  <c:v>13</c:v>
                </c:pt>
                <c:pt idx="9">
                  <c:v>14</c:v>
                </c:pt>
                <c:pt idx="10">
                  <c:v>23</c:v>
                </c:pt>
                <c:pt idx="11">
                  <c:v>24</c:v>
                </c:pt>
                <c:pt idx="12">
                  <c:v>60</c:v>
                </c:pt>
                <c:pt idx="13">
                  <c:v>26</c:v>
                </c:pt>
                <c:pt idx="14">
                  <c:v>30</c:v>
                </c:pt>
                <c:pt idx="15">
                  <c:v>43</c:v>
                </c:pt>
                <c:pt idx="16">
                  <c:v>20</c:v>
                </c:pt>
                <c:pt idx="17">
                  <c:v>25</c:v>
                </c:pt>
                <c:pt idx="18">
                  <c:v>20</c:v>
                </c:pt>
                <c:pt idx="19">
                  <c:v>17</c:v>
                </c:pt>
                <c:pt idx="20">
                  <c:v>13</c:v>
                </c:pt>
                <c:pt idx="21">
                  <c:v>4</c:v>
                </c:pt>
                <c:pt idx="22">
                  <c:v>7</c:v>
                </c:pt>
                <c:pt idx="23">
                  <c:v>11</c:v>
                </c:pt>
                <c:pt idx="24">
                  <c:v>5</c:v>
                </c:pt>
                <c:pt idx="25">
                  <c:v>9</c:v>
                </c:pt>
                <c:pt idx="26">
                  <c:v>6</c:v>
                </c:pt>
                <c:pt idx="27">
                  <c:v>8</c:v>
                </c:pt>
                <c:pt idx="28">
                  <c:v>1</c:v>
                </c:pt>
                <c:pt idx="29">
                  <c:v>1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1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EC6-440A-B768-7B46A86AC92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85252096"/>
        <c:axId val="485253888"/>
      </c:lineChart>
      <c:catAx>
        <c:axId val="48525209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485253888"/>
        <c:crosses val="autoZero"/>
        <c:auto val="1"/>
        <c:lblAlgn val="ctr"/>
        <c:lblOffset val="100"/>
        <c:tickLblSkip val="3"/>
        <c:noMultiLvlLbl val="0"/>
      </c:catAx>
      <c:valAx>
        <c:axId val="485253888"/>
        <c:scaling>
          <c:orientation val="minMax"/>
          <c:max val="60.000999999999998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485252096"/>
        <c:crosses val="autoZero"/>
        <c:crossBetween val="between"/>
        <c:majorUnit val="15"/>
      </c:valAx>
      <c:spPr>
        <a:noFill/>
        <a:ln>
          <a:solidFill>
            <a:schemeClr val="bg1">
              <a:lumMod val="85000"/>
            </a:schemeClr>
          </a:solidFill>
        </a:ln>
        <a:effectLst/>
      </c:spPr>
    </c:plotArea>
    <c:legend>
      <c:legendPos val="t"/>
      <c:layout>
        <c:manualLayout>
          <c:xMode val="edge"/>
          <c:yMode val="edge"/>
          <c:x val="0.54412219910962034"/>
          <c:y val="0.12310430977884902"/>
          <c:w val="0.26571401981600118"/>
          <c:h val="4.2848263700961994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5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zh-CN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0080663023768088"/>
          <c:y val="3.6661191071559039E-2"/>
          <c:w val="0.79957526561111858"/>
          <c:h val="0.88169329578460587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'人数、小区数'!$L$2</c:f>
              <c:strCache>
                <c:ptCount val="1"/>
                <c:pt idx="0">
                  <c:v>Number of confirmed cases</c:v>
                </c:pt>
              </c:strCache>
            </c:strRef>
          </c:tx>
          <c:spPr>
            <a:solidFill>
              <a:srgbClr val="26C6F2"/>
            </a:solidFill>
            <a:ln>
              <a:noFill/>
            </a:ln>
          </c:spPr>
          <c:invertIfNegative val="0"/>
          <c:cat>
            <c:strRef>
              <c:f>'人数、小区数'!$M$1:$U$1</c:f>
              <c:strCache>
                <c:ptCount val="9"/>
                <c:pt idx="0">
                  <c:v>1.31（12）</c:v>
                </c:pt>
                <c:pt idx="1">
                  <c:v>2.1（12）</c:v>
                </c:pt>
                <c:pt idx="2">
                  <c:v>2.1（24）</c:v>
                </c:pt>
                <c:pt idx="3">
                  <c:v>2.2（24）</c:v>
                </c:pt>
                <c:pt idx="4">
                  <c:v>2.3（24）</c:v>
                </c:pt>
                <c:pt idx="5">
                  <c:v>2.4（24）</c:v>
                </c:pt>
                <c:pt idx="6">
                  <c:v>2.5（24）</c:v>
                </c:pt>
                <c:pt idx="7">
                  <c:v>2.6（24）</c:v>
                </c:pt>
                <c:pt idx="8">
                  <c:v>2.7（24）</c:v>
                </c:pt>
              </c:strCache>
            </c:strRef>
          </c:cat>
          <c:val>
            <c:numRef>
              <c:f>'人数、小区数'!$M$2:$U$2</c:f>
              <c:numCache>
                <c:formatCode>General</c:formatCode>
                <c:ptCount val="9"/>
                <c:pt idx="0">
                  <c:v>130</c:v>
                </c:pt>
                <c:pt idx="1">
                  <c:v>166</c:v>
                </c:pt>
                <c:pt idx="2">
                  <c:v>191</c:v>
                </c:pt>
                <c:pt idx="3">
                  <c:v>221</c:v>
                </c:pt>
                <c:pt idx="4">
                  <c:v>259</c:v>
                </c:pt>
                <c:pt idx="5">
                  <c:v>276</c:v>
                </c:pt>
                <c:pt idx="6">
                  <c:v>298</c:v>
                </c:pt>
                <c:pt idx="7">
                  <c:v>312</c:v>
                </c:pt>
                <c:pt idx="8">
                  <c:v>320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D16-497B-B438-808CEC38D264}"/>
            </c:ext>
          </c:extLst>
        </c:ser>
        <c:ser>
          <c:idx val="2"/>
          <c:order val="2"/>
          <c:tx>
            <c:strRef>
              <c:f>'人数、小区数'!$L$4</c:f>
              <c:strCache>
                <c:ptCount val="1"/>
                <c:pt idx="0">
                  <c:v>Hospital available beds</c:v>
                </c:pt>
              </c:strCache>
            </c:strRef>
          </c:tx>
          <c:spPr>
            <a:solidFill>
              <a:schemeClr val="bg1">
                <a:lumMod val="85000"/>
              </a:schemeClr>
            </a:solidFill>
            <a:ln>
              <a:noFill/>
            </a:ln>
          </c:spPr>
          <c:invertIfNegative val="0"/>
          <c:cat>
            <c:strRef>
              <c:f>'人数、小区数'!$M$1:$U$1</c:f>
              <c:strCache>
                <c:ptCount val="9"/>
                <c:pt idx="0">
                  <c:v>1.31（12）</c:v>
                </c:pt>
                <c:pt idx="1">
                  <c:v>2.1（12）</c:v>
                </c:pt>
                <c:pt idx="2">
                  <c:v>2.1（24）</c:v>
                </c:pt>
                <c:pt idx="3">
                  <c:v>2.2（24）</c:v>
                </c:pt>
                <c:pt idx="4">
                  <c:v>2.3（24）</c:v>
                </c:pt>
                <c:pt idx="5">
                  <c:v>2.4（24）</c:v>
                </c:pt>
                <c:pt idx="6">
                  <c:v>2.5（24）</c:v>
                </c:pt>
                <c:pt idx="7">
                  <c:v>2.6（24）</c:v>
                </c:pt>
                <c:pt idx="8">
                  <c:v>2.7（24）</c:v>
                </c:pt>
              </c:strCache>
            </c:strRef>
          </c:cat>
          <c:val>
            <c:numRef>
              <c:f>'人数、小区数'!$M$4:$U$4</c:f>
              <c:numCache>
                <c:formatCode>General</c:formatCode>
                <c:ptCount val="9"/>
                <c:pt idx="0">
                  <c:v>370</c:v>
                </c:pt>
                <c:pt idx="1">
                  <c:v>334</c:v>
                </c:pt>
                <c:pt idx="2">
                  <c:v>309</c:v>
                </c:pt>
                <c:pt idx="3">
                  <c:v>279</c:v>
                </c:pt>
                <c:pt idx="4">
                  <c:v>241</c:v>
                </c:pt>
                <c:pt idx="5">
                  <c:v>224</c:v>
                </c:pt>
                <c:pt idx="6">
                  <c:v>202</c:v>
                </c:pt>
                <c:pt idx="7">
                  <c:v>188</c:v>
                </c:pt>
                <c:pt idx="8">
                  <c:v>180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D16-497B-B438-808CEC38D26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0"/>
        <c:overlap val="100"/>
        <c:axId val="481301248"/>
        <c:axId val="481302784"/>
      </c:barChart>
      <c:lineChart>
        <c:grouping val="standard"/>
        <c:varyColors val="0"/>
        <c:ser>
          <c:idx val="1"/>
          <c:order val="1"/>
          <c:tx>
            <c:strRef>
              <c:f>'人数、小区数'!$L$3</c:f>
              <c:strCache>
                <c:ptCount val="1"/>
                <c:pt idx="0">
                  <c:v>Number of epidemic communities</c:v>
                </c:pt>
              </c:strCache>
            </c:strRef>
          </c:tx>
          <c:spPr>
            <a:ln w="12700" cap="rnd">
              <a:solidFill>
                <a:schemeClr val="accent6"/>
              </a:solidFill>
              <a:round/>
            </a:ln>
          </c:spPr>
          <c:marker>
            <c:symbol val="circle"/>
            <c:size val="6"/>
            <c:spPr>
              <a:solidFill>
                <a:schemeClr val="bg1"/>
              </a:solidFill>
              <a:ln w="9525">
                <a:solidFill>
                  <a:schemeClr val="accent6">
                    <a:lumMod val="75000"/>
                  </a:schemeClr>
                </a:solidFill>
              </a:ln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 anchorCtr="1">
                <a:spAutoFit/>
              </a:bodyPr>
              <a:lstStyle/>
              <a:p>
                <a:pPr>
                  <a:defRPr sz="800">
                    <a:solidFill>
                      <a:schemeClr val="accent6">
                        <a:lumMod val="75000"/>
                      </a:schemeClr>
                    </a:solidFill>
                  </a:defRPr>
                </a:pPr>
                <a:endParaRPr lang="zh-CN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'人数、小区数'!$M$1:$U$1</c:f>
              <c:strCache>
                <c:ptCount val="9"/>
                <c:pt idx="0">
                  <c:v>1.31（12）</c:v>
                </c:pt>
                <c:pt idx="1">
                  <c:v>2.1（12）</c:v>
                </c:pt>
                <c:pt idx="2">
                  <c:v>2.1（24）</c:v>
                </c:pt>
                <c:pt idx="3">
                  <c:v>2.2（24）</c:v>
                </c:pt>
                <c:pt idx="4">
                  <c:v>2.3（24）</c:v>
                </c:pt>
                <c:pt idx="5">
                  <c:v>2.4（24）</c:v>
                </c:pt>
                <c:pt idx="6">
                  <c:v>2.5（24）</c:v>
                </c:pt>
                <c:pt idx="7">
                  <c:v>2.6（24）</c:v>
                </c:pt>
                <c:pt idx="8">
                  <c:v>2.7（24）</c:v>
                </c:pt>
              </c:strCache>
            </c:strRef>
          </c:cat>
          <c:val>
            <c:numRef>
              <c:f>'人数、小区数'!$M$3:$U$3</c:f>
              <c:numCache>
                <c:formatCode>General</c:formatCode>
                <c:ptCount val="9"/>
                <c:pt idx="0">
                  <c:v>31</c:v>
                </c:pt>
                <c:pt idx="1">
                  <c:v>82</c:v>
                </c:pt>
                <c:pt idx="2">
                  <c:v>98</c:v>
                </c:pt>
                <c:pt idx="3">
                  <c:v>125</c:v>
                </c:pt>
                <c:pt idx="4">
                  <c:v>149</c:v>
                </c:pt>
                <c:pt idx="5">
                  <c:v>163</c:v>
                </c:pt>
                <c:pt idx="6">
                  <c:v>175</c:v>
                </c:pt>
                <c:pt idx="7">
                  <c:v>196</c:v>
                </c:pt>
                <c:pt idx="8">
                  <c:v>204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D16-497B-B438-808CEC38D26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85267712"/>
        <c:axId val="485265792"/>
      </c:lineChart>
      <c:catAx>
        <c:axId val="48130124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481302784"/>
        <c:crosses val="autoZero"/>
        <c:auto val="1"/>
        <c:lblAlgn val="ctr"/>
        <c:lblOffset val="100"/>
        <c:noMultiLvlLbl val="0"/>
      </c:catAx>
      <c:valAx>
        <c:axId val="481302784"/>
        <c:scaling>
          <c:orientation val="minMax"/>
          <c:max val="600"/>
        </c:scaling>
        <c:delete val="0"/>
        <c:axPos val="l"/>
        <c:title>
          <c:tx>
            <c:rich>
              <a:bodyPr/>
              <a:lstStyle/>
              <a:p>
                <a:pPr>
                  <a:defRPr sz="900"/>
                </a:pPr>
                <a:r>
                  <a:rPr lang="en-US" altLang="zh-CN" sz="900" b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Number of comfirmed cases</a:t>
                </a:r>
                <a:endParaRPr lang="zh-CN" altLang="en-US" sz="900" b="0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spPr>
          <a:noFill/>
          <a:ln w="9525">
            <a:solidFill>
              <a:srgbClr val="00B0F0"/>
            </a:solidFill>
          </a:ln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ln>
                  <a:noFill/>
                </a:ln>
                <a:solidFill>
                  <a:srgbClr val="00B0F0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481301248"/>
        <c:crosses val="autoZero"/>
        <c:crossBetween val="between"/>
      </c:valAx>
      <c:valAx>
        <c:axId val="485265792"/>
        <c:scaling>
          <c:orientation val="minMax"/>
        </c:scaling>
        <c:delete val="0"/>
        <c:axPos val="r"/>
        <c:title>
          <c:tx>
            <c:rich>
              <a:bodyPr/>
              <a:lstStyle/>
              <a:p>
                <a:pPr>
                  <a:defRPr sz="900"/>
                </a:pPr>
                <a:r>
                  <a:rPr lang="en-US" altLang="zh-CN" sz="900" b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Number of epidemic communities</a:t>
                </a:r>
                <a:endParaRPr lang="zh-CN" altLang="en-US" sz="900" b="0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>
            <c:manualLayout>
              <c:xMode val="edge"/>
              <c:yMode val="edge"/>
              <c:x val="0.95293028062831675"/>
              <c:y val="9.6073682938393037E-2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accent6"/>
            </a:solidFill>
          </a:ln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chemeClr val="accent6">
                    <a:lumMod val="7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485267712"/>
        <c:crosses val="max"/>
        <c:crossBetween val="between"/>
      </c:valAx>
      <c:catAx>
        <c:axId val="48526771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485265792"/>
        <c:crosses val="autoZero"/>
        <c:auto val="1"/>
        <c:lblAlgn val="ctr"/>
        <c:lblOffset val="100"/>
        <c:noMultiLvlLbl val="0"/>
      </c:catAx>
      <c:spPr>
        <a:noFill/>
        <a:ln w="3175">
          <a:solidFill>
            <a:schemeClr val="bg1">
              <a:lumMod val="75000"/>
            </a:schemeClr>
          </a:solidFill>
        </a:ln>
      </c:spPr>
    </c:plotArea>
    <c:legend>
      <c:legendPos val="b"/>
      <c:layout>
        <c:manualLayout>
          <c:xMode val="edge"/>
          <c:yMode val="edge"/>
          <c:x val="7.2315295694421189E-2"/>
          <c:y val="3.7880119818904705E-2"/>
          <c:w val="0.90161791962982929"/>
          <c:h val="0.14260853580072919"/>
        </c:manualLayout>
      </c:layout>
      <c:overlay val="0"/>
      <c:spPr>
        <a:noFill/>
        <a:ln>
          <a:noFill/>
        </a:ln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</c:spPr>
  <c:txPr>
    <a:bodyPr/>
    <a:lstStyle/>
    <a:p>
      <a:pPr>
        <a:defRPr/>
      </a:pPr>
      <a:endParaRPr lang="zh-CN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等线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等线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105</Words>
  <Characters>599</Characters>
  <Application>Microsoft Office Word</Application>
  <DocSecurity>0</DocSecurity>
  <Lines>4</Lines>
  <Paragraphs>1</Paragraphs>
  <ScaleCrop>false</ScaleCrop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Darren</dc:creator>
  <cp:keywords/>
  <dc:description/>
  <cp:lastModifiedBy>Darren</cp:lastModifiedBy>
  <cp:revision>5</cp:revision>
  <dcterms:created xsi:type="dcterms:W3CDTF">2021-04-28T14:12:00Z</dcterms:created>
  <dcterms:modified xsi:type="dcterms:W3CDTF">2021-04-30T14:22:00Z</dcterms:modified>
</cp:coreProperties>
</file>