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B2549" w14:textId="77777777" w:rsidR="00F75B83" w:rsidRDefault="00F75B83" w:rsidP="00F75B83">
      <w:pPr>
        <w:rPr>
          <w:rFonts w:ascii="Arial" w:hAnsi="Arial" w:cs="Arial"/>
          <w:sz w:val="20"/>
          <w:szCs w:val="20"/>
        </w:rPr>
      </w:pPr>
      <w:bookmarkStart w:id="0" w:name="_Hlk159668812"/>
      <w:r>
        <w:rPr>
          <w:rFonts w:ascii="Arial" w:hAnsi="Arial" w:cs="Arial"/>
          <w:b/>
          <w:bCs/>
          <w:sz w:val="20"/>
          <w:szCs w:val="20"/>
        </w:rPr>
        <w:t>Supplementary Table 1</w:t>
      </w:r>
      <w:r w:rsidRPr="00DF22DF">
        <w:rPr>
          <w:rFonts w:ascii="Arial" w:hAnsi="Arial" w:cs="Arial"/>
          <w:b/>
          <w:bCs/>
          <w:sz w:val="20"/>
          <w:szCs w:val="20"/>
        </w:rPr>
        <w:t>.</w:t>
      </w:r>
      <w:r w:rsidRPr="002C3BB2">
        <w:rPr>
          <w:rFonts w:ascii="Arial" w:hAnsi="Arial" w:cs="Arial"/>
          <w:sz w:val="20"/>
          <w:szCs w:val="20"/>
        </w:rPr>
        <w:t xml:space="preserve"> Results from </w:t>
      </w:r>
      <w:r>
        <w:rPr>
          <w:rFonts w:ascii="Arial" w:hAnsi="Arial" w:cs="Arial"/>
          <w:sz w:val="20"/>
          <w:szCs w:val="20"/>
        </w:rPr>
        <w:t>three retina specialist’s interpretation of images after being presented each image individually. Readable images are stratified by the determination of presence or absence of more than mild diabetic retinopathy (</w:t>
      </w:r>
      <w:proofErr w:type="spellStart"/>
      <w:r>
        <w:rPr>
          <w:rFonts w:ascii="Arial" w:hAnsi="Arial" w:cs="Arial"/>
          <w:sz w:val="20"/>
          <w:szCs w:val="20"/>
        </w:rPr>
        <w:t>mtmDR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2C3BB2">
        <w:rPr>
          <w:rFonts w:ascii="Arial" w:hAnsi="Arial" w:cs="Arial"/>
          <w:sz w:val="20"/>
          <w:szCs w:val="20"/>
        </w:rPr>
        <w:t xml:space="preserve"> and vision-threatening diabetic retinopathy</w:t>
      </w:r>
      <w:r>
        <w:rPr>
          <w:rFonts w:ascii="Arial" w:hAnsi="Arial" w:cs="Arial"/>
          <w:sz w:val="20"/>
          <w:szCs w:val="20"/>
        </w:rPr>
        <w:t xml:space="preserve"> (VTDR). The consensus agreement was multiplied by three for ease of comparison to Table 1 and Supplementary Table 2’s results.</w:t>
      </w:r>
      <w:r w:rsidRPr="00077798">
        <w:rPr>
          <w:rFonts w:ascii="Arial" w:hAnsi="Arial" w:cs="Arial"/>
          <w:sz w:val="20"/>
          <w:szCs w:val="20"/>
        </w:rPr>
        <w:t xml:space="preserve"> </w:t>
      </w:r>
    </w:p>
    <w:bookmarkEnd w:id="0"/>
    <w:p w14:paraId="71824240" w14:textId="77777777" w:rsidR="00F75B83" w:rsidRDefault="00F75B83" w:rsidP="00F75B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2D347E32" w14:textId="77777777" w:rsidR="00F75B83" w:rsidRDefault="00F75B83" w:rsidP="00F75B83">
      <w:pPr>
        <w:spacing w:line="259" w:lineRule="auto"/>
        <w:rPr>
          <w:rFonts w:ascii="Arial" w:hAnsi="Arial" w:cs="Arial"/>
          <w:sz w:val="20"/>
          <w:szCs w:val="20"/>
        </w:rPr>
      </w:pPr>
    </w:p>
    <w:p w14:paraId="51DA220C" w14:textId="77777777" w:rsidR="00F75B83" w:rsidRDefault="00F75B83" w:rsidP="00F75B83">
      <w:pPr>
        <w:spacing w:line="259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8995" w:type="dxa"/>
        <w:tblLook w:val="04A0" w:firstRow="1" w:lastRow="0" w:firstColumn="1" w:lastColumn="0" w:noHBand="0" w:noVBand="1"/>
      </w:tblPr>
      <w:tblGrid>
        <w:gridCol w:w="535"/>
        <w:gridCol w:w="1260"/>
        <w:gridCol w:w="1620"/>
        <w:gridCol w:w="1440"/>
        <w:gridCol w:w="1350"/>
        <w:gridCol w:w="1350"/>
        <w:gridCol w:w="1440"/>
      </w:tblGrid>
      <w:tr w:rsidR="00F75B83" w14:paraId="7406A270" w14:textId="77777777" w:rsidTr="00BC1957">
        <w:trPr>
          <w:trHeight w:val="557"/>
        </w:trPr>
        <w:tc>
          <w:tcPr>
            <w:tcW w:w="1795" w:type="dxa"/>
            <w:gridSpan w:val="2"/>
            <w:vMerge w:val="restart"/>
          </w:tcPr>
          <w:p w14:paraId="3859170D" w14:textId="77777777" w:rsidR="00F75B83" w:rsidRDefault="00F75B83" w:rsidP="00BC195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0" w:type="dxa"/>
            <w:gridSpan w:val="5"/>
          </w:tcPr>
          <w:p w14:paraId="4CD62EC1" w14:textId="77777777" w:rsidR="00F75B83" w:rsidRDefault="00F75B83" w:rsidP="00BC1957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C3B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Retina Specialists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FCC8492" w14:textId="77777777" w:rsidR="00F75B83" w:rsidRPr="00077798" w:rsidRDefault="00F75B83" w:rsidP="00BC195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77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(consensus responses)</w:t>
            </w:r>
          </w:p>
        </w:tc>
      </w:tr>
      <w:tr w:rsidR="00F75B83" w14:paraId="46015294" w14:textId="77777777" w:rsidTr="00BC1957">
        <w:tc>
          <w:tcPr>
            <w:tcW w:w="1795" w:type="dxa"/>
            <w:gridSpan w:val="2"/>
            <w:vMerge/>
            <w:textDirection w:val="btLr"/>
          </w:tcPr>
          <w:p w14:paraId="3D9294E1" w14:textId="77777777" w:rsidR="00F75B83" w:rsidRDefault="00F75B83" w:rsidP="00BC195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3B664EAF" w14:textId="77777777" w:rsidR="00F75B83" w:rsidRDefault="00F75B83" w:rsidP="00BC195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3B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Unreadable</w:t>
            </w:r>
          </w:p>
          <w:p w14:paraId="5EE56C55" w14:textId="77777777" w:rsidR="00F75B83" w:rsidRPr="00077798" w:rsidRDefault="00F75B83" w:rsidP="00BC195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n=24</w:t>
            </w:r>
          </w:p>
        </w:tc>
        <w:tc>
          <w:tcPr>
            <w:tcW w:w="5580" w:type="dxa"/>
            <w:gridSpan w:val="4"/>
            <w:vAlign w:val="center"/>
          </w:tcPr>
          <w:p w14:paraId="2279F423" w14:textId="77777777" w:rsidR="00F75B83" w:rsidRPr="002C3BB2" w:rsidRDefault="00F75B83" w:rsidP="00BC195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3B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able</w:t>
            </w:r>
          </w:p>
          <w:p w14:paraId="3B97B4D6" w14:textId="77777777" w:rsidR="00F75B83" w:rsidRDefault="00F75B83" w:rsidP="00BC195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2C3B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=15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F75B83" w14:paraId="1454710C" w14:textId="77777777" w:rsidTr="00BC1957">
        <w:trPr>
          <w:trHeight w:val="548"/>
        </w:trPr>
        <w:tc>
          <w:tcPr>
            <w:tcW w:w="1795" w:type="dxa"/>
            <w:gridSpan w:val="2"/>
            <w:vMerge/>
          </w:tcPr>
          <w:p w14:paraId="3BC9D3A1" w14:textId="77777777" w:rsidR="00F75B83" w:rsidRDefault="00F75B83" w:rsidP="00BC195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48C8957D" w14:textId="77777777" w:rsidR="00F75B83" w:rsidRDefault="00F75B83" w:rsidP="00BC195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21BB99F" w14:textId="77777777" w:rsidR="00F75B83" w:rsidRPr="002C3BB2" w:rsidRDefault="00F75B83" w:rsidP="00BC195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C3B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mtmDR</w:t>
            </w:r>
            <w:proofErr w:type="spellEnd"/>
            <w:r w:rsidRPr="002C3B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</w:p>
          <w:p w14:paraId="0CACE11B" w14:textId="77777777" w:rsidR="00F75B83" w:rsidRDefault="00F75B83" w:rsidP="00BC195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B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non-VTDR</w:t>
            </w:r>
          </w:p>
        </w:tc>
        <w:tc>
          <w:tcPr>
            <w:tcW w:w="1350" w:type="dxa"/>
            <w:vAlign w:val="center"/>
          </w:tcPr>
          <w:p w14:paraId="5F448234" w14:textId="77777777" w:rsidR="00F75B83" w:rsidRDefault="00F75B83" w:rsidP="00BC195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B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non-</w:t>
            </w:r>
            <w:proofErr w:type="spellStart"/>
            <w:r w:rsidRPr="002C3B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mtmDR</w:t>
            </w:r>
            <w:proofErr w:type="spellEnd"/>
            <w:r w:rsidRPr="002C3B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VTDR</w:t>
            </w:r>
          </w:p>
        </w:tc>
        <w:tc>
          <w:tcPr>
            <w:tcW w:w="1350" w:type="dxa"/>
            <w:vAlign w:val="center"/>
          </w:tcPr>
          <w:p w14:paraId="6243E3F9" w14:textId="77777777" w:rsidR="00F75B83" w:rsidRDefault="00F75B83" w:rsidP="00BC195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C3B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mtmDR</w:t>
            </w:r>
            <w:proofErr w:type="spellEnd"/>
            <w:r w:rsidRPr="002C3B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VTDR</w:t>
            </w:r>
          </w:p>
        </w:tc>
        <w:tc>
          <w:tcPr>
            <w:tcW w:w="1440" w:type="dxa"/>
            <w:vAlign w:val="center"/>
          </w:tcPr>
          <w:p w14:paraId="618DB48D" w14:textId="77777777" w:rsidR="00F75B83" w:rsidRDefault="00F75B83" w:rsidP="00BC195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B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non-</w:t>
            </w:r>
            <w:proofErr w:type="spellStart"/>
            <w:r w:rsidRPr="002C3B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mtmDR</w:t>
            </w:r>
            <w:proofErr w:type="spellEnd"/>
            <w:r w:rsidRPr="002C3B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non-VTDR</w:t>
            </w:r>
          </w:p>
        </w:tc>
      </w:tr>
      <w:tr w:rsidR="00F75B83" w14:paraId="4381F196" w14:textId="77777777" w:rsidTr="00BC1957">
        <w:trPr>
          <w:cantSplit/>
          <w:trHeight w:val="620"/>
        </w:trPr>
        <w:tc>
          <w:tcPr>
            <w:tcW w:w="535" w:type="dxa"/>
            <w:vMerge w:val="restart"/>
            <w:textDirection w:val="btLr"/>
            <w:vAlign w:val="center"/>
          </w:tcPr>
          <w:p w14:paraId="06819B73" w14:textId="77777777" w:rsidR="00F75B83" w:rsidRDefault="00F75B83" w:rsidP="00BC195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9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Predefined Image Database Categories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354632" w14:textId="77777777" w:rsidR="00F75B83" w:rsidRDefault="00F75B83" w:rsidP="00BC195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B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7D2C793" w14:textId="77777777" w:rsidR="00F75B83" w:rsidRDefault="00F75B83" w:rsidP="00BC195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 (0.0%)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C3F4352" w14:textId="77777777" w:rsidR="00F75B83" w:rsidRDefault="00F75B83" w:rsidP="00BC1957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  <w:p w14:paraId="3206705D" w14:textId="77777777" w:rsidR="00F75B83" w:rsidRDefault="00F75B83" w:rsidP="00BC195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(100.0%)</w:t>
            </w:r>
          </w:p>
        </w:tc>
        <w:tc>
          <w:tcPr>
            <w:tcW w:w="1350" w:type="dxa"/>
            <w:vAlign w:val="center"/>
          </w:tcPr>
          <w:p w14:paraId="3C1175E1" w14:textId="77777777" w:rsidR="00F75B83" w:rsidRDefault="00F75B83" w:rsidP="00BC195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 (0.0%)</w:t>
            </w:r>
          </w:p>
        </w:tc>
        <w:tc>
          <w:tcPr>
            <w:tcW w:w="1350" w:type="dxa"/>
            <w:vAlign w:val="center"/>
          </w:tcPr>
          <w:p w14:paraId="04E40744" w14:textId="77777777" w:rsidR="00F75B83" w:rsidRDefault="00F75B83" w:rsidP="00BC195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 (0.0%)</w:t>
            </w:r>
          </w:p>
        </w:tc>
        <w:tc>
          <w:tcPr>
            <w:tcW w:w="1440" w:type="dxa"/>
            <w:vAlign w:val="center"/>
          </w:tcPr>
          <w:p w14:paraId="3AF77CF7" w14:textId="77777777" w:rsidR="00F75B83" w:rsidRDefault="00F75B83" w:rsidP="00BC195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 (0.0%)</w:t>
            </w:r>
          </w:p>
        </w:tc>
      </w:tr>
      <w:tr w:rsidR="00F75B83" w14:paraId="4546CABD" w14:textId="77777777" w:rsidTr="00BC1957">
        <w:trPr>
          <w:trHeight w:val="611"/>
        </w:trPr>
        <w:tc>
          <w:tcPr>
            <w:tcW w:w="535" w:type="dxa"/>
            <w:vMerge/>
          </w:tcPr>
          <w:p w14:paraId="6B1DE9DF" w14:textId="77777777" w:rsidR="00F75B83" w:rsidRDefault="00F75B83" w:rsidP="00BC195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5A1FCCE" w14:textId="77777777" w:rsidR="00F75B83" w:rsidRDefault="00F75B83" w:rsidP="00BC195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B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DR1 (mild NPDR)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26C6125" w14:textId="77777777" w:rsidR="00F75B83" w:rsidRDefault="00F75B83" w:rsidP="00BC195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 (0.0%)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2D7C173" w14:textId="77777777" w:rsidR="00F75B83" w:rsidRDefault="00F75B83" w:rsidP="00BC1957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  <w:p w14:paraId="5A254007" w14:textId="77777777" w:rsidR="00F75B83" w:rsidRPr="00077798" w:rsidRDefault="00F75B83" w:rsidP="00BC1957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(100.0%)</w:t>
            </w:r>
          </w:p>
        </w:tc>
        <w:tc>
          <w:tcPr>
            <w:tcW w:w="1350" w:type="dxa"/>
            <w:vAlign w:val="center"/>
          </w:tcPr>
          <w:p w14:paraId="621631EB" w14:textId="77777777" w:rsidR="00F75B83" w:rsidRDefault="00F75B83" w:rsidP="00BC195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 (0.0%)</w:t>
            </w:r>
          </w:p>
        </w:tc>
        <w:tc>
          <w:tcPr>
            <w:tcW w:w="1350" w:type="dxa"/>
            <w:vAlign w:val="center"/>
          </w:tcPr>
          <w:p w14:paraId="0885FB5C" w14:textId="77777777" w:rsidR="00F75B83" w:rsidRDefault="00F75B83" w:rsidP="00BC195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 (0.0%)</w:t>
            </w:r>
          </w:p>
        </w:tc>
        <w:tc>
          <w:tcPr>
            <w:tcW w:w="1440" w:type="dxa"/>
            <w:vAlign w:val="center"/>
          </w:tcPr>
          <w:p w14:paraId="1708BCFC" w14:textId="77777777" w:rsidR="00F75B83" w:rsidRDefault="00F75B83" w:rsidP="00BC195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 (0.0%)</w:t>
            </w:r>
          </w:p>
        </w:tc>
      </w:tr>
      <w:tr w:rsidR="00F75B83" w14:paraId="48158A16" w14:textId="77777777" w:rsidTr="00BC1957">
        <w:tc>
          <w:tcPr>
            <w:tcW w:w="535" w:type="dxa"/>
            <w:vMerge/>
          </w:tcPr>
          <w:p w14:paraId="47DCA188" w14:textId="77777777" w:rsidR="00F75B83" w:rsidRDefault="00F75B83" w:rsidP="00BC195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62DB552" w14:textId="77777777" w:rsidR="00F75B83" w:rsidRDefault="00F75B83" w:rsidP="00BC195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B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DR2 (moderate NPDR)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291FF9A" w14:textId="77777777" w:rsidR="00F75B83" w:rsidRDefault="00F75B83" w:rsidP="00BC195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 (0.0%)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60797AD" w14:textId="77777777" w:rsidR="00F75B83" w:rsidRDefault="00F75B83" w:rsidP="00BC195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 (0.0%)</w:t>
            </w:r>
          </w:p>
        </w:tc>
        <w:tc>
          <w:tcPr>
            <w:tcW w:w="1350" w:type="dxa"/>
            <w:vAlign w:val="center"/>
          </w:tcPr>
          <w:p w14:paraId="2C52B4CB" w14:textId="77777777" w:rsidR="00F75B83" w:rsidRDefault="00F75B83" w:rsidP="00BC1957">
            <w:pPr>
              <w:spacing w:line="259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0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  <w:p w14:paraId="7BEEADA1" w14:textId="77777777" w:rsidR="00F75B83" w:rsidRPr="00077798" w:rsidRDefault="00F75B83" w:rsidP="00BC1957">
            <w:pPr>
              <w:spacing w:line="259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018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(20.0%)</w:t>
            </w:r>
          </w:p>
        </w:tc>
        <w:tc>
          <w:tcPr>
            <w:tcW w:w="1350" w:type="dxa"/>
            <w:vAlign w:val="center"/>
          </w:tcPr>
          <w:p w14:paraId="0E87EA2F" w14:textId="77777777" w:rsidR="00F75B83" w:rsidRDefault="00F75B83" w:rsidP="00BC195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 (0.0%)</w:t>
            </w:r>
          </w:p>
        </w:tc>
        <w:tc>
          <w:tcPr>
            <w:tcW w:w="1440" w:type="dxa"/>
            <w:vAlign w:val="center"/>
          </w:tcPr>
          <w:p w14:paraId="0F2FC7BF" w14:textId="77777777" w:rsidR="00F75B83" w:rsidRDefault="00F75B83" w:rsidP="00BC195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  <w:p w14:paraId="370EA67B" w14:textId="77777777" w:rsidR="00F75B83" w:rsidRPr="00077798" w:rsidRDefault="00F75B83" w:rsidP="00BC195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(80.0%)</w:t>
            </w:r>
          </w:p>
        </w:tc>
      </w:tr>
      <w:tr w:rsidR="00F75B83" w14:paraId="06EDD69E" w14:textId="77777777" w:rsidTr="00BC1957">
        <w:tc>
          <w:tcPr>
            <w:tcW w:w="535" w:type="dxa"/>
            <w:vMerge/>
          </w:tcPr>
          <w:p w14:paraId="7D5F39D1" w14:textId="77777777" w:rsidR="00F75B83" w:rsidRDefault="00F75B83" w:rsidP="00BC195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93A003C" w14:textId="77777777" w:rsidR="00F75B83" w:rsidRDefault="00F75B83" w:rsidP="00BC195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B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DR3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2C3B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evere NPDR or PDR)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127DAA2" w14:textId="77777777" w:rsidR="00F75B83" w:rsidRDefault="00F75B83" w:rsidP="00BC195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 (0.0%)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0FB54B8" w14:textId="77777777" w:rsidR="00F75B83" w:rsidRDefault="00F75B83" w:rsidP="00BC195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 (0.0%)</w:t>
            </w:r>
          </w:p>
        </w:tc>
        <w:tc>
          <w:tcPr>
            <w:tcW w:w="1350" w:type="dxa"/>
            <w:vAlign w:val="center"/>
          </w:tcPr>
          <w:p w14:paraId="44EDBE7B" w14:textId="77777777" w:rsidR="00F75B83" w:rsidRDefault="00F75B83" w:rsidP="00BC195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 (0.0%)</w:t>
            </w:r>
          </w:p>
        </w:tc>
        <w:tc>
          <w:tcPr>
            <w:tcW w:w="1350" w:type="dxa"/>
            <w:vAlign w:val="center"/>
          </w:tcPr>
          <w:p w14:paraId="6FB151E5" w14:textId="77777777" w:rsidR="00F75B83" w:rsidRDefault="00F75B83" w:rsidP="00BC195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 (0.0%)</w:t>
            </w:r>
          </w:p>
        </w:tc>
        <w:tc>
          <w:tcPr>
            <w:tcW w:w="1440" w:type="dxa"/>
            <w:vAlign w:val="center"/>
          </w:tcPr>
          <w:p w14:paraId="009FA200" w14:textId="77777777" w:rsidR="00F75B83" w:rsidRDefault="00F75B83" w:rsidP="00BC1957">
            <w:pPr>
              <w:spacing w:line="259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  <w:p w14:paraId="07168B62" w14:textId="77777777" w:rsidR="00F75B83" w:rsidRPr="00BA2452" w:rsidRDefault="00F75B83" w:rsidP="00BC1957">
            <w:pPr>
              <w:spacing w:line="259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(100.0%)</w:t>
            </w:r>
          </w:p>
        </w:tc>
      </w:tr>
      <w:tr w:rsidR="00F75B83" w14:paraId="487197E8" w14:textId="77777777" w:rsidTr="00BC1957">
        <w:tc>
          <w:tcPr>
            <w:tcW w:w="535" w:type="dxa"/>
            <w:vMerge/>
          </w:tcPr>
          <w:p w14:paraId="6D4F2A39" w14:textId="77777777" w:rsidR="00F75B83" w:rsidRDefault="00F75B83" w:rsidP="00BC195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113C575" w14:textId="77777777" w:rsidR="00F75B83" w:rsidRDefault="00F75B83" w:rsidP="00BC195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B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blur fundus without PDR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E8AD539" w14:textId="77777777" w:rsidR="00F75B83" w:rsidRDefault="00F75B83" w:rsidP="00BC195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  <w:p w14:paraId="6F22BCA1" w14:textId="77777777" w:rsidR="00F75B83" w:rsidRPr="00077798" w:rsidRDefault="00F75B83" w:rsidP="00BC195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(80.0%)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2AB4CEC" w14:textId="77777777" w:rsidR="00F75B83" w:rsidRDefault="00F75B83" w:rsidP="00BC195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 (0.0%)</w:t>
            </w:r>
          </w:p>
        </w:tc>
        <w:tc>
          <w:tcPr>
            <w:tcW w:w="1350" w:type="dxa"/>
            <w:vAlign w:val="center"/>
          </w:tcPr>
          <w:p w14:paraId="20B2CAE2" w14:textId="77777777" w:rsidR="00F75B83" w:rsidRPr="00077798" w:rsidRDefault="00F75B83" w:rsidP="00BC195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 (0.0%)</w:t>
            </w:r>
          </w:p>
        </w:tc>
        <w:tc>
          <w:tcPr>
            <w:tcW w:w="1350" w:type="dxa"/>
            <w:vAlign w:val="center"/>
          </w:tcPr>
          <w:p w14:paraId="061E0F14" w14:textId="77777777" w:rsidR="00F75B83" w:rsidRDefault="00F75B83" w:rsidP="00BC195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 (0.0%)</w:t>
            </w:r>
          </w:p>
        </w:tc>
        <w:tc>
          <w:tcPr>
            <w:tcW w:w="1440" w:type="dxa"/>
            <w:vAlign w:val="center"/>
          </w:tcPr>
          <w:p w14:paraId="4A3536F9" w14:textId="77777777" w:rsidR="00F75B83" w:rsidRDefault="00F75B83" w:rsidP="00BC195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  <w:p w14:paraId="768ADDF3" w14:textId="77777777" w:rsidR="00F75B83" w:rsidRPr="00077798" w:rsidRDefault="00F75B83" w:rsidP="00BC195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(20.0%)</w:t>
            </w:r>
          </w:p>
        </w:tc>
      </w:tr>
      <w:tr w:rsidR="00F75B83" w14:paraId="212B10DC" w14:textId="77777777" w:rsidTr="00BC1957">
        <w:tc>
          <w:tcPr>
            <w:tcW w:w="535" w:type="dxa"/>
            <w:vMerge/>
          </w:tcPr>
          <w:p w14:paraId="48DD7706" w14:textId="77777777" w:rsidR="00F75B83" w:rsidRDefault="00F75B83" w:rsidP="00BC195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32BEF8D" w14:textId="77777777" w:rsidR="00F75B83" w:rsidRPr="002C3BB2" w:rsidRDefault="00F75B83" w:rsidP="00BC1957">
            <w:pPr>
              <w:spacing w:line="259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3B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blur fundus with suspected PDR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791F446" w14:textId="77777777" w:rsidR="00F75B83" w:rsidRDefault="00F75B83" w:rsidP="00BC195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 (0.0%)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5550B9B" w14:textId="77777777" w:rsidR="00F75B83" w:rsidRDefault="00F75B83" w:rsidP="00BC1957">
            <w:pPr>
              <w:spacing w:line="259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 (0.0%)</w:t>
            </w:r>
          </w:p>
        </w:tc>
        <w:tc>
          <w:tcPr>
            <w:tcW w:w="1350" w:type="dxa"/>
            <w:vAlign w:val="center"/>
          </w:tcPr>
          <w:p w14:paraId="1AAAFB9F" w14:textId="77777777" w:rsidR="00F75B83" w:rsidRDefault="00F75B83" w:rsidP="00BC195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 (0.0%)</w:t>
            </w:r>
          </w:p>
        </w:tc>
        <w:tc>
          <w:tcPr>
            <w:tcW w:w="1350" w:type="dxa"/>
            <w:vAlign w:val="center"/>
          </w:tcPr>
          <w:p w14:paraId="2C83D316" w14:textId="77777777" w:rsidR="00F75B83" w:rsidRDefault="00F75B83" w:rsidP="00BC1957">
            <w:pPr>
              <w:spacing w:line="259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 (0.0%)</w:t>
            </w:r>
          </w:p>
        </w:tc>
        <w:tc>
          <w:tcPr>
            <w:tcW w:w="1440" w:type="dxa"/>
            <w:vAlign w:val="center"/>
          </w:tcPr>
          <w:p w14:paraId="5845C20A" w14:textId="77777777" w:rsidR="00F75B83" w:rsidRDefault="00F75B83" w:rsidP="00BC195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  <w:p w14:paraId="0731EBAD" w14:textId="77777777" w:rsidR="00F75B83" w:rsidRDefault="00F75B83" w:rsidP="00BC195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(100.0%)</w:t>
            </w:r>
          </w:p>
        </w:tc>
      </w:tr>
    </w:tbl>
    <w:p w14:paraId="0C328691" w14:textId="77777777" w:rsidR="000E04CE" w:rsidRDefault="00F75B83">
      <w:r>
        <w:rPr>
          <w:rFonts w:ascii="Arial" w:hAnsi="Arial" w:cs="Arial"/>
          <w:sz w:val="20"/>
          <w:szCs w:val="20"/>
        </w:rPr>
        <w:br w:type="textWrapping" w:clear="all"/>
      </w:r>
    </w:p>
    <w:sectPr w:rsidR="000E0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83"/>
    <w:rsid w:val="0000522A"/>
    <w:rsid w:val="00032707"/>
    <w:rsid w:val="00053793"/>
    <w:rsid w:val="000873F1"/>
    <w:rsid w:val="000A2C1F"/>
    <w:rsid w:val="000E04CE"/>
    <w:rsid w:val="000F0F91"/>
    <w:rsid w:val="0011554F"/>
    <w:rsid w:val="00115BDD"/>
    <w:rsid w:val="00123DC7"/>
    <w:rsid w:val="00131079"/>
    <w:rsid w:val="00156590"/>
    <w:rsid w:val="001724F9"/>
    <w:rsid w:val="0017674E"/>
    <w:rsid w:val="00193BF4"/>
    <w:rsid w:val="001A5AA8"/>
    <w:rsid w:val="001C1364"/>
    <w:rsid w:val="001D02B3"/>
    <w:rsid w:val="001D62DA"/>
    <w:rsid w:val="00204125"/>
    <w:rsid w:val="002153A1"/>
    <w:rsid w:val="002233FB"/>
    <w:rsid w:val="00227F14"/>
    <w:rsid w:val="002C3E6B"/>
    <w:rsid w:val="002F35ED"/>
    <w:rsid w:val="00327089"/>
    <w:rsid w:val="0037270E"/>
    <w:rsid w:val="003853B7"/>
    <w:rsid w:val="00392BE9"/>
    <w:rsid w:val="003B0026"/>
    <w:rsid w:val="003C55CD"/>
    <w:rsid w:val="00412BA7"/>
    <w:rsid w:val="004D29E3"/>
    <w:rsid w:val="004D4048"/>
    <w:rsid w:val="004F30CE"/>
    <w:rsid w:val="00523A97"/>
    <w:rsid w:val="00536D8B"/>
    <w:rsid w:val="00580A20"/>
    <w:rsid w:val="00593557"/>
    <w:rsid w:val="005E1B8A"/>
    <w:rsid w:val="006023EE"/>
    <w:rsid w:val="006700F5"/>
    <w:rsid w:val="00696644"/>
    <w:rsid w:val="006C253D"/>
    <w:rsid w:val="006E4438"/>
    <w:rsid w:val="006E60B7"/>
    <w:rsid w:val="00701FFD"/>
    <w:rsid w:val="007216AA"/>
    <w:rsid w:val="007C4459"/>
    <w:rsid w:val="007D5310"/>
    <w:rsid w:val="00805F7D"/>
    <w:rsid w:val="0082708C"/>
    <w:rsid w:val="00865151"/>
    <w:rsid w:val="008B6D7F"/>
    <w:rsid w:val="008D44CF"/>
    <w:rsid w:val="008F7180"/>
    <w:rsid w:val="00962805"/>
    <w:rsid w:val="00962D90"/>
    <w:rsid w:val="009936F4"/>
    <w:rsid w:val="009F4545"/>
    <w:rsid w:val="00A00EAE"/>
    <w:rsid w:val="00A32264"/>
    <w:rsid w:val="00A337CC"/>
    <w:rsid w:val="00A422D7"/>
    <w:rsid w:val="00A819AE"/>
    <w:rsid w:val="00A84458"/>
    <w:rsid w:val="00AB22E0"/>
    <w:rsid w:val="00AB7437"/>
    <w:rsid w:val="00AF2940"/>
    <w:rsid w:val="00AF7071"/>
    <w:rsid w:val="00B36E30"/>
    <w:rsid w:val="00B57D53"/>
    <w:rsid w:val="00B93544"/>
    <w:rsid w:val="00C030AF"/>
    <w:rsid w:val="00C40858"/>
    <w:rsid w:val="00CA342B"/>
    <w:rsid w:val="00CC60D3"/>
    <w:rsid w:val="00CD3432"/>
    <w:rsid w:val="00CE3B57"/>
    <w:rsid w:val="00CE5600"/>
    <w:rsid w:val="00CF6637"/>
    <w:rsid w:val="00D06255"/>
    <w:rsid w:val="00D11AC7"/>
    <w:rsid w:val="00D204F5"/>
    <w:rsid w:val="00D37ED7"/>
    <w:rsid w:val="00D476DA"/>
    <w:rsid w:val="00DB6450"/>
    <w:rsid w:val="00DC4E5E"/>
    <w:rsid w:val="00E00EE6"/>
    <w:rsid w:val="00E36E9C"/>
    <w:rsid w:val="00E535D3"/>
    <w:rsid w:val="00E563DA"/>
    <w:rsid w:val="00E570D2"/>
    <w:rsid w:val="00EB22EC"/>
    <w:rsid w:val="00F30E77"/>
    <w:rsid w:val="00F408CE"/>
    <w:rsid w:val="00F64933"/>
    <w:rsid w:val="00F73114"/>
    <w:rsid w:val="00F7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A550DF"/>
  <w15:chartTrackingRefBased/>
  <w15:docId w15:val="{D29DCE60-189D-9945-85ED-257AD760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B83"/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5B83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B83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B83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B83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B83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0F4761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B83"/>
    <w:pPr>
      <w:keepNext/>
      <w:keepLines/>
      <w:spacing w:before="4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B83"/>
    <w:pPr>
      <w:keepNext/>
      <w:keepLines/>
      <w:spacing w:before="40" w:line="276" w:lineRule="auto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B83"/>
    <w:pPr>
      <w:keepNext/>
      <w:keepLines/>
      <w:spacing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B83"/>
    <w:pPr>
      <w:keepNext/>
      <w:keepLines/>
      <w:spacing w:line="276" w:lineRule="auto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qFormat/>
    <w:rsid w:val="00F408CE"/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75B8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B8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B83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B83"/>
    <w:rPr>
      <w:rFonts w:asciiTheme="minorHAnsi" w:eastAsiaTheme="majorEastAsia" w:hAnsiTheme="minorHAnsi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B83"/>
    <w:rPr>
      <w:rFonts w:asciiTheme="minorHAnsi" w:eastAsiaTheme="majorEastAsia" w:hAnsiTheme="minorHAnsi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B83"/>
    <w:rPr>
      <w:rFonts w:asciiTheme="minorHAnsi" w:eastAsiaTheme="majorEastAsia" w:hAnsiTheme="minorHAnsi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B83"/>
    <w:rPr>
      <w:rFonts w:asciiTheme="minorHAnsi" w:eastAsiaTheme="majorEastAsia" w:hAnsiTheme="minorHAnsi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B83"/>
    <w:rPr>
      <w:rFonts w:asciiTheme="minorHAnsi" w:eastAsiaTheme="majorEastAsia" w:hAnsiTheme="minorHAnsi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B83"/>
    <w:rPr>
      <w:rFonts w:asciiTheme="minorHAnsi" w:eastAsiaTheme="majorEastAsia" w:hAnsiTheme="minorHAnsi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75B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F75B8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B83"/>
    <w:pPr>
      <w:numPr>
        <w:ilvl w:val="1"/>
      </w:numPr>
      <w:spacing w:after="160" w:line="276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75B83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75B83"/>
    <w:pPr>
      <w:spacing w:before="160" w:after="160" w:line="276" w:lineRule="auto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F75B83"/>
    <w:rPr>
      <w:rFonts w:asciiTheme="minorHAnsi" w:hAnsiTheme="minorHAnsi" w:cstheme="minorBidi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F75B83"/>
    <w:pPr>
      <w:spacing w:line="276" w:lineRule="auto"/>
      <w:ind w:left="720"/>
      <w:contextualSpacing/>
    </w:pPr>
    <w:rPr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F75B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0F4761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B83"/>
    <w:rPr>
      <w:rFonts w:asciiTheme="minorHAnsi" w:hAnsiTheme="minorHAnsi" w:cstheme="minorBidi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75B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5B83"/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928</Characters>
  <Application>Microsoft Office Word</Application>
  <DocSecurity>0</DocSecurity>
  <Lines>15</Lines>
  <Paragraphs>17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Owais Aftab</dc:creator>
  <cp:keywords/>
  <dc:description/>
  <cp:lastModifiedBy>Owais Aftab</cp:lastModifiedBy>
  <cp:revision>1</cp:revision>
  <dcterms:created xsi:type="dcterms:W3CDTF">2024-04-03T19:59:00Z</dcterms:created>
  <dcterms:modified xsi:type="dcterms:W3CDTF">2024-04-03T19:59:00Z</dcterms:modified>
</cp:coreProperties>
</file>