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"/>
        <w:rPr>
          <w:b w:val="1"/>
          <w:bCs w:val="1"/>
        </w:rPr>
      </w:pPr>
      <w:bookmarkStart w:name="_cuprlvi7ia3" w:id="0"/>
      <w:r>
        <w:rPr>
          <w:b w:val="1"/>
          <w:bCs w:val="1"/>
          <w:rtl w:val="0"/>
          <w:lang w:val="en-US"/>
        </w:rPr>
        <w:t>Supplementary Table 1</w:t>
      </w:r>
      <w:bookmarkEnd w:id="0"/>
      <w:r>
        <w:rPr>
          <w:b w:val="1"/>
          <w:bCs w:val="1"/>
          <w:rtl w:val="0"/>
          <w:lang w:val="pt-PT"/>
        </w:rPr>
        <w:t xml:space="preserve"> </w:t>
      </w:r>
    </w:p>
    <w:p>
      <w:pPr>
        <w:pStyle w:val="Body"/>
        <w:rPr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UKBB Showcase Fields</w:t>
      </w:r>
    </w:p>
    <w:p>
      <w:pPr>
        <w:pStyle w:val="Normal (Web)"/>
        <w:spacing w:before="0" w:after="0"/>
      </w:pP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Variables and corresponding UKBB data fields used for inclusion/exclusion/analysis. Self-reported were assessed via an interactive questionnaire completed at baseline enrolment into the UK Biobank. Further information can be found at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"https://biobank.ndph.ox.ac.uk/showcase/"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https://biobank.ndph.ox.ac.uk/showcase/</w:t>
      </w:r>
      <w:r>
        <w:rPr/>
        <w:fldChar w:fldCharType="end" w:fldLock="0"/>
      </w:r>
    </w:p>
    <w:p>
      <w:pPr>
        <w:pStyle w:val="Body"/>
        <w:spacing w:after="240"/>
      </w:pPr>
    </w:p>
    <w:tbl>
      <w:tblPr>
        <w:tblW w:w="900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938"/>
        <w:gridCol w:w="5071"/>
      </w:tblGrid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Variable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UK Biobank Data Field</w:t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9009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Demographic Information</w:t>
            </w:r>
          </w:p>
        </w:tc>
      </w:tr>
      <w:tr>
        <w:tblPrEx>
          <w:shd w:val="clear" w:color="auto" w:fill="ced7e7"/>
        </w:tblPrEx>
        <w:trPr>
          <w:trHeight w:val="45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Time of assessment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53: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Date of attending assessment centre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21003: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>Age when attended assessment centre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Ethnicity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21000: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Ethnic background</w:t>
            </w:r>
          </w:p>
        </w:tc>
      </w:tr>
      <w:tr>
        <w:tblPrEx>
          <w:shd w:val="clear" w:color="auto" w:fill="ced7e7"/>
        </w:tblPrEx>
        <w:trPr>
          <w:trHeight w:val="67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>Index of Multiple Deprivation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26410: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Index of Multiple Deprivation (England)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26427: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Index of Multiple Deprivation (Scotland)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26426: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Index of Multiple Deprivation (Wales)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>Sex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31: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Sex</w:t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9009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Systemic assessment</w:t>
            </w:r>
          </w:p>
        </w:tc>
      </w:tr>
      <w:tr>
        <w:tblPrEx>
          <w:shd w:val="clear" w:color="auto" w:fill="ced7e7"/>
        </w:tblPrEx>
        <w:trPr>
          <w:trHeight w:val="45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Diabetes mellitus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2443: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Diabetes diagnosed by a doctor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2976: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Age diabetes diagnosed</w:t>
            </w:r>
          </w:p>
        </w:tc>
      </w:tr>
      <w:tr>
        <w:tblPrEx>
          <w:shd w:val="clear" w:color="auto" w:fill="ced7e7"/>
        </w:tblPrEx>
        <w:trPr>
          <w:trHeight w:val="45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Blood Pressure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4079: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Diastolic blood pressure, automated reading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4080: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Systolic blood pressure, automated reading</w:t>
            </w:r>
          </w:p>
        </w:tc>
      </w:tr>
      <w:tr>
        <w:tblPrEx>
          <w:shd w:val="clear" w:color="auto" w:fill="ced7e7"/>
        </w:tblPrEx>
        <w:trPr>
          <w:trHeight w:val="45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Parkinson</w:t>
            </w:r>
            <w:r>
              <w:rPr>
                <w:rFonts w:ascii="Arial" w:hAnsi="Arial" w:hint="default"/>
                <w:sz w:val="20"/>
                <w:szCs w:val="20"/>
                <w:shd w:val="nil" w:color="auto" w:fill="auto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s disease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(ICD10)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41270: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Diagnoses - ICD10 (G20)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41280: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Date of first in-patient diagnosis - ICD10 (G20)</w:t>
            </w:r>
          </w:p>
        </w:tc>
      </w:tr>
      <w:tr>
        <w:tblPrEx>
          <w:shd w:val="clear" w:color="auto" w:fill="ced7e7"/>
        </w:tblPrEx>
        <w:trPr>
          <w:trHeight w:val="45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Schizophrenia (ICD10)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41270: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Diagnoses - ICD10 (F20)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41280: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Date of first in-patient diagnosis - ICD10 (F20)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Dementia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Style w:val="Hyperlink.1"/>
                <w:rFonts w:ascii="Arial" w:cs="Arial" w:hAnsi="Arial" w:eastAsia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begin" w:fldLock="0"/>
            </w:r>
            <w:r>
              <w:rPr>
                <w:rStyle w:val="Hyperlink.1"/>
                <w:rFonts w:ascii="Arial" w:cs="Arial" w:hAnsi="Arial" w:eastAsia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instrText xml:space="preserve"> HYPERLINK "https://biobank.ndph.ox.ac.uk/showcase/field.cgi?id=42018"</w:instrText>
            </w:r>
            <w:r>
              <w:rPr>
                <w:rStyle w:val="Hyperlink.1"/>
                <w:rFonts w:ascii="Arial" w:cs="Arial" w:hAnsi="Arial" w:eastAsia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separate" w:fldLock="0"/>
            </w:r>
            <w:r>
              <w:rPr>
                <w:rStyle w:val="Hyperlink.1"/>
                <w:rFonts w:ascii="Arial" w:hAnsi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42018</w:t>
            </w:r>
            <w:r>
              <w:rPr/>
              <w:fldChar w:fldCharType="end" w:fldLock="0"/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Hyperlink.2"/>
                <w:rFonts w:ascii="Arial" w:cs="Arial" w:hAnsi="Arial" w:eastAsia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begin" w:fldLock="0"/>
            </w:r>
            <w:r>
              <w:rPr>
                <w:rStyle w:val="Hyperlink.2"/>
                <w:rFonts w:ascii="Arial" w:cs="Arial" w:hAnsi="Arial" w:eastAsia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instrText xml:space="preserve"> HYPERLINK "https://biobank.ndph.ox.ac.uk/showcase/field.cgi?id=42018"</w:instrText>
            </w:r>
            <w:r>
              <w:rPr>
                <w:rStyle w:val="Hyperlink.2"/>
                <w:rFonts w:ascii="Arial" w:cs="Arial" w:hAnsi="Arial" w:eastAsia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separate" w:fldLock="0"/>
            </w:r>
            <w:r>
              <w:rPr>
                <w:rStyle w:val="Hyperlink.2"/>
                <w:rFonts w:ascii="Arial" w:hAnsi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Date of all-cause dementia report</w:t>
            </w:r>
            <w:r>
              <w:rPr/>
              <w:fldChar w:fldCharType="end" w:fldLock="0"/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Smoking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20161: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Pack years of smoking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Body mass index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21001: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Body mass index (BMI)</w:t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9009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Ocular assessment</w:t>
            </w:r>
          </w:p>
        </w:tc>
      </w:tr>
      <w:tr>
        <w:tblPrEx>
          <w:shd w:val="clear" w:color="auto" w:fill="ced7e7"/>
        </w:tblPrEx>
        <w:trPr>
          <w:trHeight w:val="67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Presence of eye disease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glaucoma, retinal, injury or macular disease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6148: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Eye problems/disorders</w:t>
            </w:r>
          </w:p>
        </w:tc>
      </w:tr>
      <w:tr>
        <w:tblPrEx>
          <w:shd w:val="clear" w:color="auto" w:fill="ced7e7"/>
        </w:tblPrEx>
        <w:trPr>
          <w:trHeight w:val="45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Best-corrected visual acuity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5201: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logMAR, final (right)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5208: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logMAR, final (left)</w:t>
            </w:r>
          </w:p>
        </w:tc>
      </w:tr>
      <w:tr>
        <w:tblPrEx>
          <w:shd w:val="clear" w:color="auto" w:fill="ced7e7"/>
        </w:tblPrEx>
        <w:trPr>
          <w:trHeight w:val="1131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Intra-ocular pressure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5254: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Intra-ocular pressure, corneal-compensated (right)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5262: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Intra-ocular pressure, corneal-compensated (left)</w:t>
            </w:r>
            <w:r>
              <w:rPr>
                <w:shd w:val="nil" w:color="auto" w:fill="auto"/>
              </w:rPr>
            </w:r>
          </w:p>
        </w:tc>
      </w:tr>
      <w:tr>
        <w:tblPrEx>
          <w:shd w:val="clear" w:color="auto" w:fill="ced7e7"/>
        </w:tblPrEx>
        <w:trPr>
          <w:trHeight w:val="45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Spherical Equivalent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Style w:val="Hyperlink.1"/>
                <w:rFonts w:ascii="Arial" w:cs="Arial" w:hAnsi="Arial" w:eastAsia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begin" w:fldLock="0"/>
            </w:r>
            <w:r>
              <w:rPr>
                <w:rStyle w:val="Hyperlink.1"/>
                <w:rFonts w:ascii="Arial" w:cs="Arial" w:hAnsi="Arial" w:eastAsia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instrText xml:space="preserve"> HYPERLINK "https://biobank.ndph.ox.ac.uk/showcase/field.cgi?id=7389"</w:instrText>
            </w:r>
            <w:r>
              <w:rPr>
                <w:rStyle w:val="Hyperlink.1"/>
                <w:rFonts w:ascii="Arial" w:cs="Arial" w:hAnsi="Arial" w:eastAsia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separate" w:fldLock="0"/>
            </w:r>
            <w:r>
              <w:rPr>
                <w:rStyle w:val="Hyperlink.1"/>
                <w:rFonts w:ascii="Arial" w:hAnsi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7389</w:t>
            </w:r>
            <w:r>
              <w:rPr/>
              <w:fldChar w:fldCharType="end" w:fldLock="0"/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rStyle w:val="Hyperlink.2"/>
                <w:rFonts w:ascii="Arial" w:cs="Arial" w:hAnsi="Arial" w:eastAsia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begin" w:fldLock="0"/>
            </w:r>
            <w:r>
              <w:rPr>
                <w:rStyle w:val="Hyperlink.2"/>
                <w:rFonts w:ascii="Arial" w:cs="Arial" w:hAnsi="Arial" w:eastAsia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instrText xml:space="preserve"> HYPERLINK "https://biobank.ndph.ox.ac.uk/showcase/field.cgi?id=7389"</w:instrText>
            </w:r>
            <w:r>
              <w:rPr>
                <w:rStyle w:val="Hyperlink.2"/>
                <w:rFonts w:ascii="Arial" w:cs="Arial" w:hAnsi="Arial" w:eastAsia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separate" w:fldLock="0"/>
            </w:r>
            <w:r>
              <w:rPr>
                <w:rStyle w:val="Hyperlink.2"/>
                <w:rFonts w:ascii="Arial" w:hAnsi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Spherical equivalent value (left)</w:t>
            </w:r>
            <w:r>
              <w:rPr/>
              <w:fldChar w:fldCharType="end" w:fldLock="0"/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Style w:val="Hyperlink.1"/>
                <w:rFonts w:ascii="Arial" w:cs="Arial" w:hAnsi="Arial" w:eastAsia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begin" w:fldLock="0"/>
            </w:r>
            <w:r>
              <w:rPr>
                <w:rStyle w:val="Hyperlink.1"/>
                <w:rFonts w:ascii="Arial" w:cs="Arial" w:hAnsi="Arial" w:eastAsia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instrText xml:space="preserve"> HYPERLINK "https://biobank.ndph.ox.ac.uk/showcase/field.cgi?id=7390"</w:instrText>
            </w:r>
            <w:r>
              <w:rPr>
                <w:rStyle w:val="Hyperlink.1"/>
                <w:rFonts w:ascii="Arial" w:cs="Arial" w:hAnsi="Arial" w:eastAsia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separate" w:fldLock="0"/>
            </w:r>
            <w:r>
              <w:rPr>
                <w:rStyle w:val="Hyperlink.1"/>
                <w:rFonts w:ascii="Arial" w:hAnsi="Arial"/>
                <w:b w:val="1"/>
                <w:bCs w:val="1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7390</w:t>
            </w:r>
            <w:r>
              <w:rPr/>
              <w:fldChar w:fldCharType="end" w:fldLock="0"/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rStyle w:val="Hyperlink.2"/>
                <w:rFonts w:ascii="Arial" w:cs="Arial" w:hAnsi="Arial" w:eastAsia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begin" w:fldLock="0"/>
            </w:r>
            <w:r>
              <w:rPr>
                <w:rStyle w:val="Hyperlink.2"/>
                <w:rFonts w:ascii="Arial" w:cs="Arial" w:hAnsi="Arial" w:eastAsia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instrText xml:space="preserve"> HYPERLINK "https://biobank.ndph.ox.ac.uk/showcase/field.cgi?id=7390"</w:instrText>
            </w:r>
            <w:r>
              <w:rPr>
                <w:rStyle w:val="Hyperlink.2"/>
                <w:rFonts w:ascii="Arial" w:cs="Arial" w:hAnsi="Arial" w:eastAsia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lang w:val="en-US"/>
                <w14:textFill>
                  <w14:solidFill>
                    <w14:srgbClr w14:val="000000"/>
                  </w14:solidFill>
                </w14:textFill>
              </w:rPr>
              <w:fldChar w:fldCharType="separate" w:fldLock="0"/>
            </w:r>
            <w:r>
              <w:rPr>
                <w:rStyle w:val="Hyperlink.2"/>
                <w:rFonts w:ascii="Arial" w:hAnsi="Arial"/>
                <w:outline w:val="0"/>
                <w:color w:val="000000"/>
                <w:sz w:val="20"/>
                <w:szCs w:val="20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Spherical equivalent value (right)</w:t>
            </w:r>
            <w:r>
              <w:rPr/>
              <w:fldChar w:fldCharType="end" w:fldLock="0"/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9009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Female-specific factors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Menarche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2714: 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Age when period started (menarche)</w:t>
            </w:r>
          </w:p>
        </w:tc>
      </w:tr>
      <w:tr>
        <w:tblPrEx>
          <w:shd w:val="clear" w:color="auto" w:fill="ced7e7"/>
        </w:tblPrEx>
        <w:trPr>
          <w:trHeight w:val="89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Menstrual cycle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3700: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Time since last menstrual period (days)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3710: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Length of menstrual cycle (days)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3710 = 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“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-6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”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Irregular cycle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3720: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Menstruating today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Parity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2764: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>Age at last live birth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Pregnancy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3140: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Pregnant</w:t>
            </w:r>
          </w:p>
        </w:tc>
      </w:tr>
      <w:tr>
        <w:tblPrEx>
          <w:shd w:val="clear" w:color="auto" w:fill="ced7e7"/>
        </w:tblPrEx>
        <w:trPr>
          <w:trHeight w:val="45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Oral contraception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rPr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6153 = 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“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”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Oral contraceptive pill or minipill</w:t>
            </w:r>
          </w:p>
          <w:p>
            <w:pPr>
              <w:pStyle w:val="Normal (Web)"/>
              <w:bidi w:val="0"/>
              <w:spacing w:before="0" w:after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2804 = 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”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-11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”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Still taking the pill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>Hormonal Replacement Therapy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6153 = 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“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”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>Hormone replacement therapy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393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</w:pP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>Oestradiol (pmol/L)</w:t>
            </w:r>
          </w:p>
        </w:tc>
        <w:tc>
          <w:tcPr>
            <w:tcW w:type="dxa" w:w="50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hd w:val="clear" w:color="auto" w:fill="ffffff"/>
              <w:spacing w:before="0" w:after="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30800</w:t>
            </w:r>
            <w:r>
              <w:rPr>
                <w:rFonts w:ascii="Arial" w:hAnsi="Arial"/>
                <w:sz w:val="20"/>
                <w:szCs w:val="20"/>
                <w:shd w:val="clear" w:color="auto" w:fill="ffffff"/>
                <w:rtl w:val="0"/>
                <w:lang w:val="en-US"/>
              </w:rPr>
              <w:t>: Oestradiol</w:t>
            </w:r>
          </w:p>
        </w:tc>
      </w:tr>
    </w:tbl>
    <w:p>
      <w:pPr>
        <w:pStyle w:val="Body"/>
        <w:widowControl w:val="0"/>
        <w:spacing w:after="240" w:line="240" w:lineRule="auto"/>
      </w:pPr>
    </w:p>
    <w:p>
      <w:pPr>
        <w:pStyle w:val="Body"/>
        <w:rPr>
          <w:b w:val="1"/>
          <w:bCs w:val="1"/>
          <w:outline w:val="0"/>
          <w:color w:val="434343"/>
          <w:sz w:val="28"/>
          <w:szCs w:val="28"/>
          <w:u w:color="434343"/>
          <w14:textFill>
            <w14:solidFill>
              <w14:srgbClr w14:val="434343"/>
            </w14:solidFill>
          </w14:textFill>
        </w:rPr>
      </w:pPr>
    </w:p>
    <w:p>
      <w:pPr>
        <w:pStyle w:val="Body"/>
        <w:rPr>
          <w:outline w:val="0"/>
          <w:color w:val="434343"/>
          <w:u w:color="434343"/>
          <w14:textFill>
            <w14:solidFill>
              <w14:srgbClr w14:val="434343"/>
            </w14:solidFill>
          </w14:textFill>
        </w:rPr>
      </w:pPr>
    </w:p>
    <w:p>
      <w:pPr>
        <w:pStyle w:val="Heading"/>
        <w:rPr>
          <w:b w:val="1"/>
          <w:bCs w:val="1"/>
          <w:outline w:val="0"/>
          <w:color w:val="434343"/>
          <w:u w:color="434343"/>
          <w14:textFill>
            <w14:solidFill>
              <w14:srgbClr w14:val="434343"/>
            </w14:solidFill>
          </w14:textFill>
        </w:rPr>
      </w:pPr>
      <w:r>
        <w:rPr>
          <w:b w:val="1"/>
          <w:bCs w:val="1"/>
          <w:u w:color="434343"/>
          <w:rtl w:val="0"/>
          <w:lang w:val="en-US"/>
        </w:rPr>
        <w:t xml:space="preserve">Supplementary Table </w:t>
      </w:r>
      <w:r>
        <w:rPr>
          <w:b w:val="1"/>
          <w:bCs w:val="1"/>
          <w:u w:color="434343"/>
          <w:rtl w:val="0"/>
          <w:lang w:val="pt-PT"/>
        </w:rPr>
        <w:t xml:space="preserve">2 </w:t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Association between OCT-derived total retinal, inner retinal, and outer retinal thicknesses with cycle phase within the inner 3mm ETDRS ring subfields</w:t>
      </w:r>
    </w:p>
    <w:p>
      <w:pPr>
        <w:pStyle w:val="Body"/>
        <w:rPr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8961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306"/>
        <w:gridCol w:w="1701"/>
        <w:gridCol w:w="851"/>
        <w:gridCol w:w="1701"/>
        <w:gridCol w:w="850"/>
        <w:gridCol w:w="1701"/>
        <w:gridCol w:w="851"/>
      </w:tblGrid>
      <w:tr>
        <w:tblPrEx>
          <w:shd w:val="clear" w:color="auto" w:fill="ced7e7"/>
        </w:tblPrEx>
        <w:trPr>
          <w:trHeight w:val="209" w:hRule="atLeast"/>
        </w:trPr>
        <w:tc>
          <w:tcPr>
            <w:tcW w:type="dxa" w:w="1306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Subfields of the Inner 3 mm ETDRS ring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TRT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nil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IRT</w:t>
            </w:r>
          </w:p>
        </w:tc>
        <w:tc>
          <w:tcPr>
            <w:tcW w:type="dxa" w:w="850"/>
            <w:tcBorders>
              <w:top w:val="single" w:color="000000" w:sz="6" w:space="0" w:shadow="0" w:frame="0"/>
              <w:left w:val="nil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ORT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nil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856" w:hRule="atLeast"/>
        </w:trPr>
        <w:tc>
          <w:tcPr>
            <w:tcW w:type="dxa" w:w="1306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Thickness difference, 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μ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m, (95% CI)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p-value</w:t>
            </w:r>
          </w:p>
        </w:tc>
        <w:tc>
          <w:tcPr>
            <w:tcW w:type="dxa" w:w="17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Thickness difference, 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μ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m, (95% CI)</w:t>
            </w:r>
          </w:p>
        </w:tc>
        <w:tc>
          <w:tcPr>
            <w:tcW w:type="dxa" w:w="8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p-value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Thickness difference, 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μ</w:t>
            </w: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m, (95% CI)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p-value</w:t>
            </w:r>
          </w:p>
        </w:tc>
      </w:tr>
      <w:tr>
        <w:tblPrEx>
          <w:shd w:val="clear" w:color="auto" w:fill="ced7e7"/>
        </w:tblPrEx>
        <w:trPr>
          <w:trHeight w:val="209" w:hRule="atLeast"/>
        </w:trPr>
        <w:tc>
          <w:tcPr>
            <w:tcW w:type="dxa" w:w="13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Central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outline w:val="0"/>
                <w:color w:val="339966"/>
                <w:sz w:val="18"/>
                <w:szCs w:val="18"/>
                <w:u w:color="339966"/>
                <w:shd w:val="nil" w:color="auto" w:fill="auto"/>
                <w:rtl w:val="0"/>
                <w:lang w:val="en-US"/>
                <w14:textFill>
                  <w14:solidFill>
                    <w14:srgbClr w14:val="339966"/>
                  </w14:solidFill>
                </w14:textFill>
              </w:rPr>
              <w:t>-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outline w:val="0"/>
                <w:color w:val="339966"/>
                <w:sz w:val="18"/>
                <w:szCs w:val="18"/>
                <w:u w:color="339966"/>
                <w:shd w:val="nil" w:color="auto" w:fill="auto"/>
                <w:rtl w:val="0"/>
                <w:lang w:val="en-US"/>
                <w14:textFill>
                  <w14:solidFill>
                    <w14:srgbClr w14:val="339966"/>
                  </w14:solidFill>
                </w14:textFill>
              </w:rPr>
              <w:t>-</w:t>
            </w:r>
          </w:p>
        </w:tc>
        <w:tc>
          <w:tcPr>
            <w:tcW w:type="dxa" w:w="17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outline w:val="0"/>
                <w:color w:val="339966"/>
                <w:sz w:val="18"/>
                <w:szCs w:val="18"/>
                <w:u w:color="339966"/>
                <w:shd w:val="nil" w:color="auto" w:fill="auto"/>
                <w:rtl w:val="0"/>
                <w:lang w:val="en-US"/>
                <w14:textFill>
                  <w14:solidFill>
                    <w14:srgbClr w14:val="339966"/>
                  </w14:solidFill>
                </w14:textFill>
              </w:rPr>
              <w:t>-</w:t>
            </w:r>
          </w:p>
        </w:tc>
        <w:tc>
          <w:tcPr>
            <w:tcW w:type="dxa" w:w="8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outline w:val="0"/>
                <w:color w:val="339966"/>
                <w:sz w:val="18"/>
                <w:szCs w:val="18"/>
                <w:u w:color="339966"/>
                <w:shd w:val="nil" w:color="auto" w:fill="auto"/>
                <w:rtl w:val="0"/>
                <w:lang w:val="en-US"/>
                <w14:textFill>
                  <w14:solidFill>
                    <w14:srgbClr w14:val="339966"/>
                  </w14:solidFill>
                </w14:textFill>
              </w:rPr>
              <w:t>-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0.12 (-2.99, 3.23)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0.94</w:t>
            </w:r>
          </w:p>
        </w:tc>
      </w:tr>
      <w:tr>
        <w:tblPrEx>
          <w:shd w:val="clear" w:color="auto" w:fill="ced7e7"/>
        </w:tblPrEx>
        <w:trPr>
          <w:trHeight w:val="609" w:hRule="atLeast"/>
        </w:trPr>
        <w:tc>
          <w:tcPr>
            <w:tcW w:type="dxa" w:w="13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Inner superior field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3.14 ( -0.99, 7.23)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0.14</w:t>
            </w:r>
          </w:p>
        </w:tc>
        <w:tc>
          <w:tcPr>
            <w:tcW w:type="dxa" w:w="17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2.76 (-1.10, 6.62)</w:t>
            </w:r>
          </w:p>
        </w:tc>
        <w:tc>
          <w:tcPr>
            <w:tcW w:type="dxa" w:w="8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0.17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1.21 (-1.53, 3.95)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0.39</w:t>
            </w:r>
          </w:p>
        </w:tc>
      </w:tr>
      <w:tr>
        <w:tblPrEx>
          <w:shd w:val="clear" w:color="auto" w:fill="ced7e7"/>
        </w:tblPrEx>
        <w:trPr>
          <w:trHeight w:val="409" w:hRule="atLeast"/>
        </w:trPr>
        <w:tc>
          <w:tcPr>
            <w:tcW w:type="dxa" w:w="13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Inner nasal field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1.40 (-2.48, 5.27)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0.48</w:t>
            </w:r>
          </w:p>
        </w:tc>
        <w:tc>
          <w:tcPr>
            <w:tcW w:type="dxa" w:w="17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1.02 (- 2.82, 4.85)</w:t>
            </w:r>
          </w:p>
        </w:tc>
        <w:tc>
          <w:tcPr>
            <w:tcW w:type="dxa" w:w="8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0.61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1.84 (-1.66, 5.34)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0.31</w:t>
            </w:r>
          </w:p>
        </w:tc>
      </w:tr>
      <w:tr>
        <w:tblPrEx>
          <w:shd w:val="clear" w:color="auto" w:fill="ced7e7"/>
        </w:tblPrEx>
        <w:trPr>
          <w:trHeight w:val="409" w:hRule="atLeast"/>
        </w:trPr>
        <w:tc>
          <w:tcPr>
            <w:tcW w:type="dxa" w:w="13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Inner inferior field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0.87 (-2.76, 4.49)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0.64</w:t>
            </w:r>
          </w:p>
        </w:tc>
        <w:tc>
          <w:tcPr>
            <w:tcW w:type="dxa" w:w="17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0.67 (-3.59, 4.93)</w:t>
            </w:r>
          </w:p>
        </w:tc>
        <w:tc>
          <w:tcPr>
            <w:tcW w:type="dxa" w:w="8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0.76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1.10 (-2.81, 5.01)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0.58</w:t>
            </w:r>
          </w:p>
        </w:tc>
      </w:tr>
      <w:tr>
        <w:tblPrEx>
          <w:shd w:val="clear" w:color="auto" w:fill="ced7e7"/>
        </w:tblPrEx>
        <w:trPr>
          <w:trHeight w:val="609" w:hRule="atLeast"/>
        </w:trPr>
        <w:tc>
          <w:tcPr>
            <w:tcW w:type="dxa" w:w="13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Inner temporal field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2.24 (-2.76, 4.49)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0.2</w:t>
            </w:r>
          </w:p>
        </w:tc>
        <w:tc>
          <w:tcPr>
            <w:tcW w:type="dxa" w:w="170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1.71 (-1.64, 5.05)</w:t>
            </w:r>
          </w:p>
        </w:tc>
        <w:tc>
          <w:tcPr>
            <w:tcW w:type="dxa" w:w="8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0.32</w:t>
            </w:r>
          </w:p>
        </w:tc>
        <w:tc>
          <w:tcPr>
            <w:tcW w:type="dxa" w:w="170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0.94 (-2.18, 4.06)</w:t>
            </w:r>
          </w:p>
        </w:tc>
        <w:tc>
          <w:tcPr>
            <w:tcW w:type="dxa" w:w="85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0.56</w:t>
            </w:r>
          </w:p>
        </w:tc>
      </w:tr>
    </w:tbl>
    <w:p>
      <w:pPr>
        <w:pStyle w:val="Body"/>
        <w:widowControl w:val="0"/>
        <w:spacing w:line="240" w:lineRule="auto"/>
        <w:rPr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rPr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</w:pPr>
      <w:r>
        <w:rPr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The analysis was adjusted for covariates and estimated through multivariable linear mixed-effects models. Coefficients are presented for the luteal phase, with the follicular phase set as a reference. </w:t>
      </w:r>
      <w:r>
        <w:rPr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w:br w:type="textWrapping"/>
      </w:r>
      <w:r>
        <w:rPr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Abbreviations: ETDRS = Early treatment diabetic retinopathy study; CI = confidence interval, TRT = total retinal thickness, IRT = inner retina thickness, ORT = outer retina thickness.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00" w:after="120" w:line="276" w:lineRule="auto"/>
      <w:ind w:left="0" w:right="0" w:firstLine="0"/>
      <w:jc w:val="left"/>
      <w:outlineLvl w:val="0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Arial" w:cs="Arial" w:hAnsi="Arial" w:eastAsia="Arial"/>
      <w:outline w:val="0"/>
      <w:color w:val="1155cc"/>
      <w:sz w:val="22"/>
      <w:szCs w:val="22"/>
      <w:u w:color="1155cc"/>
      <w14:textFill>
        <w14:solidFill>
          <w14:srgbClr w14:val="1155CC"/>
        </w14:solidFill>
      </w14:textFill>
    </w:rPr>
  </w:style>
  <w:style w:type="character" w:styleId="Hyperlink.1">
    <w:name w:val="Hyperlink.1"/>
    <w:basedOn w:val="Link"/>
    <w:next w:val="Hyperlink.1"/>
    <w:rPr>
      <w:rFonts w:ascii="Arial" w:cs="Arial" w:hAnsi="Arial" w:eastAsia="Arial"/>
      <w:b w:val="1"/>
      <w:bCs w:val="1"/>
      <w:outline w:val="0"/>
      <w:color w:val="000000"/>
      <w:sz w:val="20"/>
      <w:szCs w:val="20"/>
      <w:u w:color="000000"/>
      <w:shd w:val="nil" w:color="auto" w:fill="auto"/>
      <w:lang w:val="en-US"/>
      <w14:textFill>
        <w14:solidFill>
          <w14:srgbClr w14:val="000000"/>
        </w14:solidFill>
      </w14:textFill>
    </w:rPr>
  </w:style>
  <w:style w:type="character" w:styleId="Hyperlink.2">
    <w:name w:val="Hyperlink.2"/>
    <w:basedOn w:val="Link"/>
    <w:next w:val="Hyperlink.2"/>
    <w:rPr>
      <w:rFonts w:ascii="Arial" w:cs="Arial" w:hAnsi="Arial" w:eastAsia="Arial"/>
      <w:outline w:val="0"/>
      <w:color w:val="000000"/>
      <w:sz w:val="20"/>
      <w:szCs w:val="20"/>
      <w:u w:color="000000"/>
      <w:shd w:val="nil" w:color="auto" w:fill="auto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