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4CFF8" w14:textId="77ECD031" w:rsidR="00300952" w:rsidRPr="00B53A42" w:rsidRDefault="00300952" w:rsidP="00300952">
      <w:pPr>
        <w:rPr>
          <w:rFonts w:ascii="Times New Roman" w:hAnsi="Times New Roman" w:cs="Times New Roman"/>
          <w:b/>
          <w:bCs/>
        </w:rPr>
      </w:pPr>
      <w:r w:rsidRPr="00B53A42">
        <w:rPr>
          <w:rFonts w:ascii="Times New Roman" w:hAnsi="Times New Roman" w:cs="Times New Roman"/>
          <w:b/>
          <w:bCs/>
        </w:rPr>
        <w:t xml:space="preserve">Supplemental </w:t>
      </w:r>
      <w:r w:rsidR="00D833CE">
        <w:rPr>
          <w:rFonts w:ascii="Times New Roman" w:hAnsi="Times New Roman" w:cs="Times New Roman"/>
          <w:b/>
          <w:bCs/>
        </w:rPr>
        <w:t>Figures</w:t>
      </w:r>
    </w:p>
    <w:p w14:paraId="68BB446B" w14:textId="77777777" w:rsidR="00300952" w:rsidRPr="00700500" w:rsidRDefault="00300952" w:rsidP="00300952">
      <w:pPr>
        <w:rPr>
          <w:rFonts w:ascii="Times New Roman" w:hAnsi="Times New Roman" w:cs="Times New Roman"/>
        </w:rPr>
      </w:pPr>
    </w:p>
    <w:p w14:paraId="733CA94A" w14:textId="77777777" w:rsidR="00300952" w:rsidRPr="00700500" w:rsidRDefault="00300952" w:rsidP="00300952">
      <w:pPr>
        <w:rPr>
          <w:rFonts w:ascii="Times New Roman" w:hAnsi="Times New Roman" w:cs="Times New Roman"/>
        </w:rPr>
      </w:pPr>
    </w:p>
    <w:p w14:paraId="793775B7"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drawing>
          <wp:inline distT="0" distB="0" distL="0" distR="0" wp14:anchorId="522DB6CA" wp14:editId="3ECA4218">
            <wp:extent cx="5702590" cy="2099388"/>
            <wp:effectExtent l="0" t="0" r="0" b="0"/>
            <wp:docPr id="16059730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73098" name="Picture 1605973098"/>
                    <pic:cNvPicPr/>
                  </pic:nvPicPr>
                  <pic:blipFill rotWithShape="1">
                    <a:blip r:embed="rId4" cstate="print">
                      <a:extLst>
                        <a:ext uri="{28A0092B-C50C-407E-A947-70E740481C1C}">
                          <a14:useLocalDpi xmlns:a14="http://schemas.microsoft.com/office/drawing/2010/main" val="0"/>
                        </a:ext>
                      </a:extLst>
                    </a:blip>
                    <a:srcRect r="29586" b="53819"/>
                    <a:stretch/>
                  </pic:blipFill>
                  <pic:spPr bwMode="auto">
                    <a:xfrm>
                      <a:off x="0" y="0"/>
                      <a:ext cx="5712349" cy="2102981"/>
                    </a:xfrm>
                    <a:prstGeom prst="rect">
                      <a:avLst/>
                    </a:prstGeom>
                    <a:ln>
                      <a:noFill/>
                    </a:ln>
                    <a:extLst>
                      <a:ext uri="{53640926-AAD7-44D8-BBD7-CCE9431645EC}">
                        <a14:shadowObscured xmlns:a14="http://schemas.microsoft.com/office/drawing/2010/main"/>
                      </a:ext>
                    </a:extLst>
                  </pic:spPr>
                </pic:pic>
              </a:graphicData>
            </a:graphic>
          </wp:inline>
        </w:drawing>
      </w:r>
    </w:p>
    <w:p w14:paraId="5FABD4A8" w14:textId="77777777" w:rsidR="00300952" w:rsidRPr="00700500" w:rsidRDefault="00300952" w:rsidP="00300952">
      <w:pPr>
        <w:rPr>
          <w:rFonts w:ascii="Times New Roman" w:hAnsi="Times New Roman" w:cs="Times New Roman"/>
        </w:rPr>
      </w:pPr>
      <w:r w:rsidRPr="00700500">
        <w:rPr>
          <w:rFonts w:ascii="Times New Roman" w:hAnsi="Times New Roman" w:cs="Times New Roman"/>
        </w:rPr>
        <w:t>Figure S1. (A) Alpha diversity measured using the Shannon diversity index of the total community was significantly higher in swamps and marshes compared to bog and fen (p&lt;0.001). (B) Total community alpha diversity was significantly correlated with annual CH</w:t>
      </w:r>
      <w:r w:rsidRPr="00700500">
        <w:rPr>
          <w:rFonts w:ascii="Times New Roman" w:hAnsi="Times New Roman" w:cs="Times New Roman"/>
          <w:vertAlign w:val="subscript"/>
        </w:rPr>
        <w:t>4</w:t>
      </w:r>
      <w:r w:rsidRPr="00700500">
        <w:rPr>
          <w:rFonts w:ascii="Times New Roman" w:hAnsi="Times New Roman" w:cs="Times New Roman"/>
        </w:rPr>
        <w:t xml:space="preserve"> flux. </w:t>
      </w:r>
    </w:p>
    <w:p w14:paraId="5E0A0F84" w14:textId="77777777" w:rsidR="00300952" w:rsidRPr="00700500" w:rsidRDefault="00300952" w:rsidP="00300952">
      <w:pPr>
        <w:rPr>
          <w:rFonts w:ascii="Times New Roman" w:hAnsi="Times New Roman" w:cs="Times New Roman"/>
        </w:rPr>
      </w:pPr>
    </w:p>
    <w:p w14:paraId="430216AA" w14:textId="77777777" w:rsidR="00300952" w:rsidRPr="00700500" w:rsidRDefault="00300952" w:rsidP="00300952">
      <w:pPr>
        <w:rPr>
          <w:rFonts w:ascii="Times New Roman" w:hAnsi="Times New Roman" w:cs="Times New Roman"/>
        </w:rPr>
      </w:pPr>
    </w:p>
    <w:p w14:paraId="422C5E2F" w14:textId="77777777" w:rsidR="00300952" w:rsidRPr="00700500" w:rsidRDefault="00300952" w:rsidP="00300952">
      <w:pPr>
        <w:rPr>
          <w:rFonts w:ascii="Times New Roman" w:hAnsi="Times New Roman" w:cs="Times New Roman"/>
        </w:rPr>
      </w:pPr>
    </w:p>
    <w:p w14:paraId="3B261687" w14:textId="77777777" w:rsidR="00300952" w:rsidRPr="00700500" w:rsidRDefault="00300952" w:rsidP="00300952">
      <w:pPr>
        <w:rPr>
          <w:rFonts w:ascii="Times New Roman" w:hAnsi="Times New Roman" w:cs="Times New Roman"/>
        </w:rPr>
      </w:pPr>
    </w:p>
    <w:p w14:paraId="3F3B10A2"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lastRenderedPageBreak/>
        <w:drawing>
          <wp:inline distT="0" distB="0" distL="0" distR="0" wp14:anchorId="705673F9" wp14:editId="3FAC0ED1">
            <wp:extent cx="5943600" cy="6163945"/>
            <wp:effectExtent l="0" t="0" r="0" b="0"/>
            <wp:docPr id="3279796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979664" name="Picture 327979664"/>
                    <pic:cNvPicPr/>
                  </pic:nvPicPr>
                  <pic:blipFill>
                    <a:blip r:embed="rId5">
                      <a:extLst>
                        <a:ext uri="{28A0092B-C50C-407E-A947-70E740481C1C}">
                          <a14:useLocalDpi xmlns:a14="http://schemas.microsoft.com/office/drawing/2010/main" val="0"/>
                        </a:ext>
                      </a:extLst>
                    </a:blip>
                    <a:stretch>
                      <a:fillRect/>
                    </a:stretch>
                  </pic:blipFill>
                  <pic:spPr>
                    <a:xfrm>
                      <a:off x="0" y="0"/>
                      <a:ext cx="5943600" cy="6163945"/>
                    </a:xfrm>
                    <a:prstGeom prst="rect">
                      <a:avLst/>
                    </a:prstGeom>
                  </pic:spPr>
                </pic:pic>
              </a:graphicData>
            </a:graphic>
          </wp:inline>
        </w:drawing>
      </w:r>
      <w:r w:rsidRPr="00700500">
        <w:rPr>
          <w:rFonts w:ascii="Times New Roman" w:hAnsi="Times New Roman" w:cs="Times New Roman"/>
        </w:rPr>
        <w:t xml:space="preserve">Figure S2. Wetland type and pH are dominant drivers of microbial communities. (A) Nonmetric multidimensional scaling (NMDS) </w:t>
      </w:r>
      <w:proofErr w:type="spellStart"/>
      <w:r w:rsidRPr="00700500">
        <w:rPr>
          <w:rFonts w:ascii="Times New Roman" w:hAnsi="Times New Roman" w:cs="Times New Roman"/>
        </w:rPr>
        <w:t>oridination</w:t>
      </w:r>
      <w:proofErr w:type="spellEnd"/>
      <w:r w:rsidRPr="00700500">
        <w:rPr>
          <w:rFonts w:ascii="Times New Roman" w:hAnsi="Times New Roman" w:cs="Times New Roman"/>
        </w:rPr>
        <w:t xml:space="preserve"> of wetland communities was overlayed with significant environmental variables using </w:t>
      </w:r>
      <w:proofErr w:type="spellStart"/>
      <w:r w:rsidRPr="00700500">
        <w:rPr>
          <w:rFonts w:ascii="Times New Roman" w:hAnsi="Times New Roman" w:cs="Times New Roman"/>
        </w:rPr>
        <w:t>envfit</w:t>
      </w:r>
      <w:proofErr w:type="spellEnd"/>
      <w:r w:rsidRPr="00700500">
        <w:rPr>
          <w:rFonts w:ascii="Times New Roman" w:hAnsi="Times New Roman" w:cs="Times New Roman"/>
        </w:rPr>
        <w:t xml:space="preserve">. (B) </w:t>
      </w:r>
      <w:proofErr w:type="spellStart"/>
      <w:r w:rsidRPr="00700500">
        <w:rPr>
          <w:rFonts w:ascii="Times New Roman" w:hAnsi="Times New Roman" w:cs="Times New Roman"/>
        </w:rPr>
        <w:t>Barplot</w:t>
      </w:r>
      <w:proofErr w:type="spellEnd"/>
      <w:r w:rsidRPr="00700500">
        <w:rPr>
          <w:rFonts w:ascii="Times New Roman" w:hAnsi="Times New Roman" w:cs="Times New Roman"/>
        </w:rPr>
        <w:t xml:space="preserve"> visualizing the relative importance of environmental factors that explain variation in the microbial communities. (C) Higher pH and CH</w:t>
      </w:r>
      <w:r w:rsidRPr="00700500">
        <w:rPr>
          <w:rFonts w:ascii="Times New Roman" w:hAnsi="Times New Roman" w:cs="Times New Roman"/>
          <w:vertAlign w:val="subscript"/>
        </w:rPr>
        <w:t>4</w:t>
      </w:r>
      <w:r w:rsidRPr="00700500">
        <w:rPr>
          <w:rFonts w:ascii="Times New Roman" w:hAnsi="Times New Roman" w:cs="Times New Roman"/>
        </w:rPr>
        <w:t xml:space="preserve"> flux were correlated with microbial communities from marsh sites.</w:t>
      </w:r>
    </w:p>
    <w:p w14:paraId="57F9FDA7" w14:textId="77777777" w:rsidR="00300952" w:rsidRPr="00700500" w:rsidRDefault="00300952" w:rsidP="00300952">
      <w:pPr>
        <w:rPr>
          <w:rFonts w:ascii="Times New Roman" w:hAnsi="Times New Roman" w:cs="Times New Roman"/>
        </w:rPr>
      </w:pPr>
    </w:p>
    <w:p w14:paraId="2C84D19A" w14:textId="77777777" w:rsidR="00300952" w:rsidRPr="00700500" w:rsidRDefault="00300952" w:rsidP="00300952">
      <w:pPr>
        <w:rPr>
          <w:rFonts w:ascii="Times New Roman" w:hAnsi="Times New Roman" w:cs="Times New Roman"/>
        </w:rPr>
      </w:pPr>
    </w:p>
    <w:p w14:paraId="7E69C3ED" w14:textId="77777777" w:rsidR="00300952" w:rsidRPr="00700500" w:rsidRDefault="00300952" w:rsidP="00300952">
      <w:pPr>
        <w:rPr>
          <w:rFonts w:ascii="Times New Roman" w:hAnsi="Times New Roman" w:cs="Times New Roman"/>
        </w:rPr>
      </w:pPr>
    </w:p>
    <w:p w14:paraId="3A8E6A23" w14:textId="77777777" w:rsidR="00300952" w:rsidRPr="00700500" w:rsidRDefault="00300952" w:rsidP="00300952">
      <w:pPr>
        <w:rPr>
          <w:rFonts w:ascii="Times New Roman" w:hAnsi="Times New Roman" w:cs="Times New Roman"/>
        </w:rPr>
      </w:pPr>
    </w:p>
    <w:p w14:paraId="048A911E" w14:textId="77777777" w:rsidR="00300952" w:rsidRPr="00700500" w:rsidRDefault="00300952" w:rsidP="00300952">
      <w:pPr>
        <w:rPr>
          <w:rFonts w:ascii="Times New Roman" w:hAnsi="Times New Roman" w:cs="Times New Roman"/>
        </w:rPr>
      </w:pPr>
    </w:p>
    <w:p w14:paraId="52EDDB8D" w14:textId="77777777" w:rsidR="00300952" w:rsidRPr="00700500" w:rsidRDefault="00300952" w:rsidP="00300952">
      <w:pPr>
        <w:rPr>
          <w:rFonts w:ascii="Times New Roman" w:hAnsi="Times New Roman" w:cs="Times New Roman"/>
        </w:rPr>
      </w:pPr>
    </w:p>
    <w:p w14:paraId="0A0C9E25"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lastRenderedPageBreak/>
        <mc:AlternateContent>
          <mc:Choice Requires="wps">
            <w:drawing>
              <wp:anchor distT="0" distB="0" distL="114300" distR="114300" simplePos="0" relativeHeight="251659264" behindDoc="0" locked="0" layoutInCell="1" allowOverlap="1" wp14:anchorId="46C14F67" wp14:editId="010FF658">
                <wp:simplePos x="0" y="0"/>
                <wp:positionH relativeFrom="column">
                  <wp:posOffset>0</wp:posOffset>
                </wp:positionH>
                <wp:positionV relativeFrom="paragraph">
                  <wp:posOffset>-292243</wp:posOffset>
                </wp:positionV>
                <wp:extent cx="746449" cy="270588"/>
                <wp:effectExtent l="0" t="0" r="3175" b="0"/>
                <wp:wrapNone/>
                <wp:docPr id="1748485792" name="Text Box 1"/>
                <wp:cNvGraphicFramePr/>
                <a:graphic xmlns:a="http://schemas.openxmlformats.org/drawingml/2006/main">
                  <a:graphicData uri="http://schemas.microsoft.com/office/word/2010/wordprocessingShape">
                    <wps:wsp>
                      <wps:cNvSpPr txBox="1"/>
                      <wps:spPr>
                        <a:xfrm>
                          <a:off x="0" y="0"/>
                          <a:ext cx="746449" cy="270588"/>
                        </a:xfrm>
                        <a:prstGeom prst="rect">
                          <a:avLst/>
                        </a:prstGeom>
                        <a:solidFill>
                          <a:schemeClr val="lt1"/>
                        </a:solidFill>
                        <a:ln w="6350">
                          <a:noFill/>
                        </a:ln>
                      </wps:spPr>
                      <wps:txbx>
                        <w:txbxContent>
                          <w:p w14:paraId="695A4110" w14:textId="77777777" w:rsidR="00300952" w:rsidRDefault="00300952" w:rsidP="00300952">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6C14F67" id="_x0000_t202" coordsize="21600,21600" o:spt="202" path="m,l,21600r21600,l21600,xe">
                <v:stroke joinstyle="miter"/>
                <v:path gradientshapeok="t" o:connecttype="rect"/>
              </v:shapetype>
              <v:shape id="Text Box 1" o:spid="_x0000_s1026" type="#_x0000_t202" style="position:absolute;margin-left:0;margin-top:-23pt;width:58.8pt;height:21.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" fillcolor="white [3201]" stroked="f" strokeweight=".5pt">
                <v:textbox>
                  <w:txbxContent>
                    <w:p w14:paraId="695A4110" w14:textId="77777777" w:rsidR="00300952" w:rsidRDefault="00300952" w:rsidP="00300952">
                      <w:r>
                        <w:t>A.</w:t>
                      </w:r>
                    </w:p>
                  </w:txbxContent>
                </v:textbox>
              </v:shape>
            </w:pict>
          </mc:Fallback>
        </mc:AlternateContent>
      </w:r>
      <w:r w:rsidRPr="00700500">
        <w:rPr>
          <w:rFonts w:ascii="Times New Roman" w:hAnsi="Times New Roman" w:cs="Times New Roman"/>
          <w:noProof/>
        </w:rPr>
        <w:drawing>
          <wp:inline distT="0" distB="0" distL="0" distR="0" wp14:anchorId="5C6A2BDD" wp14:editId="7021A955">
            <wp:extent cx="3713584" cy="2320990"/>
            <wp:effectExtent l="0" t="0" r="0" b="3175"/>
            <wp:docPr id="221479471" name="Picture 221479471">
              <a:extLst xmlns:a="http://schemas.openxmlformats.org/drawingml/2006/main">
                <a:ext uri="{FF2B5EF4-FFF2-40B4-BE49-F238E27FC236}">
                  <a16:creationId xmlns:a16="http://schemas.microsoft.com/office/drawing/2014/main" id="{46B36B3A-0405-803E-978A-B04EFE7126E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46B36B3A-0405-803E-978A-B04EFE7126E7}"/>
                        </a:ext>
                      </a:extLst>
                    </pic:cNvPr>
                    <pic:cNvPicPr>
                      <a:picLocks noGrp="1" noChangeAspect="1"/>
                    </pic:cNvPicPr>
                  </pic:nvPicPr>
                  <pic:blipFill>
                    <a:blip r:embed="rId6"/>
                    <a:stretch>
                      <a:fillRect/>
                    </a:stretch>
                  </pic:blipFill>
                  <pic:spPr>
                    <a:xfrm>
                      <a:off x="0" y="0"/>
                      <a:ext cx="3725623" cy="2328515"/>
                    </a:xfrm>
                    <a:prstGeom prst="rect">
                      <a:avLst/>
                    </a:prstGeom>
                  </pic:spPr>
                </pic:pic>
              </a:graphicData>
            </a:graphic>
          </wp:inline>
        </w:drawing>
      </w:r>
    </w:p>
    <w:p w14:paraId="211BB6D4"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566A0455" wp14:editId="3C3524A5">
                <wp:simplePos x="0" y="0"/>
                <wp:positionH relativeFrom="column">
                  <wp:posOffset>273037</wp:posOffset>
                </wp:positionH>
                <wp:positionV relativeFrom="paragraph">
                  <wp:posOffset>178526</wp:posOffset>
                </wp:positionV>
                <wp:extent cx="746449" cy="270588"/>
                <wp:effectExtent l="0" t="0" r="3175" b="0"/>
                <wp:wrapNone/>
                <wp:docPr id="1659050024" name="Text Box 1"/>
                <wp:cNvGraphicFramePr/>
                <a:graphic xmlns:a="http://schemas.openxmlformats.org/drawingml/2006/main">
                  <a:graphicData uri="http://schemas.microsoft.com/office/word/2010/wordprocessingShape">
                    <wps:wsp>
                      <wps:cNvSpPr txBox="1"/>
                      <wps:spPr>
                        <a:xfrm>
                          <a:off x="0" y="0"/>
                          <a:ext cx="746449" cy="270588"/>
                        </a:xfrm>
                        <a:prstGeom prst="rect">
                          <a:avLst/>
                        </a:prstGeom>
                        <a:solidFill>
                          <a:schemeClr val="lt1"/>
                        </a:solidFill>
                        <a:ln w="6350">
                          <a:noFill/>
                        </a:ln>
                      </wps:spPr>
                      <wps:txbx>
                        <w:txbxContent>
                          <w:p w14:paraId="1086EEEE" w14:textId="77777777" w:rsidR="00300952" w:rsidRDefault="00300952" w:rsidP="00300952">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6A0455" id="_x0000_s1027" type="#_x0000_t202" style="position:absolute;margin-left:21.5pt;margin-top:14.05pt;width:58.8pt;height:21.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" fillcolor="white [3201]" stroked="f" strokeweight=".5pt">
                <v:textbox>
                  <w:txbxContent>
                    <w:p w14:paraId="1086EEEE" w14:textId="77777777" w:rsidR="00300952" w:rsidRDefault="00300952" w:rsidP="00300952">
                      <w:r>
                        <w:t>B.</w:t>
                      </w:r>
                    </w:p>
                  </w:txbxContent>
                </v:textbox>
              </v:shape>
            </w:pict>
          </mc:Fallback>
        </mc:AlternateContent>
      </w:r>
    </w:p>
    <w:p w14:paraId="3F419E22"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5DCB99C4" wp14:editId="66D6ED83">
                <wp:simplePos x="0" y="0"/>
                <wp:positionH relativeFrom="column">
                  <wp:posOffset>270588</wp:posOffset>
                </wp:positionH>
                <wp:positionV relativeFrom="paragraph">
                  <wp:posOffset>2333897</wp:posOffset>
                </wp:positionV>
                <wp:extent cx="1296955" cy="354563"/>
                <wp:effectExtent l="0" t="0" r="0" b="1270"/>
                <wp:wrapNone/>
                <wp:docPr id="1092914169" name="Text Box 1"/>
                <wp:cNvGraphicFramePr/>
                <a:graphic xmlns:a="http://schemas.openxmlformats.org/drawingml/2006/main">
                  <a:graphicData uri="http://schemas.microsoft.com/office/word/2010/wordprocessingShape">
                    <wps:wsp>
                      <wps:cNvSpPr txBox="1"/>
                      <wps:spPr>
                        <a:xfrm flipH="1">
                          <a:off x="0" y="0"/>
                          <a:ext cx="1296955" cy="354563"/>
                        </a:xfrm>
                        <a:prstGeom prst="rect">
                          <a:avLst/>
                        </a:prstGeom>
                        <a:solidFill>
                          <a:schemeClr val="lt1"/>
                        </a:solidFill>
                        <a:ln w="6350">
                          <a:noFill/>
                        </a:ln>
                      </wps:spPr>
                      <wps:txbx>
                        <w:txbxContent>
                          <w:p w14:paraId="56CC669A" w14:textId="77777777" w:rsidR="00300952" w:rsidRDefault="00300952" w:rsidP="00300952">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CB99C4" id="_x0000_s1028" type="#_x0000_t202" style="position:absolute;margin-left:21.3pt;margin-top:183.75pt;width:102.1pt;height:27.9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" fillcolor="white [3201]" stroked="f" strokeweight=".5pt">
                <v:textbox>
                  <w:txbxContent>
                    <w:p w14:paraId="56CC669A" w14:textId="77777777" w:rsidR="00300952" w:rsidRDefault="00300952" w:rsidP="00300952">
                      <w:r>
                        <w:t>C.</w:t>
                      </w:r>
                    </w:p>
                  </w:txbxContent>
                </v:textbox>
              </v:shape>
            </w:pict>
          </mc:Fallback>
        </mc:AlternateContent>
      </w:r>
      <w:r w:rsidRPr="00700500">
        <w:rPr>
          <w:rFonts w:ascii="Times New Roman" w:hAnsi="Times New Roman" w:cs="Times New Roman"/>
          <w:noProof/>
        </w:rPr>
        <w:drawing>
          <wp:inline distT="0" distB="0" distL="0" distR="0" wp14:anchorId="5E629759" wp14:editId="07552C98">
            <wp:extent cx="2673143" cy="2584221"/>
            <wp:effectExtent l="0" t="0" r="0" b="0"/>
            <wp:docPr id="1945879629" name="Picture 1945879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73098" name="Picture 1605973098"/>
                    <pic:cNvPicPr/>
                  </pic:nvPicPr>
                  <pic:blipFill rotWithShape="1">
                    <a:blip r:embed="rId4">
                      <a:extLst>
                        <a:ext uri="{28A0092B-C50C-407E-A947-70E740481C1C}">
                          <a14:useLocalDpi xmlns:a14="http://schemas.microsoft.com/office/drawing/2010/main" val="0"/>
                        </a:ext>
                      </a:extLst>
                    </a:blip>
                    <a:srcRect l="6170" t="48029" r="64845" b="2053"/>
                    <a:stretch/>
                  </pic:blipFill>
                  <pic:spPr bwMode="auto">
                    <a:xfrm>
                      <a:off x="0" y="0"/>
                      <a:ext cx="2701652" cy="2611782"/>
                    </a:xfrm>
                    <a:prstGeom prst="rect">
                      <a:avLst/>
                    </a:prstGeom>
                    <a:ln>
                      <a:noFill/>
                    </a:ln>
                    <a:extLst>
                      <a:ext uri="{53640926-AAD7-44D8-BBD7-CCE9431645EC}">
                        <a14:shadowObscured xmlns:a14="http://schemas.microsoft.com/office/drawing/2010/main"/>
                      </a:ext>
                    </a:extLst>
                  </pic:spPr>
                </pic:pic>
              </a:graphicData>
            </a:graphic>
          </wp:inline>
        </w:drawing>
      </w:r>
    </w:p>
    <w:p w14:paraId="535C6441"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drawing>
          <wp:inline distT="0" distB="0" distL="0" distR="0" wp14:anchorId="699C6EFA" wp14:editId="315A49A8">
            <wp:extent cx="2928751" cy="2268220"/>
            <wp:effectExtent l="0" t="0" r="5080" b="0"/>
            <wp:docPr id="1494131964" name="Picture 149413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973098" name="Picture 1605973098"/>
                    <pic:cNvPicPr/>
                  </pic:nvPicPr>
                  <pic:blipFill rotWithShape="1">
                    <a:blip r:embed="rId4" cstate="print">
                      <a:extLst>
                        <a:ext uri="{28A0092B-C50C-407E-A947-70E740481C1C}">
                          <a14:useLocalDpi xmlns:a14="http://schemas.microsoft.com/office/drawing/2010/main" val="0"/>
                        </a:ext>
                      </a:extLst>
                    </a:blip>
                    <a:srcRect l="34233" t="48029" r="29586" b="2053"/>
                    <a:stretch/>
                  </pic:blipFill>
                  <pic:spPr bwMode="auto">
                    <a:xfrm>
                      <a:off x="0" y="0"/>
                      <a:ext cx="2935126" cy="2273157"/>
                    </a:xfrm>
                    <a:prstGeom prst="rect">
                      <a:avLst/>
                    </a:prstGeom>
                    <a:ln>
                      <a:noFill/>
                    </a:ln>
                    <a:extLst>
                      <a:ext uri="{53640926-AAD7-44D8-BBD7-CCE9431645EC}">
                        <a14:shadowObscured xmlns:a14="http://schemas.microsoft.com/office/drawing/2010/main"/>
                      </a:ext>
                    </a:extLst>
                  </pic:spPr>
                </pic:pic>
              </a:graphicData>
            </a:graphic>
          </wp:inline>
        </w:drawing>
      </w:r>
    </w:p>
    <w:p w14:paraId="1A7EECA7" w14:textId="77777777" w:rsidR="00300952" w:rsidRPr="00700500" w:rsidRDefault="00300952" w:rsidP="00300952">
      <w:pPr>
        <w:rPr>
          <w:rFonts w:ascii="Times New Roman" w:hAnsi="Times New Roman" w:cs="Times New Roman"/>
        </w:rPr>
      </w:pPr>
      <w:r w:rsidRPr="00700500">
        <w:rPr>
          <w:rFonts w:ascii="Times New Roman" w:hAnsi="Times New Roman" w:cs="Times New Roman"/>
        </w:rPr>
        <w:t>Figure S3. (A) Temperature alone has relatively low predictive power of CH</w:t>
      </w:r>
      <w:r w:rsidRPr="00700500">
        <w:rPr>
          <w:rFonts w:ascii="Times New Roman" w:hAnsi="Times New Roman" w:cs="Times New Roman"/>
          <w:vertAlign w:val="subscript"/>
        </w:rPr>
        <w:t>4</w:t>
      </w:r>
      <w:r w:rsidRPr="00700500">
        <w:rPr>
          <w:rFonts w:ascii="Times New Roman" w:hAnsi="Times New Roman" w:cs="Times New Roman"/>
        </w:rPr>
        <w:t xml:space="preserve"> flux in marshes and swamps. Mean annual temperature of all marsh and swamp found in </w:t>
      </w:r>
      <w:proofErr w:type="spellStart"/>
      <w:r w:rsidRPr="00700500">
        <w:rPr>
          <w:rFonts w:ascii="Times New Roman" w:hAnsi="Times New Roman" w:cs="Times New Roman"/>
        </w:rPr>
        <w:t>Delwiche</w:t>
      </w:r>
      <w:proofErr w:type="spellEnd"/>
      <w:r w:rsidRPr="00700500">
        <w:rPr>
          <w:rFonts w:ascii="Times New Roman" w:hAnsi="Times New Roman" w:cs="Times New Roman"/>
        </w:rPr>
        <w:t xml:space="preserve"> et al. (2021) and in our dataset were compared annual CH</w:t>
      </w:r>
      <w:r w:rsidRPr="00700500">
        <w:rPr>
          <w:rFonts w:ascii="Times New Roman" w:hAnsi="Times New Roman" w:cs="Times New Roman"/>
          <w:vertAlign w:val="subscript"/>
        </w:rPr>
        <w:t>4</w:t>
      </w:r>
      <w:r w:rsidRPr="00700500">
        <w:rPr>
          <w:rFonts w:ascii="Times New Roman" w:hAnsi="Times New Roman" w:cs="Times New Roman"/>
        </w:rPr>
        <w:t xml:space="preserve"> flux. (B) Correlation plot comparing environmental variables to CH</w:t>
      </w:r>
      <w:r w:rsidRPr="00700500">
        <w:rPr>
          <w:rFonts w:ascii="Times New Roman" w:hAnsi="Times New Roman" w:cs="Times New Roman"/>
          <w:vertAlign w:val="subscript"/>
        </w:rPr>
        <w:t>4</w:t>
      </w:r>
      <w:r w:rsidRPr="00700500">
        <w:rPr>
          <w:rFonts w:ascii="Times New Roman" w:hAnsi="Times New Roman" w:cs="Times New Roman"/>
        </w:rPr>
        <w:t xml:space="preserve"> flux and Shannon diversity. White boxes with no value indicates </w:t>
      </w:r>
      <w:r w:rsidRPr="00700500">
        <w:rPr>
          <w:rFonts w:ascii="Times New Roman" w:hAnsi="Times New Roman" w:cs="Times New Roman"/>
        </w:rPr>
        <w:lastRenderedPageBreak/>
        <w:t>no significant correlation between variables. (C) The ratio of methanogen to methanotroph relative abundance is significantly correlated to CH</w:t>
      </w:r>
      <w:r w:rsidRPr="00700500">
        <w:rPr>
          <w:rFonts w:ascii="Times New Roman" w:hAnsi="Times New Roman" w:cs="Times New Roman"/>
          <w:vertAlign w:val="subscript"/>
        </w:rPr>
        <w:t>4</w:t>
      </w:r>
      <w:r w:rsidRPr="00700500">
        <w:rPr>
          <w:rFonts w:ascii="Times New Roman" w:hAnsi="Times New Roman" w:cs="Times New Roman"/>
        </w:rPr>
        <w:t xml:space="preserve"> flux. </w:t>
      </w:r>
    </w:p>
    <w:p w14:paraId="124990BF" w14:textId="77777777" w:rsidR="00300952" w:rsidRPr="00700500" w:rsidRDefault="00300952" w:rsidP="00300952">
      <w:pPr>
        <w:rPr>
          <w:rFonts w:ascii="Times New Roman" w:hAnsi="Times New Roman" w:cs="Times New Roman"/>
        </w:rPr>
      </w:pPr>
    </w:p>
    <w:p w14:paraId="2B42AD34" w14:textId="6C9F7A44" w:rsidR="00300952" w:rsidRPr="00700500" w:rsidRDefault="001406D5" w:rsidP="00300952">
      <w:pPr>
        <w:rPr>
          <w:rFonts w:ascii="Times New Roman" w:hAnsi="Times New Roman" w:cs="Times New Roman"/>
        </w:rPr>
      </w:pPr>
      <w:r>
        <w:rPr>
          <w:rFonts w:ascii="Times New Roman" w:hAnsi="Times New Roman" w:cs="Times New Roman"/>
          <w:noProof/>
        </w:rPr>
        <w:drawing>
          <wp:inline distT="0" distB="0" distL="0" distR="0" wp14:anchorId="3D2266A9" wp14:editId="36379B38">
            <wp:extent cx="5943600" cy="5507990"/>
            <wp:effectExtent l="0" t="0" r="0" b="3810"/>
            <wp:docPr id="3473637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363743" name="Picture 347363743"/>
                    <pic:cNvPicPr/>
                  </pic:nvPicPr>
                  <pic:blipFill>
                    <a:blip r:embed="rId7">
                      <a:extLst>
                        <a:ext uri="{28A0092B-C50C-407E-A947-70E740481C1C}">
                          <a14:useLocalDpi xmlns:a14="http://schemas.microsoft.com/office/drawing/2010/main" val="0"/>
                        </a:ext>
                      </a:extLst>
                    </a:blip>
                    <a:stretch>
                      <a:fillRect/>
                    </a:stretch>
                  </pic:blipFill>
                  <pic:spPr>
                    <a:xfrm>
                      <a:off x="0" y="0"/>
                      <a:ext cx="5943600" cy="5507990"/>
                    </a:xfrm>
                    <a:prstGeom prst="rect">
                      <a:avLst/>
                    </a:prstGeom>
                  </pic:spPr>
                </pic:pic>
              </a:graphicData>
            </a:graphic>
          </wp:inline>
        </w:drawing>
      </w:r>
    </w:p>
    <w:p w14:paraId="37FB781C" w14:textId="77777777" w:rsidR="00300952" w:rsidRPr="00700500" w:rsidRDefault="00300952" w:rsidP="00300952">
      <w:pPr>
        <w:rPr>
          <w:rFonts w:ascii="Times New Roman" w:hAnsi="Times New Roman" w:cs="Times New Roman"/>
        </w:rPr>
      </w:pPr>
      <w:r w:rsidRPr="00700500">
        <w:rPr>
          <w:rFonts w:ascii="Times New Roman" w:hAnsi="Times New Roman" w:cs="Times New Roman"/>
        </w:rPr>
        <w:t xml:space="preserve">Figure S4. Across 9 wetlands, the highest methane emitting wetlands (PPR P7, OWC) shared similar methane microbial communities despite differences in geography. Amplicon taxonomic data were mined for known methanogen or methanotroph membership and relative abundance. Dominant and prevalent methanogen genera include </w:t>
      </w:r>
      <w:proofErr w:type="spellStart"/>
      <w:r w:rsidRPr="00700500">
        <w:rPr>
          <w:rFonts w:ascii="Times New Roman" w:hAnsi="Times New Roman" w:cs="Times New Roman"/>
          <w:i/>
          <w:iCs/>
        </w:rPr>
        <w:t>Methanoregula</w:t>
      </w:r>
      <w:proofErr w:type="spellEnd"/>
      <w:r w:rsidRPr="00700500">
        <w:rPr>
          <w:rFonts w:ascii="Times New Roman" w:hAnsi="Times New Roman" w:cs="Times New Roman"/>
        </w:rPr>
        <w:t xml:space="preserve"> and </w:t>
      </w:r>
      <w:proofErr w:type="spellStart"/>
      <w:r w:rsidRPr="00700500">
        <w:rPr>
          <w:rFonts w:ascii="Times New Roman" w:hAnsi="Times New Roman" w:cs="Times New Roman"/>
          <w:i/>
          <w:iCs/>
        </w:rPr>
        <w:t>Methanothrix</w:t>
      </w:r>
      <w:proofErr w:type="spellEnd"/>
      <w:r w:rsidRPr="00700500">
        <w:rPr>
          <w:rFonts w:ascii="Times New Roman" w:hAnsi="Times New Roman" w:cs="Times New Roman"/>
        </w:rPr>
        <w:t xml:space="preserve">. Methanogens are colored by pathway where </w:t>
      </w:r>
      <w:proofErr w:type="spellStart"/>
      <w:r w:rsidRPr="00700500">
        <w:rPr>
          <w:rFonts w:ascii="Times New Roman" w:hAnsi="Times New Roman" w:cs="Times New Roman"/>
        </w:rPr>
        <w:t>acetoclastic</w:t>
      </w:r>
      <w:proofErr w:type="spellEnd"/>
      <w:r w:rsidRPr="00700500">
        <w:rPr>
          <w:rFonts w:ascii="Times New Roman" w:hAnsi="Times New Roman" w:cs="Times New Roman"/>
        </w:rPr>
        <w:t xml:space="preserve"> methanogens are given in yellow, hydrogenotrophic methanogens in blue and methylotrophic methanogens in purple. Aerobic methanotrophs are given in red while anaerobic methanotrophs are given in teal.</w:t>
      </w:r>
    </w:p>
    <w:p w14:paraId="453BAA4E" w14:textId="77777777" w:rsidR="00300952" w:rsidRPr="00700500" w:rsidRDefault="00300952" w:rsidP="00300952">
      <w:pPr>
        <w:rPr>
          <w:rFonts w:ascii="Times New Roman" w:hAnsi="Times New Roman" w:cs="Times New Roman"/>
        </w:rPr>
      </w:pPr>
    </w:p>
    <w:p w14:paraId="1D014DE7" w14:textId="77777777" w:rsidR="00300952" w:rsidRPr="00700500" w:rsidRDefault="00300952" w:rsidP="00300952">
      <w:pPr>
        <w:rPr>
          <w:rFonts w:ascii="Times New Roman" w:hAnsi="Times New Roman" w:cs="Times New Roman"/>
        </w:rPr>
      </w:pPr>
    </w:p>
    <w:p w14:paraId="5616490B" w14:textId="77777777" w:rsidR="00300952" w:rsidRPr="00700500" w:rsidRDefault="00300952" w:rsidP="00300952">
      <w:pPr>
        <w:rPr>
          <w:rFonts w:ascii="Times New Roman" w:hAnsi="Times New Roman" w:cs="Times New Roman"/>
        </w:rPr>
      </w:pPr>
    </w:p>
    <w:p w14:paraId="2FFD18B1"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lastRenderedPageBreak/>
        <w:drawing>
          <wp:inline distT="0" distB="0" distL="0" distR="0" wp14:anchorId="015C2D17" wp14:editId="483A8460">
            <wp:extent cx="6202679" cy="2506133"/>
            <wp:effectExtent l="0" t="0" r="0" b="0"/>
            <wp:docPr id="20858879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87922" name="Picture 2085887922"/>
                    <pic:cNvPicPr/>
                  </pic:nvPicPr>
                  <pic:blipFill rotWithShape="1">
                    <a:blip r:embed="rId8">
                      <a:extLst>
                        <a:ext uri="{28A0092B-C50C-407E-A947-70E740481C1C}">
                          <a14:useLocalDpi xmlns:a14="http://schemas.microsoft.com/office/drawing/2010/main" val="0"/>
                        </a:ext>
                      </a:extLst>
                    </a:blip>
                    <a:srcRect r="15385" b="39094"/>
                    <a:stretch/>
                  </pic:blipFill>
                  <pic:spPr bwMode="auto">
                    <a:xfrm>
                      <a:off x="0" y="0"/>
                      <a:ext cx="6211316" cy="2509623"/>
                    </a:xfrm>
                    <a:prstGeom prst="rect">
                      <a:avLst/>
                    </a:prstGeom>
                    <a:ln>
                      <a:noFill/>
                    </a:ln>
                    <a:extLst>
                      <a:ext uri="{53640926-AAD7-44D8-BBD7-CCE9431645EC}">
                        <a14:shadowObscured xmlns:a14="http://schemas.microsoft.com/office/drawing/2010/main"/>
                      </a:ext>
                    </a:extLst>
                  </pic:spPr>
                </pic:pic>
              </a:graphicData>
            </a:graphic>
          </wp:inline>
        </w:drawing>
      </w:r>
    </w:p>
    <w:p w14:paraId="1BA91525" w14:textId="77777777" w:rsidR="00300952" w:rsidRPr="00700500" w:rsidRDefault="00300952" w:rsidP="00300952">
      <w:pPr>
        <w:rPr>
          <w:rFonts w:ascii="Times New Roman" w:hAnsi="Times New Roman" w:cs="Times New Roman"/>
        </w:rPr>
      </w:pPr>
      <w:r w:rsidRPr="00700500">
        <w:rPr>
          <w:rFonts w:ascii="Times New Roman" w:hAnsi="Times New Roman" w:cs="Times New Roman"/>
        </w:rPr>
        <w:t xml:space="preserve">Figure S5. 16S rRNA gene co-occurrence networks at each site were built for the methanogen community. Networks were constructed </w:t>
      </w:r>
      <w:r w:rsidRPr="00700500">
        <w:rPr>
          <w:rFonts w:ascii="Times New Roman" w:hAnsi="Times New Roman" w:cs="Times New Roman"/>
          <w:color w:val="000000" w:themeColor="text1"/>
        </w:rPr>
        <w:t xml:space="preserve">to comprise </w:t>
      </w:r>
      <w:r w:rsidRPr="00700500">
        <w:rPr>
          <w:rFonts w:ascii="Times New Roman" w:hAnsi="Times New Roman" w:cs="Times New Roman"/>
        </w:rPr>
        <w:t>all significant co-occurrences that included a methanogen.</w:t>
      </w:r>
    </w:p>
    <w:p w14:paraId="409CF3EC" w14:textId="77777777" w:rsidR="00300952" w:rsidRPr="00700500" w:rsidRDefault="00300952" w:rsidP="00300952">
      <w:pPr>
        <w:rPr>
          <w:rFonts w:ascii="Times New Roman" w:hAnsi="Times New Roman" w:cs="Times New Roman"/>
        </w:rPr>
      </w:pPr>
    </w:p>
    <w:p w14:paraId="60468983" w14:textId="77777777" w:rsidR="00300952" w:rsidRPr="00700500" w:rsidRDefault="00300952" w:rsidP="00300952">
      <w:pPr>
        <w:rPr>
          <w:rFonts w:ascii="Times New Roman" w:hAnsi="Times New Roman" w:cs="Times New Roman"/>
        </w:rPr>
      </w:pPr>
    </w:p>
    <w:p w14:paraId="0D164C32" w14:textId="77777777" w:rsidR="00300952" w:rsidRPr="00700500" w:rsidRDefault="00300952" w:rsidP="00300952">
      <w:pPr>
        <w:rPr>
          <w:rFonts w:ascii="Times New Roman" w:hAnsi="Times New Roman" w:cs="Times New Roman"/>
        </w:rPr>
      </w:pPr>
      <w:r w:rsidRPr="00700500">
        <w:rPr>
          <w:rFonts w:ascii="Times New Roman" w:hAnsi="Times New Roman" w:cs="Times New Roman"/>
          <w:noProof/>
        </w:rPr>
        <w:drawing>
          <wp:inline distT="0" distB="0" distL="0" distR="0" wp14:anchorId="07F5397C" wp14:editId="65AB0A7C">
            <wp:extent cx="5867400" cy="4686121"/>
            <wp:effectExtent l="0" t="0" r="0" b="0"/>
            <wp:docPr id="82634758"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34758" name="Picture 5" descr="A screenshot of a computer&#10;&#10;Description automatically generated"/>
                    <pic:cNvPicPr/>
                  </pic:nvPicPr>
                  <pic:blipFill rotWithShape="1">
                    <a:blip r:embed="rId9">
                      <a:extLst>
                        <a:ext uri="{28A0092B-C50C-407E-A947-70E740481C1C}">
                          <a14:useLocalDpi xmlns:a14="http://schemas.microsoft.com/office/drawing/2010/main" val="0"/>
                        </a:ext>
                      </a:extLst>
                    </a:blip>
                    <a:srcRect l="31054" t="-1290" r="-712" b="29306"/>
                    <a:stretch/>
                  </pic:blipFill>
                  <pic:spPr bwMode="auto">
                    <a:xfrm>
                      <a:off x="0" y="0"/>
                      <a:ext cx="5881526" cy="4697403"/>
                    </a:xfrm>
                    <a:prstGeom prst="rect">
                      <a:avLst/>
                    </a:prstGeom>
                    <a:ln>
                      <a:noFill/>
                    </a:ln>
                    <a:extLst>
                      <a:ext uri="{53640926-AAD7-44D8-BBD7-CCE9431645EC}">
                        <a14:shadowObscured xmlns:a14="http://schemas.microsoft.com/office/drawing/2010/main"/>
                      </a:ext>
                    </a:extLst>
                  </pic:spPr>
                </pic:pic>
              </a:graphicData>
            </a:graphic>
          </wp:inline>
        </w:drawing>
      </w:r>
    </w:p>
    <w:p w14:paraId="2B75D955" w14:textId="77777777" w:rsidR="00300952" w:rsidRPr="00700500" w:rsidRDefault="00300952" w:rsidP="00300952">
      <w:pPr>
        <w:rPr>
          <w:rFonts w:ascii="Times New Roman" w:hAnsi="Times New Roman" w:cs="Times New Roman"/>
        </w:rPr>
      </w:pPr>
      <w:r w:rsidRPr="00700500">
        <w:rPr>
          <w:rFonts w:ascii="Times New Roman" w:hAnsi="Times New Roman" w:cs="Times New Roman"/>
        </w:rPr>
        <w:lastRenderedPageBreak/>
        <w:t xml:space="preserve">Figure S6. (A) Illustration representing our 2018 sampling campaign in OWC, here used as a case study for exploring the significance of </w:t>
      </w:r>
      <w:proofErr w:type="spellStart"/>
      <w:r w:rsidRPr="00700500">
        <w:rPr>
          <w:rFonts w:ascii="Times New Roman" w:hAnsi="Times New Roman" w:cs="Times New Roman"/>
          <w:i/>
          <w:iCs/>
        </w:rPr>
        <w:t>Methanoregula</w:t>
      </w:r>
      <w:proofErr w:type="spellEnd"/>
      <w:r w:rsidRPr="00700500">
        <w:rPr>
          <w:rFonts w:ascii="Times New Roman" w:hAnsi="Times New Roman" w:cs="Times New Roman"/>
        </w:rPr>
        <w:t xml:space="preserve"> in a single wetland. (B) Significant VIP scores (&gt;2) for methanogen MAGs found predictive of CH</w:t>
      </w:r>
      <w:r w:rsidRPr="00700500">
        <w:rPr>
          <w:rFonts w:ascii="Times New Roman" w:hAnsi="Times New Roman" w:cs="Times New Roman"/>
          <w:vertAlign w:val="subscript"/>
        </w:rPr>
        <w:t>4</w:t>
      </w:r>
      <w:r w:rsidRPr="00700500">
        <w:rPr>
          <w:rFonts w:ascii="Times New Roman" w:hAnsi="Times New Roman" w:cs="Times New Roman"/>
        </w:rPr>
        <w:t xml:space="preserve"> fluxes in OWC, including a member of the </w:t>
      </w:r>
      <w:proofErr w:type="spellStart"/>
      <w:r w:rsidRPr="00700500">
        <w:rPr>
          <w:rFonts w:ascii="Times New Roman" w:hAnsi="Times New Roman" w:cs="Times New Roman"/>
          <w:i/>
          <w:iCs/>
        </w:rPr>
        <w:t>Methanoregula</w:t>
      </w:r>
      <w:proofErr w:type="spellEnd"/>
      <w:r w:rsidRPr="00700500">
        <w:rPr>
          <w:rFonts w:ascii="Times New Roman" w:hAnsi="Times New Roman" w:cs="Times New Roman"/>
        </w:rPr>
        <w:t xml:space="preserve"> (starred, OWC_0053). (B) Mean transcription of </w:t>
      </w:r>
      <w:proofErr w:type="spellStart"/>
      <w:r w:rsidRPr="00700500">
        <w:rPr>
          <w:rFonts w:ascii="Times New Roman" w:hAnsi="Times New Roman" w:cs="Times New Roman"/>
          <w:i/>
          <w:iCs/>
        </w:rPr>
        <w:t>Methanoregula</w:t>
      </w:r>
      <w:proofErr w:type="spellEnd"/>
      <w:r w:rsidRPr="00700500">
        <w:rPr>
          <w:rFonts w:ascii="Times New Roman" w:hAnsi="Times New Roman" w:cs="Times New Roman"/>
        </w:rPr>
        <w:t xml:space="preserve"> MAGs across time and depth in OWC in the mud site type. Members of the genus are active across the site, with the most active MAG representing the sole one found to be significantly predictive of CH</w:t>
      </w:r>
      <w:r w:rsidRPr="00700500">
        <w:rPr>
          <w:rFonts w:ascii="Times New Roman" w:hAnsi="Times New Roman" w:cs="Times New Roman"/>
          <w:vertAlign w:val="subscript"/>
        </w:rPr>
        <w:t>4</w:t>
      </w:r>
      <w:r w:rsidRPr="00700500">
        <w:rPr>
          <w:rFonts w:ascii="Times New Roman" w:hAnsi="Times New Roman" w:cs="Times New Roman"/>
        </w:rPr>
        <w:t xml:space="preserve"> fluxes.</w:t>
      </w:r>
    </w:p>
    <w:p w14:paraId="631F4A13" w14:textId="77777777" w:rsidR="00300952" w:rsidRPr="00700500" w:rsidRDefault="00300952" w:rsidP="00300952">
      <w:pPr>
        <w:rPr>
          <w:rFonts w:ascii="Times New Roman" w:hAnsi="Times New Roman" w:cs="Times New Roman"/>
        </w:rPr>
      </w:pPr>
    </w:p>
    <w:p w14:paraId="42699D95" w14:textId="77777777" w:rsidR="00300952" w:rsidRDefault="00300952" w:rsidP="00300952">
      <w:pPr>
        <w:rPr>
          <w:rFonts w:ascii="Times New Roman" w:hAnsi="Times New Roman" w:cs="Times New Roman"/>
        </w:rPr>
      </w:pPr>
    </w:p>
    <w:p w14:paraId="6267E2EF" w14:textId="77777777" w:rsidR="00D833CE" w:rsidRDefault="00D833CE" w:rsidP="00D833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2"/>
          <w:szCs w:val="22"/>
        </w:rPr>
      </w:pPr>
      <w:r>
        <w:rPr>
          <w:rFonts w:ascii="Times New Roman" w:hAnsi="Times New Roman" w:cs="Times New Roman"/>
          <w:b/>
          <w:bCs/>
        </w:rPr>
        <w:t xml:space="preserve">Captions for </w:t>
      </w:r>
      <w:r w:rsidRPr="00D833CE">
        <w:rPr>
          <w:rFonts w:ascii="Times New Roman" w:hAnsi="Times New Roman" w:cs="Times New Roman"/>
          <w:b/>
          <w:bCs/>
        </w:rPr>
        <w:t>Supplemental Tables</w:t>
      </w:r>
      <w:r>
        <w:rPr>
          <w:rFonts w:ascii="Times New Roman" w:hAnsi="Times New Roman" w:cs="Times New Roman"/>
          <w:b/>
          <w:bCs/>
        </w:rPr>
        <w:t xml:space="preserve"> </w:t>
      </w:r>
      <w:r>
        <w:rPr>
          <w:rFonts w:ascii="Times New Roman" w:hAnsi="Times New Roman" w:cs="Times New Roman"/>
          <w:color w:val="000000"/>
          <w:kern w:val="0"/>
          <w:sz w:val="22"/>
          <w:szCs w:val="22"/>
        </w:rPr>
        <w:t>The bolded pre-fix relates to the spreadsheet worksheet</w:t>
      </w:r>
    </w:p>
    <w:p w14:paraId="2384D12F" w14:textId="4679C5A3" w:rsidR="00D833CE" w:rsidRDefault="00D833CE" w:rsidP="00D833CE">
      <w:pPr>
        <w:rPr>
          <w:rFonts w:ascii="Times New Roman" w:hAnsi="Times New Roman" w:cs="Times New Roman"/>
          <w:b/>
          <w:bCs/>
        </w:rPr>
      </w:pPr>
      <w:r>
        <w:rPr>
          <w:rFonts w:ascii="Times New Roman" w:hAnsi="Times New Roman" w:cs="Times New Roman"/>
          <w:color w:val="000000"/>
          <w:kern w:val="0"/>
          <w:sz w:val="22"/>
          <w:szCs w:val="22"/>
        </w:rPr>
        <w:t>name.</w:t>
      </w:r>
    </w:p>
    <w:p w14:paraId="21AF87B3" w14:textId="2A5BBB36" w:rsidR="00D833CE" w:rsidRPr="00D833CE" w:rsidRDefault="00D833CE" w:rsidP="00300952">
      <w:pPr>
        <w:rPr>
          <w:rFonts w:ascii="Times New Roman" w:hAnsi="Times New Roman" w:cs="Times New Roman"/>
        </w:rPr>
      </w:pPr>
      <w:r w:rsidRPr="00D833CE">
        <w:rPr>
          <w:rFonts w:ascii="Times New Roman" w:hAnsi="Times New Roman" w:cs="Times New Roman"/>
          <w:b/>
          <w:bCs/>
        </w:rPr>
        <w:t xml:space="preserve">Supplemental Table 1.  </w:t>
      </w:r>
      <w:r>
        <w:rPr>
          <w:rFonts w:ascii="Times New Roman" w:hAnsi="Times New Roman" w:cs="Times New Roman"/>
        </w:rPr>
        <w:t xml:space="preserve">Overview of all </w:t>
      </w:r>
      <w:r w:rsidR="00AB3CD0">
        <w:rPr>
          <w:rFonts w:ascii="Times New Roman" w:hAnsi="Times New Roman" w:cs="Times New Roman"/>
        </w:rPr>
        <w:t xml:space="preserve">metagenomics, </w:t>
      </w:r>
      <w:proofErr w:type="spellStart"/>
      <w:r w:rsidR="00AB3CD0">
        <w:rPr>
          <w:rFonts w:ascii="Times New Roman" w:hAnsi="Times New Roman" w:cs="Times New Roman"/>
        </w:rPr>
        <w:t>metranscriptomic</w:t>
      </w:r>
      <w:proofErr w:type="spellEnd"/>
      <w:r w:rsidR="00AB3CD0">
        <w:rPr>
          <w:rFonts w:ascii="Times New Roman" w:hAnsi="Times New Roman" w:cs="Times New Roman"/>
        </w:rPr>
        <w:t xml:space="preserve">, and 16S rRNA </w:t>
      </w:r>
      <w:r>
        <w:rPr>
          <w:rFonts w:ascii="Times New Roman" w:hAnsi="Times New Roman" w:cs="Times New Roman"/>
        </w:rPr>
        <w:t xml:space="preserve">samples included in the </w:t>
      </w:r>
      <w:proofErr w:type="spellStart"/>
      <w:r>
        <w:rPr>
          <w:rFonts w:ascii="Times New Roman" w:hAnsi="Times New Roman" w:cs="Times New Roman"/>
        </w:rPr>
        <w:t>Multiomics</w:t>
      </w:r>
      <w:proofErr w:type="spellEnd"/>
      <w:r>
        <w:rPr>
          <w:rFonts w:ascii="Times New Roman" w:hAnsi="Times New Roman" w:cs="Times New Roman"/>
        </w:rPr>
        <w:t xml:space="preserve"> for Understanding Climate Change (MUCC) v2.0.0</w:t>
      </w:r>
      <w:r w:rsidR="00AB3CD0">
        <w:rPr>
          <w:rFonts w:ascii="Times New Roman" w:hAnsi="Times New Roman" w:cs="Times New Roman"/>
        </w:rPr>
        <w:t xml:space="preserve"> and sequencing information for every metagenome sampled.</w:t>
      </w:r>
    </w:p>
    <w:p w14:paraId="765CDE32" w14:textId="70B9C541" w:rsidR="00D833CE" w:rsidRPr="00D833CE" w:rsidRDefault="00D833CE" w:rsidP="00D833CE">
      <w:pPr>
        <w:rPr>
          <w:rFonts w:ascii="Times New Roman" w:hAnsi="Times New Roman" w:cs="Times New Roman"/>
          <w:b/>
          <w:bCs/>
        </w:rPr>
      </w:pPr>
      <w:r w:rsidRPr="00D833CE">
        <w:rPr>
          <w:rFonts w:ascii="Times New Roman" w:hAnsi="Times New Roman" w:cs="Times New Roman"/>
          <w:b/>
          <w:bCs/>
        </w:rPr>
        <w:t xml:space="preserve">Supplemental Table </w:t>
      </w:r>
      <w:r w:rsidRPr="00D833CE">
        <w:rPr>
          <w:rFonts w:ascii="Times New Roman" w:hAnsi="Times New Roman" w:cs="Times New Roman"/>
          <w:b/>
          <w:bCs/>
        </w:rPr>
        <w:t>2</w:t>
      </w:r>
      <w:r w:rsidRPr="00D833CE">
        <w:rPr>
          <w:rFonts w:ascii="Times New Roman" w:hAnsi="Times New Roman" w:cs="Times New Roman"/>
          <w:b/>
          <w:bCs/>
        </w:rPr>
        <w:t xml:space="preserve">.  </w:t>
      </w:r>
      <w:r w:rsidR="00AB3CD0">
        <w:rPr>
          <w:rFonts w:ascii="Times New Roman" w:hAnsi="Times New Roman" w:cs="Times New Roman"/>
        </w:rPr>
        <w:t>The 16S rRNA sequencing data table includes unique amplicon sequences variants (ASV) and their corresponding GTDB-Tk assignment for all 1,112 samples.</w:t>
      </w:r>
    </w:p>
    <w:p w14:paraId="1B592F9C" w14:textId="1A360597" w:rsidR="00D833CE" w:rsidRPr="00AB3CD0" w:rsidRDefault="00D833CE" w:rsidP="00300952">
      <w:pPr>
        <w:rPr>
          <w:rFonts w:ascii="Times New Roman" w:hAnsi="Times New Roman" w:cs="Times New Roman"/>
        </w:rPr>
      </w:pPr>
      <w:r w:rsidRPr="00D833CE">
        <w:rPr>
          <w:rFonts w:ascii="Times New Roman" w:hAnsi="Times New Roman" w:cs="Times New Roman"/>
          <w:b/>
          <w:bCs/>
        </w:rPr>
        <w:t xml:space="preserve">Supplemental Table </w:t>
      </w:r>
      <w:r w:rsidRPr="00D833CE">
        <w:rPr>
          <w:rFonts w:ascii="Times New Roman" w:hAnsi="Times New Roman" w:cs="Times New Roman"/>
          <w:b/>
          <w:bCs/>
        </w:rPr>
        <w:t>3</w:t>
      </w:r>
      <w:r w:rsidRPr="00D833CE">
        <w:rPr>
          <w:rFonts w:ascii="Times New Roman" w:hAnsi="Times New Roman" w:cs="Times New Roman"/>
          <w:b/>
          <w:bCs/>
        </w:rPr>
        <w:t xml:space="preserve">. </w:t>
      </w:r>
      <w:r w:rsidR="00AB3CD0">
        <w:rPr>
          <w:rFonts w:ascii="Times New Roman" w:hAnsi="Times New Roman" w:cs="Times New Roman"/>
        </w:rPr>
        <w:t xml:space="preserve">Data including the database ID, </w:t>
      </w:r>
      <w:proofErr w:type="spellStart"/>
      <w:r w:rsidR="00AB3CD0">
        <w:rPr>
          <w:rFonts w:ascii="Times New Roman" w:hAnsi="Times New Roman" w:cs="Times New Roman"/>
        </w:rPr>
        <w:t>taxonimc</w:t>
      </w:r>
      <w:proofErr w:type="spellEnd"/>
      <w:r w:rsidR="00AB3CD0">
        <w:rPr>
          <w:rFonts w:ascii="Times New Roman" w:hAnsi="Times New Roman" w:cs="Times New Roman"/>
        </w:rPr>
        <w:t xml:space="preserve"> assignment, and quality scores for the 4,746 medium and high-quality metagenome assembled genomes (MAGs) included in the MUCC v2.0.0 database.</w:t>
      </w:r>
    </w:p>
    <w:p w14:paraId="5259AB58" w14:textId="7DAC3891" w:rsidR="00D833CE" w:rsidRPr="00AB3CD0" w:rsidRDefault="00D833CE" w:rsidP="00D833CE">
      <w:pPr>
        <w:rPr>
          <w:rFonts w:ascii="Times New Roman" w:hAnsi="Times New Roman" w:cs="Times New Roman"/>
        </w:rPr>
      </w:pPr>
      <w:r w:rsidRPr="00D833CE">
        <w:rPr>
          <w:rFonts w:ascii="Times New Roman" w:hAnsi="Times New Roman" w:cs="Times New Roman"/>
          <w:b/>
          <w:bCs/>
        </w:rPr>
        <w:t xml:space="preserve">Supplemental Table </w:t>
      </w:r>
      <w:r w:rsidRPr="00D833CE">
        <w:rPr>
          <w:rFonts w:ascii="Times New Roman" w:hAnsi="Times New Roman" w:cs="Times New Roman"/>
          <w:b/>
          <w:bCs/>
        </w:rPr>
        <w:t>4</w:t>
      </w:r>
      <w:r w:rsidRPr="00D833CE">
        <w:rPr>
          <w:rFonts w:ascii="Times New Roman" w:hAnsi="Times New Roman" w:cs="Times New Roman"/>
          <w:b/>
          <w:bCs/>
        </w:rPr>
        <w:t xml:space="preserve">.  </w:t>
      </w:r>
      <w:r w:rsidR="00AB3CD0">
        <w:rPr>
          <w:rFonts w:ascii="Times New Roman" w:hAnsi="Times New Roman" w:cs="Times New Roman"/>
        </w:rPr>
        <w:t xml:space="preserve">Metabolic rules created to assign the following functional categories to MAGs: methanogen, methanotroph, </w:t>
      </w:r>
      <w:proofErr w:type="spellStart"/>
      <w:r w:rsidR="00AB3CD0">
        <w:rPr>
          <w:rFonts w:ascii="Times New Roman" w:hAnsi="Times New Roman" w:cs="Times New Roman"/>
        </w:rPr>
        <w:t>homoacetogen</w:t>
      </w:r>
      <w:proofErr w:type="spellEnd"/>
      <w:r w:rsidR="00AB3CD0">
        <w:rPr>
          <w:rFonts w:ascii="Times New Roman" w:hAnsi="Times New Roman" w:cs="Times New Roman"/>
        </w:rPr>
        <w:t>, obligate fermenter, and demethylation metabolism.</w:t>
      </w:r>
    </w:p>
    <w:p w14:paraId="550F1DDE" w14:textId="2307FCF8" w:rsidR="00D833CE" w:rsidRPr="00AB3CD0" w:rsidRDefault="00D833CE" w:rsidP="00D833CE">
      <w:pPr>
        <w:rPr>
          <w:rFonts w:ascii="Times New Roman" w:hAnsi="Times New Roman" w:cs="Times New Roman"/>
        </w:rPr>
      </w:pPr>
      <w:r w:rsidRPr="00D833CE">
        <w:rPr>
          <w:rFonts w:ascii="Times New Roman" w:hAnsi="Times New Roman" w:cs="Times New Roman"/>
          <w:b/>
          <w:bCs/>
        </w:rPr>
        <w:t xml:space="preserve">Supplemental Table </w:t>
      </w:r>
      <w:r w:rsidRPr="00D833CE">
        <w:rPr>
          <w:rFonts w:ascii="Times New Roman" w:hAnsi="Times New Roman" w:cs="Times New Roman"/>
          <w:b/>
          <w:bCs/>
        </w:rPr>
        <w:t>5</w:t>
      </w:r>
      <w:r w:rsidRPr="00D833CE">
        <w:rPr>
          <w:rFonts w:ascii="Times New Roman" w:hAnsi="Times New Roman" w:cs="Times New Roman"/>
          <w:b/>
          <w:bCs/>
        </w:rPr>
        <w:t xml:space="preserve">. </w:t>
      </w:r>
      <w:r w:rsidR="00AB3CD0">
        <w:rPr>
          <w:rFonts w:ascii="Times New Roman" w:hAnsi="Times New Roman" w:cs="Times New Roman"/>
        </w:rPr>
        <w:t>MAGs linked to the 16S rRNA cooccurrence networks were assigned functional categories based on the rules outlined in Supplemental Table $.</w:t>
      </w:r>
    </w:p>
    <w:p w14:paraId="3FF9B1C1" w14:textId="4EE10BCA" w:rsidR="00D833CE" w:rsidRPr="00A111A3" w:rsidRDefault="00D833CE" w:rsidP="00D833CE">
      <w:pPr>
        <w:rPr>
          <w:rFonts w:ascii="Times New Roman" w:hAnsi="Times New Roman" w:cs="Times New Roman"/>
        </w:rPr>
      </w:pPr>
      <w:r w:rsidRPr="00D833CE">
        <w:rPr>
          <w:rFonts w:ascii="Times New Roman" w:hAnsi="Times New Roman" w:cs="Times New Roman"/>
          <w:b/>
          <w:bCs/>
        </w:rPr>
        <w:t xml:space="preserve">Supplemental Table </w:t>
      </w:r>
      <w:r w:rsidRPr="00D833CE">
        <w:rPr>
          <w:rFonts w:ascii="Times New Roman" w:hAnsi="Times New Roman" w:cs="Times New Roman"/>
          <w:b/>
          <w:bCs/>
        </w:rPr>
        <w:t>6</w:t>
      </w:r>
      <w:r w:rsidRPr="00D833CE">
        <w:rPr>
          <w:rFonts w:ascii="Times New Roman" w:hAnsi="Times New Roman" w:cs="Times New Roman"/>
          <w:b/>
          <w:bCs/>
        </w:rPr>
        <w:t xml:space="preserve">.  </w:t>
      </w:r>
      <w:r w:rsidR="00A111A3">
        <w:rPr>
          <w:rFonts w:ascii="Times New Roman" w:hAnsi="Times New Roman" w:cs="Times New Roman"/>
        </w:rPr>
        <w:t>Methanogen and methanotroph MAGs and their corresponding taxonomic identification and methanogenic pathway.</w:t>
      </w:r>
    </w:p>
    <w:p w14:paraId="6925065D" w14:textId="30AAAEB4" w:rsidR="00D833CE" w:rsidRPr="00A111A3" w:rsidRDefault="00D833CE" w:rsidP="00D833CE">
      <w:pPr>
        <w:rPr>
          <w:rFonts w:ascii="Times New Roman" w:hAnsi="Times New Roman" w:cs="Times New Roman"/>
        </w:rPr>
      </w:pPr>
      <w:r w:rsidRPr="00D833CE">
        <w:rPr>
          <w:rFonts w:ascii="Times New Roman" w:hAnsi="Times New Roman" w:cs="Times New Roman"/>
          <w:b/>
          <w:bCs/>
        </w:rPr>
        <w:t xml:space="preserve">Supplemental Table </w:t>
      </w:r>
      <w:r w:rsidRPr="00D833CE">
        <w:rPr>
          <w:rFonts w:ascii="Times New Roman" w:hAnsi="Times New Roman" w:cs="Times New Roman"/>
          <w:b/>
          <w:bCs/>
        </w:rPr>
        <w:t>7</w:t>
      </w:r>
      <w:r w:rsidRPr="00D833CE">
        <w:rPr>
          <w:rFonts w:ascii="Times New Roman" w:hAnsi="Times New Roman" w:cs="Times New Roman"/>
          <w:b/>
          <w:bCs/>
        </w:rPr>
        <w:t xml:space="preserve">.  </w:t>
      </w:r>
      <w:r w:rsidR="00A111A3" w:rsidRPr="00A111A3">
        <w:rPr>
          <w:rFonts w:ascii="Times New Roman" w:hAnsi="Times New Roman" w:cs="Times New Roman"/>
        </w:rPr>
        <w:t>Library preparation and sequencing information for al 16S rRNA samples.</w:t>
      </w:r>
    </w:p>
    <w:p w14:paraId="7A8819FB" w14:textId="77777777" w:rsidR="00D833CE" w:rsidRPr="00D833CE" w:rsidRDefault="00D833CE" w:rsidP="00300952">
      <w:pPr>
        <w:rPr>
          <w:rFonts w:ascii="Times New Roman" w:hAnsi="Times New Roman" w:cs="Times New Roman"/>
        </w:rPr>
      </w:pPr>
    </w:p>
    <w:p w14:paraId="68CF3F6F" w14:textId="77777777" w:rsidR="00300952" w:rsidRPr="00700500" w:rsidRDefault="00300952" w:rsidP="00300952">
      <w:pPr>
        <w:rPr>
          <w:rFonts w:ascii="Times New Roman" w:hAnsi="Times New Roman" w:cs="Times New Roman"/>
        </w:rPr>
      </w:pPr>
    </w:p>
    <w:p w14:paraId="71C16B26" w14:textId="77777777" w:rsidR="00300952" w:rsidRPr="00700500" w:rsidRDefault="00300952" w:rsidP="00300952">
      <w:pPr>
        <w:rPr>
          <w:rFonts w:ascii="Times New Roman" w:hAnsi="Times New Roman" w:cs="Times New Roman"/>
        </w:rPr>
      </w:pPr>
    </w:p>
    <w:p w14:paraId="24388B3D" w14:textId="4678F43A" w:rsidR="00300952" w:rsidRPr="00D833CE" w:rsidRDefault="00D833CE" w:rsidP="00300952">
      <w:pPr>
        <w:rPr>
          <w:rFonts w:ascii="Times New Roman" w:hAnsi="Times New Roman" w:cs="Times New Roman"/>
          <w:b/>
          <w:bCs/>
        </w:rPr>
      </w:pPr>
      <w:r w:rsidRPr="00D833CE">
        <w:rPr>
          <w:rFonts w:ascii="Times New Roman" w:hAnsi="Times New Roman" w:cs="Times New Roman"/>
          <w:b/>
          <w:bCs/>
        </w:rPr>
        <w:t>Supplemental References</w:t>
      </w:r>
    </w:p>
    <w:p w14:paraId="05105CF9"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fldChar w:fldCharType="begin"/>
      </w:r>
      <w:r w:rsidRPr="00700500">
        <w:rPr>
          <w:rFonts w:ascii="Times New Roman" w:hAnsi="Times New Roman" w:cs="Times New Roman"/>
        </w:rPr>
        <w:instrText xml:space="preserve"> ADDIN ZOTERO_BIBL {"uncited":[],"omitted":[],"custom":[]} CSL_BIBLIOGRAPHY </w:instrText>
      </w:r>
      <w:r w:rsidRPr="00700500">
        <w:rPr>
          <w:rFonts w:ascii="Times New Roman" w:hAnsi="Times New Roman" w:cs="Times New Roman"/>
        </w:rPr>
        <w:fldChar w:fldCharType="separate"/>
      </w:r>
      <w:r w:rsidRPr="00700500">
        <w:rPr>
          <w:rFonts w:ascii="Times New Roman" w:hAnsi="Times New Roman" w:cs="Times New Roman"/>
        </w:rPr>
        <w:t>1.</w:t>
      </w:r>
      <w:r w:rsidRPr="00700500">
        <w:rPr>
          <w:rFonts w:ascii="Times New Roman" w:hAnsi="Times New Roman" w:cs="Times New Roman"/>
        </w:rPr>
        <w:tab/>
        <w:t xml:space="preserve">Oliverio, A. M. </w:t>
      </w:r>
      <w:r w:rsidRPr="00700500">
        <w:rPr>
          <w:rFonts w:ascii="Times New Roman" w:hAnsi="Times New Roman" w:cs="Times New Roman"/>
          <w:i/>
          <w:iCs/>
        </w:rPr>
        <w:t>et al.</w:t>
      </w:r>
      <w:r w:rsidRPr="00700500">
        <w:rPr>
          <w:rFonts w:ascii="Times New Roman" w:hAnsi="Times New Roman" w:cs="Times New Roman"/>
        </w:rPr>
        <w:t xml:space="preserve"> Rendering the metabolic wiring powering wetland soil methane production. 2024.02.06.579222 Preprint at https://doi.org/10.1101/2024.02.06.579222 (2024).</w:t>
      </w:r>
    </w:p>
    <w:p w14:paraId="5FCB7E51"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w:t>
      </w:r>
      <w:r w:rsidRPr="00700500">
        <w:rPr>
          <w:rFonts w:ascii="Times New Roman" w:hAnsi="Times New Roman" w:cs="Times New Roman"/>
        </w:rPr>
        <w:tab/>
        <w:t xml:space="preserve">Angle, J. C. </w:t>
      </w:r>
      <w:r w:rsidRPr="00700500">
        <w:rPr>
          <w:rFonts w:ascii="Times New Roman" w:hAnsi="Times New Roman" w:cs="Times New Roman"/>
          <w:i/>
          <w:iCs/>
        </w:rPr>
        <w:t>et al.</w:t>
      </w:r>
      <w:r w:rsidRPr="00700500">
        <w:rPr>
          <w:rFonts w:ascii="Times New Roman" w:hAnsi="Times New Roman" w:cs="Times New Roman"/>
        </w:rPr>
        <w:t xml:space="preserve"> Methanogenesis in oxygenated soils is a substantial fraction of wetland methane emissions. </w:t>
      </w:r>
      <w:r w:rsidRPr="00700500">
        <w:rPr>
          <w:rFonts w:ascii="Times New Roman" w:hAnsi="Times New Roman" w:cs="Times New Roman"/>
          <w:i/>
          <w:iCs/>
        </w:rPr>
        <w:t>Nat Commun</w:t>
      </w:r>
      <w:r w:rsidRPr="00700500">
        <w:rPr>
          <w:rFonts w:ascii="Times New Roman" w:hAnsi="Times New Roman" w:cs="Times New Roman"/>
        </w:rPr>
        <w:t xml:space="preserve"> </w:t>
      </w:r>
      <w:r w:rsidRPr="00700500">
        <w:rPr>
          <w:rFonts w:ascii="Times New Roman" w:hAnsi="Times New Roman" w:cs="Times New Roman"/>
          <w:b/>
          <w:bCs/>
        </w:rPr>
        <w:t>8</w:t>
      </w:r>
      <w:r w:rsidRPr="00700500">
        <w:rPr>
          <w:rFonts w:ascii="Times New Roman" w:hAnsi="Times New Roman" w:cs="Times New Roman"/>
        </w:rPr>
        <w:t>, 1567 (2017).</w:t>
      </w:r>
    </w:p>
    <w:p w14:paraId="1CB9DCAB"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3.</w:t>
      </w:r>
      <w:r w:rsidRPr="00700500">
        <w:rPr>
          <w:rFonts w:ascii="Times New Roman" w:hAnsi="Times New Roman" w:cs="Times New Roman"/>
        </w:rPr>
        <w:tab/>
        <w:t xml:space="preserve">Narrowe, A. B. </w:t>
      </w:r>
      <w:r w:rsidRPr="00700500">
        <w:rPr>
          <w:rFonts w:ascii="Times New Roman" w:hAnsi="Times New Roman" w:cs="Times New Roman"/>
          <w:i/>
          <w:iCs/>
        </w:rPr>
        <w:t>et al.</w:t>
      </w:r>
      <w:r w:rsidRPr="00700500">
        <w:rPr>
          <w:rFonts w:ascii="Times New Roman" w:hAnsi="Times New Roman" w:cs="Times New Roman"/>
        </w:rPr>
        <w:t xml:space="preserve"> Uncovering the Diversity and Activity of Methylotrophic Methanogens in Freshwater Wetland Soils. </w:t>
      </w:r>
      <w:r w:rsidRPr="00700500">
        <w:rPr>
          <w:rFonts w:ascii="Times New Roman" w:hAnsi="Times New Roman" w:cs="Times New Roman"/>
          <w:i/>
          <w:iCs/>
        </w:rPr>
        <w:t>mSystems</w:t>
      </w:r>
      <w:r w:rsidRPr="00700500">
        <w:rPr>
          <w:rFonts w:ascii="Times New Roman" w:hAnsi="Times New Roman" w:cs="Times New Roman"/>
        </w:rPr>
        <w:t xml:space="preserve"> </w:t>
      </w:r>
      <w:r w:rsidRPr="00700500">
        <w:rPr>
          <w:rFonts w:ascii="Times New Roman" w:hAnsi="Times New Roman" w:cs="Times New Roman"/>
          <w:b/>
          <w:bCs/>
        </w:rPr>
        <w:t>4</w:t>
      </w:r>
      <w:r w:rsidRPr="00700500">
        <w:rPr>
          <w:rFonts w:ascii="Times New Roman" w:hAnsi="Times New Roman" w:cs="Times New Roman"/>
        </w:rPr>
        <w:t>, e00320-19 (2019).</w:t>
      </w:r>
    </w:p>
    <w:p w14:paraId="21534D89"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4.</w:t>
      </w:r>
      <w:r w:rsidRPr="00700500">
        <w:rPr>
          <w:rFonts w:ascii="Times New Roman" w:hAnsi="Times New Roman" w:cs="Times New Roman"/>
        </w:rPr>
        <w:tab/>
        <w:t xml:space="preserve">Narrowe, A. B. </w:t>
      </w:r>
      <w:r w:rsidRPr="00700500">
        <w:rPr>
          <w:rFonts w:ascii="Times New Roman" w:hAnsi="Times New Roman" w:cs="Times New Roman"/>
          <w:i/>
          <w:iCs/>
        </w:rPr>
        <w:t>et al.</w:t>
      </w:r>
      <w:r w:rsidRPr="00700500">
        <w:rPr>
          <w:rFonts w:ascii="Times New Roman" w:hAnsi="Times New Roman" w:cs="Times New Roman"/>
        </w:rPr>
        <w:t xml:space="preserve"> Complex Evolutionary History of Translation Elongation Factor 2 and Diphthamide Biosynthesis in Archaea and Parabasalids. </w:t>
      </w:r>
      <w:r w:rsidRPr="00700500">
        <w:rPr>
          <w:rFonts w:ascii="Times New Roman" w:hAnsi="Times New Roman" w:cs="Times New Roman"/>
          <w:i/>
          <w:iCs/>
        </w:rPr>
        <w:t>Genome Biol Evol</w:t>
      </w:r>
      <w:r w:rsidRPr="00700500">
        <w:rPr>
          <w:rFonts w:ascii="Times New Roman" w:hAnsi="Times New Roman" w:cs="Times New Roman"/>
        </w:rPr>
        <w:t xml:space="preserve"> </w:t>
      </w:r>
      <w:r w:rsidRPr="00700500">
        <w:rPr>
          <w:rFonts w:ascii="Times New Roman" w:hAnsi="Times New Roman" w:cs="Times New Roman"/>
          <w:b/>
          <w:bCs/>
        </w:rPr>
        <w:t>10</w:t>
      </w:r>
      <w:r w:rsidRPr="00700500">
        <w:rPr>
          <w:rFonts w:ascii="Times New Roman" w:hAnsi="Times New Roman" w:cs="Times New Roman"/>
        </w:rPr>
        <w:t>, 2380–2393 (2018).</w:t>
      </w:r>
    </w:p>
    <w:p w14:paraId="13D24A34"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5.</w:t>
      </w:r>
      <w:r w:rsidRPr="00700500">
        <w:rPr>
          <w:rFonts w:ascii="Times New Roman" w:hAnsi="Times New Roman" w:cs="Times New Roman"/>
        </w:rPr>
        <w:tab/>
        <w:t xml:space="preserve">Dalcin Martins, P., Frank, J., Mitchell, H., Markillie, L. M. &amp; Wilkins, M. J. Wetland Sediments Host Diverse Microbial Taxa Capable of Cycling Alcohols. </w:t>
      </w:r>
      <w:r w:rsidRPr="00700500">
        <w:rPr>
          <w:rFonts w:ascii="Times New Roman" w:hAnsi="Times New Roman" w:cs="Times New Roman"/>
          <w:i/>
          <w:iCs/>
        </w:rPr>
        <w:t>Appl Environ Microbiol</w:t>
      </w:r>
      <w:r w:rsidRPr="00700500">
        <w:rPr>
          <w:rFonts w:ascii="Times New Roman" w:hAnsi="Times New Roman" w:cs="Times New Roman"/>
        </w:rPr>
        <w:t xml:space="preserve"> </w:t>
      </w:r>
      <w:r w:rsidRPr="00700500">
        <w:rPr>
          <w:rFonts w:ascii="Times New Roman" w:hAnsi="Times New Roman" w:cs="Times New Roman"/>
          <w:b/>
          <w:bCs/>
        </w:rPr>
        <w:t>85</w:t>
      </w:r>
      <w:r w:rsidRPr="00700500">
        <w:rPr>
          <w:rFonts w:ascii="Times New Roman" w:hAnsi="Times New Roman" w:cs="Times New Roman"/>
        </w:rPr>
        <w:t>, (2019).</w:t>
      </w:r>
    </w:p>
    <w:p w14:paraId="057560AC"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6.</w:t>
      </w:r>
      <w:r w:rsidRPr="00700500">
        <w:rPr>
          <w:rFonts w:ascii="Times New Roman" w:hAnsi="Times New Roman" w:cs="Times New Roman"/>
        </w:rPr>
        <w:tab/>
        <w:t xml:space="preserve">He, S. </w:t>
      </w:r>
      <w:r w:rsidRPr="00700500">
        <w:rPr>
          <w:rFonts w:ascii="Times New Roman" w:hAnsi="Times New Roman" w:cs="Times New Roman"/>
          <w:i/>
          <w:iCs/>
        </w:rPr>
        <w:t>et al.</w:t>
      </w:r>
      <w:r w:rsidRPr="00700500">
        <w:rPr>
          <w:rFonts w:ascii="Times New Roman" w:hAnsi="Times New Roman" w:cs="Times New Roman"/>
        </w:rPr>
        <w:t xml:space="preserve"> Patterns in wetland microbial community composition and functional gene repertoire associated with methane emissions. </w:t>
      </w:r>
      <w:r w:rsidRPr="00700500">
        <w:rPr>
          <w:rFonts w:ascii="Times New Roman" w:hAnsi="Times New Roman" w:cs="Times New Roman"/>
          <w:i/>
          <w:iCs/>
        </w:rPr>
        <w:t>mBio</w:t>
      </w:r>
      <w:r w:rsidRPr="00700500">
        <w:rPr>
          <w:rFonts w:ascii="Times New Roman" w:hAnsi="Times New Roman" w:cs="Times New Roman"/>
        </w:rPr>
        <w:t xml:space="preserve"> </w:t>
      </w:r>
      <w:r w:rsidRPr="00700500">
        <w:rPr>
          <w:rFonts w:ascii="Times New Roman" w:hAnsi="Times New Roman" w:cs="Times New Roman"/>
          <w:b/>
          <w:bCs/>
        </w:rPr>
        <w:t>6</w:t>
      </w:r>
      <w:r w:rsidRPr="00700500">
        <w:rPr>
          <w:rFonts w:ascii="Times New Roman" w:hAnsi="Times New Roman" w:cs="Times New Roman"/>
        </w:rPr>
        <w:t>, e00066-00015 (2015).</w:t>
      </w:r>
    </w:p>
    <w:p w14:paraId="030A474F"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lastRenderedPageBreak/>
        <w:t>7.</w:t>
      </w:r>
      <w:r w:rsidRPr="00700500">
        <w:rPr>
          <w:rFonts w:ascii="Times New Roman" w:hAnsi="Times New Roman" w:cs="Times New Roman"/>
        </w:rPr>
        <w:tab/>
        <w:t xml:space="preserve">Woodcroft, B. J. </w:t>
      </w:r>
      <w:r w:rsidRPr="00700500">
        <w:rPr>
          <w:rFonts w:ascii="Times New Roman" w:hAnsi="Times New Roman" w:cs="Times New Roman"/>
          <w:i/>
          <w:iCs/>
        </w:rPr>
        <w:t>et al.</w:t>
      </w:r>
      <w:r w:rsidRPr="00700500">
        <w:rPr>
          <w:rFonts w:ascii="Times New Roman" w:hAnsi="Times New Roman" w:cs="Times New Roman"/>
        </w:rPr>
        <w:t xml:space="preserve"> Genome-centric view of carbon processing in thawing permafrost. </w:t>
      </w:r>
      <w:r w:rsidRPr="00700500">
        <w:rPr>
          <w:rFonts w:ascii="Times New Roman" w:hAnsi="Times New Roman" w:cs="Times New Roman"/>
          <w:i/>
          <w:iCs/>
        </w:rPr>
        <w:t>Nature</w:t>
      </w:r>
      <w:r w:rsidRPr="00700500">
        <w:rPr>
          <w:rFonts w:ascii="Times New Roman" w:hAnsi="Times New Roman" w:cs="Times New Roman"/>
        </w:rPr>
        <w:t xml:space="preserve"> </w:t>
      </w:r>
      <w:r w:rsidRPr="00700500">
        <w:rPr>
          <w:rFonts w:ascii="Times New Roman" w:hAnsi="Times New Roman" w:cs="Times New Roman"/>
          <w:b/>
          <w:bCs/>
        </w:rPr>
        <w:t>560</w:t>
      </w:r>
      <w:r w:rsidRPr="00700500">
        <w:rPr>
          <w:rFonts w:ascii="Times New Roman" w:hAnsi="Times New Roman" w:cs="Times New Roman"/>
        </w:rPr>
        <w:t>, 49–54 (2018).</w:t>
      </w:r>
    </w:p>
    <w:p w14:paraId="3C5E443E"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8.</w:t>
      </w:r>
      <w:r w:rsidRPr="00700500">
        <w:rPr>
          <w:rFonts w:ascii="Times New Roman" w:hAnsi="Times New Roman" w:cs="Times New Roman"/>
        </w:rPr>
        <w:tab/>
        <w:t xml:space="preserve">Dalcin Martins, P. </w:t>
      </w:r>
      <w:r w:rsidRPr="00700500">
        <w:rPr>
          <w:rFonts w:ascii="Times New Roman" w:hAnsi="Times New Roman" w:cs="Times New Roman"/>
          <w:i/>
          <w:iCs/>
        </w:rPr>
        <w:t>et al.</w:t>
      </w:r>
      <w:r w:rsidRPr="00700500">
        <w:rPr>
          <w:rFonts w:ascii="Times New Roman" w:hAnsi="Times New Roman" w:cs="Times New Roman"/>
        </w:rPr>
        <w:t xml:space="preserve"> Abundant carbon substrates drive extremely high sulfate reduction rates and methane fluxes in Prairie Pothole Wetlands. </w:t>
      </w:r>
      <w:r w:rsidRPr="00700500">
        <w:rPr>
          <w:rFonts w:ascii="Times New Roman" w:hAnsi="Times New Roman" w:cs="Times New Roman"/>
          <w:i/>
          <w:iCs/>
        </w:rPr>
        <w:t>Glob Change Biol</w:t>
      </w:r>
      <w:r w:rsidRPr="00700500">
        <w:rPr>
          <w:rFonts w:ascii="Times New Roman" w:hAnsi="Times New Roman" w:cs="Times New Roman"/>
        </w:rPr>
        <w:t xml:space="preserve"> </w:t>
      </w:r>
      <w:r w:rsidRPr="00700500">
        <w:rPr>
          <w:rFonts w:ascii="Times New Roman" w:hAnsi="Times New Roman" w:cs="Times New Roman"/>
          <w:b/>
          <w:bCs/>
        </w:rPr>
        <w:t>23</w:t>
      </w:r>
      <w:r w:rsidRPr="00700500">
        <w:rPr>
          <w:rFonts w:ascii="Times New Roman" w:hAnsi="Times New Roman" w:cs="Times New Roman"/>
        </w:rPr>
        <w:t>, 3107–3120 (2017).</w:t>
      </w:r>
    </w:p>
    <w:p w14:paraId="076CCE41"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9.</w:t>
      </w:r>
      <w:r w:rsidRPr="00700500">
        <w:rPr>
          <w:rFonts w:ascii="Times New Roman" w:hAnsi="Times New Roman" w:cs="Times New Roman"/>
        </w:rPr>
        <w:tab/>
        <w:t xml:space="preserve">Wilson, R. M. </w:t>
      </w:r>
      <w:r w:rsidRPr="00700500">
        <w:rPr>
          <w:rFonts w:ascii="Times New Roman" w:hAnsi="Times New Roman" w:cs="Times New Roman"/>
          <w:i/>
          <w:iCs/>
        </w:rPr>
        <w:t>et al.</w:t>
      </w:r>
      <w:r w:rsidRPr="00700500">
        <w:rPr>
          <w:rFonts w:ascii="Times New Roman" w:hAnsi="Times New Roman" w:cs="Times New Roman"/>
        </w:rPr>
        <w:t xml:space="preserve"> Soil metabolome response to whole-ecosystem warming at the Spruce and Peatland Responses under Changing Environments experiment. </w:t>
      </w:r>
      <w:r w:rsidRPr="00700500">
        <w:rPr>
          <w:rFonts w:ascii="Times New Roman" w:hAnsi="Times New Roman" w:cs="Times New Roman"/>
          <w:i/>
          <w:iCs/>
        </w:rPr>
        <w:t>Proceedings of the National Academy of Sciences</w:t>
      </w:r>
      <w:r w:rsidRPr="00700500">
        <w:rPr>
          <w:rFonts w:ascii="Times New Roman" w:hAnsi="Times New Roman" w:cs="Times New Roman"/>
        </w:rPr>
        <w:t xml:space="preserve"> </w:t>
      </w:r>
      <w:r w:rsidRPr="00700500">
        <w:rPr>
          <w:rFonts w:ascii="Times New Roman" w:hAnsi="Times New Roman" w:cs="Times New Roman"/>
          <w:b/>
          <w:bCs/>
        </w:rPr>
        <w:t>118</w:t>
      </w:r>
      <w:r w:rsidRPr="00700500">
        <w:rPr>
          <w:rFonts w:ascii="Times New Roman" w:hAnsi="Times New Roman" w:cs="Times New Roman"/>
        </w:rPr>
        <w:t>, e2004192118 (2021).</w:t>
      </w:r>
    </w:p>
    <w:p w14:paraId="743141EB"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10.</w:t>
      </w:r>
      <w:r w:rsidRPr="00700500">
        <w:rPr>
          <w:rFonts w:ascii="Times New Roman" w:hAnsi="Times New Roman" w:cs="Times New Roman"/>
        </w:rPr>
        <w:tab/>
        <w:t xml:space="preserve">Ellenbogen, J. B. </w:t>
      </w:r>
      <w:r w:rsidRPr="00700500">
        <w:rPr>
          <w:rFonts w:ascii="Times New Roman" w:hAnsi="Times New Roman" w:cs="Times New Roman"/>
          <w:i/>
          <w:iCs/>
        </w:rPr>
        <w:t>et al.</w:t>
      </w:r>
      <w:r w:rsidRPr="00700500">
        <w:rPr>
          <w:rFonts w:ascii="Times New Roman" w:hAnsi="Times New Roman" w:cs="Times New Roman"/>
        </w:rPr>
        <w:t xml:space="preserve"> Methylotrophy in the Mire: direct and indirect routes for methane production in thawing permafrost. </w:t>
      </w:r>
      <w:r w:rsidRPr="00700500">
        <w:rPr>
          <w:rFonts w:ascii="Times New Roman" w:hAnsi="Times New Roman" w:cs="Times New Roman"/>
          <w:i/>
          <w:iCs/>
        </w:rPr>
        <w:t>mSystems</w:t>
      </w:r>
      <w:r w:rsidRPr="00700500">
        <w:rPr>
          <w:rFonts w:ascii="Times New Roman" w:hAnsi="Times New Roman" w:cs="Times New Roman"/>
        </w:rPr>
        <w:t xml:space="preserve"> </w:t>
      </w:r>
      <w:r w:rsidRPr="00700500">
        <w:rPr>
          <w:rFonts w:ascii="Times New Roman" w:hAnsi="Times New Roman" w:cs="Times New Roman"/>
          <w:b/>
          <w:bCs/>
        </w:rPr>
        <w:t>0</w:t>
      </w:r>
      <w:r w:rsidRPr="00700500">
        <w:rPr>
          <w:rFonts w:ascii="Times New Roman" w:hAnsi="Times New Roman" w:cs="Times New Roman"/>
        </w:rPr>
        <w:t>, e00698-23 (2023).</w:t>
      </w:r>
    </w:p>
    <w:p w14:paraId="20BAB7F4"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11.</w:t>
      </w:r>
      <w:r w:rsidRPr="00700500">
        <w:rPr>
          <w:rFonts w:ascii="Times New Roman" w:hAnsi="Times New Roman" w:cs="Times New Roman"/>
        </w:rPr>
        <w:tab/>
        <w:t xml:space="preserve">Guerrero-Cruz, S. </w:t>
      </w:r>
      <w:r w:rsidRPr="00700500">
        <w:rPr>
          <w:rFonts w:ascii="Times New Roman" w:hAnsi="Times New Roman" w:cs="Times New Roman"/>
          <w:i/>
          <w:iCs/>
        </w:rPr>
        <w:t>et al.</w:t>
      </w:r>
      <w:r w:rsidRPr="00700500">
        <w:rPr>
          <w:rFonts w:ascii="Times New Roman" w:hAnsi="Times New Roman" w:cs="Times New Roman"/>
        </w:rPr>
        <w:t xml:space="preserve"> Methanotrophs: Discoveries, Environmental Relevance, and a Perspective on Current and Future Applications. </w:t>
      </w:r>
      <w:r w:rsidRPr="00700500">
        <w:rPr>
          <w:rFonts w:ascii="Times New Roman" w:hAnsi="Times New Roman" w:cs="Times New Roman"/>
          <w:i/>
          <w:iCs/>
        </w:rPr>
        <w:t>Frontiers in Microbiology</w:t>
      </w:r>
      <w:r w:rsidRPr="00700500">
        <w:rPr>
          <w:rFonts w:ascii="Times New Roman" w:hAnsi="Times New Roman" w:cs="Times New Roman"/>
        </w:rPr>
        <w:t xml:space="preserve"> </w:t>
      </w:r>
      <w:r w:rsidRPr="00700500">
        <w:rPr>
          <w:rFonts w:ascii="Times New Roman" w:hAnsi="Times New Roman" w:cs="Times New Roman"/>
          <w:b/>
          <w:bCs/>
        </w:rPr>
        <w:t>12</w:t>
      </w:r>
      <w:r w:rsidRPr="00700500">
        <w:rPr>
          <w:rFonts w:ascii="Times New Roman" w:hAnsi="Times New Roman" w:cs="Times New Roman"/>
        </w:rPr>
        <w:t>, (2021).</w:t>
      </w:r>
    </w:p>
    <w:p w14:paraId="362FCE8D"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12.</w:t>
      </w:r>
      <w:r w:rsidRPr="00700500">
        <w:rPr>
          <w:rFonts w:ascii="Times New Roman" w:hAnsi="Times New Roman" w:cs="Times New Roman"/>
        </w:rPr>
        <w:tab/>
        <w:t xml:space="preserve">Shin, J., Song, Y., Jeong, Y. &amp; Cho, B.-K. Analysis of the Core Genome and Pan-Genome of Autotrophic Acetogenic Bacteria. </w:t>
      </w:r>
      <w:r w:rsidRPr="00700500">
        <w:rPr>
          <w:rFonts w:ascii="Times New Roman" w:hAnsi="Times New Roman" w:cs="Times New Roman"/>
          <w:i/>
          <w:iCs/>
        </w:rPr>
        <w:t>Front Microbiol</w:t>
      </w:r>
      <w:r w:rsidRPr="00700500">
        <w:rPr>
          <w:rFonts w:ascii="Times New Roman" w:hAnsi="Times New Roman" w:cs="Times New Roman"/>
        </w:rPr>
        <w:t xml:space="preserve"> </w:t>
      </w:r>
      <w:r w:rsidRPr="00700500">
        <w:rPr>
          <w:rFonts w:ascii="Times New Roman" w:hAnsi="Times New Roman" w:cs="Times New Roman"/>
          <w:b/>
          <w:bCs/>
        </w:rPr>
        <w:t>7</w:t>
      </w:r>
      <w:r w:rsidRPr="00700500">
        <w:rPr>
          <w:rFonts w:ascii="Times New Roman" w:hAnsi="Times New Roman" w:cs="Times New Roman"/>
        </w:rPr>
        <w:t>, 1531 (2016).</w:t>
      </w:r>
    </w:p>
    <w:p w14:paraId="6313D8ED"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13.</w:t>
      </w:r>
      <w:r w:rsidRPr="00700500">
        <w:rPr>
          <w:rFonts w:ascii="Times New Roman" w:hAnsi="Times New Roman" w:cs="Times New Roman"/>
        </w:rPr>
        <w:tab/>
        <w:t xml:space="preserve">Andreesen, J. R. Glycine reductase mechanism. </w:t>
      </w:r>
      <w:r w:rsidRPr="00700500">
        <w:rPr>
          <w:rFonts w:ascii="Times New Roman" w:hAnsi="Times New Roman" w:cs="Times New Roman"/>
          <w:i/>
          <w:iCs/>
        </w:rPr>
        <w:t>Current Opinion in Chemical Biology</w:t>
      </w:r>
      <w:r w:rsidRPr="00700500">
        <w:rPr>
          <w:rFonts w:ascii="Times New Roman" w:hAnsi="Times New Roman" w:cs="Times New Roman"/>
        </w:rPr>
        <w:t xml:space="preserve"> </w:t>
      </w:r>
      <w:r w:rsidRPr="00700500">
        <w:rPr>
          <w:rFonts w:ascii="Times New Roman" w:hAnsi="Times New Roman" w:cs="Times New Roman"/>
          <w:b/>
          <w:bCs/>
        </w:rPr>
        <w:t>8</w:t>
      </w:r>
      <w:r w:rsidRPr="00700500">
        <w:rPr>
          <w:rFonts w:ascii="Times New Roman" w:hAnsi="Times New Roman" w:cs="Times New Roman"/>
        </w:rPr>
        <w:t>, 454–461 (2004).</w:t>
      </w:r>
    </w:p>
    <w:p w14:paraId="0B75F6E9"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14.</w:t>
      </w:r>
      <w:r w:rsidRPr="00700500">
        <w:rPr>
          <w:rFonts w:ascii="Times New Roman" w:hAnsi="Times New Roman" w:cs="Times New Roman"/>
        </w:rPr>
        <w:tab/>
        <w:t xml:space="preserve">Rajakovich, L. J., Fu, B., Bollenbach, M. &amp; Balskus, E. P. Elucidation of an anaerobic pathway for metabolism of l-carnitine–derived γ-butyrobetaine to trimethylamine in human gut bacteria. </w:t>
      </w:r>
      <w:r w:rsidRPr="00700500">
        <w:rPr>
          <w:rFonts w:ascii="Times New Roman" w:hAnsi="Times New Roman" w:cs="Times New Roman"/>
          <w:i/>
          <w:iCs/>
        </w:rPr>
        <w:t>Proceedings of the National Academy of Sciences</w:t>
      </w:r>
      <w:r w:rsidRPr="00700500">
        <w:rPr>
          <w:rFonts w:ascii="Times New Roman" w:hAnsi="Times New Roman" w:cs="Times New Roman"/>
        </w:rPr>
        <w:t xml:space="preserve"> </w:t>
      </w:r>
      <w:r w:rsidRPr="00700500">
        <w:rPr>
          <w:rFonts w:ascii="Times New Roman" w:hAnsi="Times New Roman" w:cs="Times New Roman"/>
          <w:b/>
          <w:bCs/>
        </w:rPr>
        <w:t>118</w:t>
      </w:r>
      <w:r w:rsidRPr="00700500">
        <w:rPr>
          <w:rFonts w:ascii="Times New Roman" w:hAnsi="Times New Roman" w:cs="Times New Roman"/>
        </w:rPr>
        <w:t>, e2101498118 (2021).</w:t>
      </w:r>
    </w:p>
    <w:p w14:paraId="478DF0F5"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15.</w:t>
      </w:r>
      <w:r w:rsidRPr="00700500">
        <w:rPr>
          <w:rFonts w:ascii="Times New Roman" w:hAnsi="Times New Roman" w:cs="Times New Roman"/>
        </w:rPr>
        <w:tab/>
        <w:t xml:space="preserve">Massmig, M. </w:t>
      </w:r>
      <w:r w:rsidRPr="00700500">
        <w:rPr>
          <w:rFonts w:ascii="Times New Roman" w:hAnsi="Times New Roman" w:cs="Times New Roman"/>
          <w:i/>
          <w:iCs/>
        </w:rPr>
        <w:t>et al.</w:t>
      </w:r>
      <w:r w:rsidRPr="00700500">
        <w:rPr>
          <w:rFonts w:ascii="Times New Roman" w:hAnsi="Times New Roman" w:cs="Times New Roman"/>
        </w:rPr>
        <w:t xml:space="preserve"> Carnitine metabolism in the human gut: characterization of the two-component carnitine monooxygenase CntAB from Acinetobacter baumannii. </w:t>
      </w:r>
      <w:r w:rsidRPr="00700500">
        <w:rPr>
          <w:rFonts w:ascii="Times New Roman" w:hAnsi="Times New Roman" w:cs="Times New Roman"/>
          <w:i/>
          <w:iCs/>
        </w:rPr>
        <w:t>J Biol Chem</w:t>
      </w:r>
      <w:r w:rsidRPr="00700500">
        <w:rPr>
          <w:rFonts w:ascii="Times New Roman" w:hAnsi="Times New Roman" w:cs="Times New Roman"/>
        </w:rPr>
        <w:t xml:space="preserve"> </w:t>
      </w:r>
      <w:r w:rsidRPr="00700500">
        <w:rPr>
          <w:rFonts w:ascii="Times New Roman" w:hAnsi="Times New Roman" w:cs="Times New Roman"/>
          <w:b/>
          <w:bCs/>
        </w:rPr>
        <w:t>295</w:t>
      </w:r>
      <w:r w:rsidRPr="00700500">
        <w:rPr>
          <w:rFonts w:ascii="Times New Roman" w:hAnsi="Times New Roman" w:cs="Times New Roman"/>
        </w:rPr>
        <w:t>, 13065–13078 (2020).</w:t>
      </w:r>
    </w:p>
    <w:p w14:paraId="2B61B634"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16.</w:t>
      </w:r>
      <w:r w:rsidRPr="00700500">
        <w:rPr>
          <w:rFonts w:ascii="Times New Roman" w:hAnsi="Times New Roman" w:cs="Times New Roman"/>
        </w:rPr>
        <w:tab/>
        <w:t xml:space="preserve">Koeth, R. A. </w:t>
      </w:r>
      <w:r w:rsidRPr="00700500">
        <w:rPr>
          <w:rFonts w:ascii="Times New Roman" w:hAnsi="Times New Roman" w:cs="Times New Roman"/>
          <w:i/>
          <w:iCs/>
        </w:rPr>
        <w:t>et al.</w:t>
      </w:r>
      <w:r w:rsidRPr="00700500">
        <w:rPr>
          <w:rFonts w:ascii="Times New Roman" w:hAnsi="Times New Roman" w:cs="Times New Roman"/>
        </w:rPr>
        <w:t xml:space="preserve"> γ-Butyrobetaine Is a Proatherogenic Intermediate in Gut Microbial Metabolism of L-Carnitine to TMAO. </w:t>
      </w:r>
      <w:r w:rsidRPr="00700500">
        <w:rPr>
          <w:rFonts w:ascii="Times New Roman" w:hAnsi="Times New Roman" w:cs="Times New Roman"/>
          <w:i/>
          <w:iCs/>
        </w:rPr>
        <w:t>Cell Metabolism</w:t>
      </w:r>
      <w:r w:rsidRPr="00700500">
        <w:rPr>
          <w:rFonts w:ascii="Times New Roman" w:hAnsi="Times New Roman" w:cs="Times New Roman"/>
        </w:rPr>
        <w:t xml:space="preserve"> </w:t>
      </w:r>
      <w:r w:rsidRPr="00700500">
        <w:rPr>
          <w:rFonts w:ascii="Times New Roman" w:hAnsi="Times New Roman" w:cs="Times New Roman"/>
          <w:b/>
          <w:bCs/>
        </w:rPr>
        <w:t>20</w:t>
      </w:r>
      <w:r w:rsidRPr="00700500">
        <w:rPr>
          <w:rFonts w:ascii="Times New Roman" w:hAnsi="Times New Roman" w:cs="Times New Roman"/>
        </w:rPr>
        <w:t>, 799–812 (2014).</w:t>
      </w:r>
    </w:p>
    <w:p w14:paraId="5E97C281"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17.</w:t>
      </w:r>
      <w:r w:rsidRPr="00700500">
        <w:rPr>
          <w:rFonts w:ascii="Times New Roman" w:hAnsi="Times New Roman" w:cs="Times New Roman"/>
        </w:rPr>
        <w:tab/>
        <w:t xml:space="preserve">Craciun, S. &amp; Balskus, E. P. Microbial conversion of choline to trimethylamine requires a glycyl radical enzyme. </w:t>
      </w:r>
      <w:r w:rsidRPr="00700500">
        <w:rPr>
          <w:rFonts w:ascii="Times New Roman" w:hAnsi="Times New Roman" w:cs="Times New Roman"/>
          <w:i/>
          <w:iCs/>
        </w:rPr>
        <w:t>Proc Natl Acad Sci U S A</w:t>
      </w:r>
      <w:r w:rsidRPr="00700500">
        <w:rPr>
          <w:rFonts w:ascii="Times New Roman" w:hAnsi="Times New Roman" w:cs="Times New Roman"/>
        </w:rPr>
        <w:t xml:space="preserve"> </w:t>
      </w:r>
      <w:r w:rsidRPr="00700500">
        <w:rPr>
          <w:rFonts w:ascii="Times New Roman" w:hAnsi="Times New Roman" w:cs="Times New Roman"/>
          <w:b/>
          <w:bCs/>
        </w:rPr>
        <w:t>109</w:t>
      </w:r>
      <w:r w:rsidRPr="00700500">
        <w:rPr>
          <w:rFonts w:ascii="Times New Roman" w:hAnsi="Times New Roman" w:cs="Times New Roman"/>
        </w:rPr>
        <w:t>, 21307–21312 (2012).</w:t>
      </w:r>
    </w:p>
    <w:p w14:paraId="7F0DB1FD"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18.</w:t>
      </w:r>
      <w:r w:rsidRPr="00700500">
        <w:rPr>
          <w:rFonts w:ascii="Times New Roman" w:hAnsi="Times New Roman" w:cs="Times New Roman"/>
        </w:rPr>
        <w:tab/>
        <w:t xml:space="preserve">Bazire, P. </w:t>
      </w:r>
      <w:r w:rsidRPr="00700500">
        <w:rPr>
          <w:rFonts w:ascii="Times New Roman" w:hAnsi="Times New Roman" w:cs="Times New Roman"/>
          <w:i/>
          <w:iCs/>
        </w:rPr>
        <w:t>et al.</w:t>
      </w:r>
      <w:r w:rsidRPr="00700500">
        <w:rPr>
          <w:rFonts w:ascii="Times New Roman" w:hAnsi="Times New Roman" w:cs="Times New Roman"/>
        </w:rPr>
        <w:t xml:space="preserve"> Characterization of l-Carnitine Metabolism in Sinorhizobium meliloti. </w:t>
      </w:r>
      <w:r w:rsidRPr="00700500">
        <w:rPr>
          <w:rFonts w:ascii="Times New Roman" w:hAnsi="Times New Roman" w:cs="Times New Roman"/>
          <w:i/>
          <w:iCs/>
        </w:rPr>
        <w:t>Journal of Bacteriology</w:t>
      </w:r>
      <w:r w:rsidRPr="00700500">
        <w:rPr>
          <w:rFonts w:ascii="Times New Roman" w:hAnsi="Times New Roman" w:cs="Times New Roman"/>
        </w:rPr>
        <w:t xml:space="preserve"> </w:t>
      </w:r>
      <w:r w:rsidRPr="00700500">
        <w:rPr>
          <w:rFonts w:ascii="Times New Roman" w:hAnsi="Times New Roman" w:cs="Times New Roman"/>
          <w:b/>
          <w:bCs/>
        </w:rPr>
        <w:t>201</w:t>
      </w:r>
      <w:r w:rsidRPr="00700500">
        <w:rPr>
          <w:rFonts w:ascii="Times New Roman" w:hAnsi="Times New Roman" w:cs="Times New Roman"/>
        </w:rPr>
        <w:t>, 10.1128/jb.00772-18 (2019).</w:t>
      </w:r>
    </w:p>
    <w:p w14:paraId="4B724307"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19.</w:t>
      </w:r>
      <w:r w:rsidRPr="00700500">
        <w:rPr>
          <w:rFonts w:ascii="Times New Roman" w:hAnsi="Times New Roman" w:cs="Times New Roman"/>
        </w:rPr>
        <w:tab/>
        <w:t xml:space="preserve">Wargo, M. J. &amp; Meadows, J. A. Carnitine in bacterial physiology and metabolism. </w:t>
      </w:r>
      <w:r w:rsidRPr="00700500">
        <w:rPr>
          <w:rFonts w:ascii="Times New Roman" w:hAnsi="Times New Roman" w:cs="Times New Roman"/>
          <w:i/>
          <w:iCs/>
        </w:rPr>
        <w:t>Microbiology</w:t>
      </w:r>
      <w:r w:rsidRPr="00700500">
        <w:rPr>
          <w:rFonts w:ascii="Times New Roman" w:hAnsi="Times New Roman" w:cs="Times New Roman"/>
        </w:rPr>
        <w:t xml:space="preserve"> </w:t>
      </w:r>
      <w:r w:rsidRPr="00700500">
        <w:rPr>
          <w:rFonts w:ascii="Times New Roman" w:hAnsi="Times New Roman" w:cs="Times New Roman"/>
          <w:b/>
          <w:bCs/>
        </w:rPr>
        <w:t>161</w:t>
      </w:r>
      <w:r w:rsidRPr="00700500">
        <w:rPr>
          <w:rFonts w:ascii="Times New Roman" w:hAnsi="Times New Roman" w:cs="Times New Roman"/>
        </w:rPr>
        <w:t>, 1161–1174 (2015).</w:t>
      </w:r>
    </w:p>
    <w:p w14:paraId="798230A4"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20.</w:t>
      </w:r>
      <w:r w:rsidRPr="00700500">
        <w:rPr>
          <w:rFonts w:ascii="Times New Roman" w:hAnsi="Times New Roman" w:cs="Times New Roman"/>
        </w:rPr>
        <w:tab/>
        <w:t xml:space="preserve">Wargo, M. J., Szwergold, B. S. &amp; Hogan, D. A. Identification of Two Gene Clusters and a Transcriptional Regulator Required for Pseudomonas aeruginosa Glycine Betaine Catabolism. </w:t>
      </w:r>
      <w:r w:rsidRPr="00700500">
        <w:rPr>
          <w:rFonts w:ascii="Times New Roman" w:hAnsi="Times New Roman" w:cs="Times New Roman"/>
          <w:i/>
          <w:iCs/>
        </w:rPr>
        <w:t>Journal of Bacteriology</w:t>
      </w:r>
      <w:r w:rsidRPr="00700500">
        <w:rPr>
          <w:rFonts w:ascii="Times New Roman" w:hAnsi="Times New Roman" w:cs="Times New Roman"/>
        </w:rPr>
        <w:t xml:space="preserve"> </w:t>
      </w:r>
      <w:r w:rsidRPr="00700500">
        <w:rPr>
          <w:rFonts w:ascii="Times New Roman" w:hAnsi="Times New Roman" w:cs="Times New Roman"/>
          <w:b/>
          <w:bCs/>
        </w:rPr>
        <w:t>190</w:t>
      </w:r>
      <w:r w:rsidRPr="00700500">
        <w:rPr>
          <w:rFonts w:ascii="Times New Roman" w:hAnsi="Times New Roman" w:cs="Times New Roman"/>
        </w:rPr>
        <w:t>, 2690–2699 (2008).</w:t>
      </w:r>
    </w:p>
    <w:p w14:paraId="12910043"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21.</w:t>
      </w:r>
      <w:r w:rsidRPr="00700500">
        <w:rPr>
          <w:rFonts w:ascii="Times New Roman" w:hAnsi="Times New Roman" w:cs="Times New Roman"/>
        </w:rPr>
        <w:tab/>
        <w:t xml:space="preserve">Kumar, R. </w:t>
      </w:r>
      <w:r w:rsidRPr="00700500">
        <w:rPr>
          <w:rFonts w:ascii="Times New Roman" w:hAnsi="Times New Roman" w:cs="Times New Roman"/>
          <w:i/>
          <w:iCs/>
        </w:rPr>
        <w:t>et al.</w:t>
      </w:r>
      <w:r w:rsidRPr="00700500">
        <w:rPr>
          <w:rFonts w:ascii="Times New Roman" w:hAnsi="Times New Roman" w:cs="Times New Roman"/>
        </w:rPr>
        <w:t xml:space="preserve"> Prediction and Biochemical Demonstration of a Catabolic Pathway for the Osmoprotectant Proline Betaine. </w:t>
      </w:r>
      <w:r w:rsidRPr="00700500">
        <w:rPr>
          <w:rFonts w:ascii="Times New Roman" w:hAnsi="Times New Roman" w:cs="Times New Roman"/>
          <w:i/>
          <w:iCs/>
        </w:rPr>
        <w:t>mBio</w:t>
      </w:r>
      <w:r w:rsidRPr="00700500">
        <w:rPr>
          <w:rFonts w:ascii="Times New Roman" w:hAnsi="Times New Roman" w:cs="Times New Roman"/>
        </w:rPr>
        <w:t xml:space="preserve"> </w:t>
      </w:r>
      <w:r w:rsidRPr="00700500">
        <w:rPr>
          <w:rFonts w:ascii="Times New Roman" w:hAnsi="Times New Roman" w:cs="Times New Roman"/>
          <w:b/>
          <w:bCs/>
        </w:rPr>
        <w:t>5</w:t>
      </w:r>
      <w:r w:rsidRPr="00700500">
        <w:rPr>
          <w:rFonts w:ascii="Times New Roman" w:hAnsi="Times New Roman" w:cs="Times New Roman"/>
        </w:rPr>
        <w:t>, 10.1128/mbio.00933-13 (2014).</w:t>
      </w:r>
    </w:p>
    <w:p w14:paraId="5FC3C768"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22.</w:t>
      </w:r>
      <w:r w:rsidRPr="00700500">
        <w:rPr>
          <w:rFonts w:ascii="Times New Roman" w:hAnsi="Times New Roman" w:cs="Times New Roman"/>
        </w:rPr>
        <w:tab/>
        <w:t>Cronin, D. &amp; Institute, N. E. B. I. Metagenome-assembled genomes (MAGs) from Stordalen Mire, Sweden. Zenodo https://doi.org/10.5281/zenodo.7596016 (2023).</w:t>
      </w:r>
    </w:p>
    <w:p w14:paraId="74C5BC0A"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23.</w:t>
      </w:r>
      <w:r w:rsidRPr="00700500">
        <w:rPr>
          <w:rFonts w:ascii="Times New Roman" w:hAnsi="Times New Roman" w:cs="Times New Roman"/>
        </w:rPr>
        <w:tab/>
        <w:t xml:space="preserve">Kurth, J. M., Op den Camp, H. J. M. &amp; Welte, C. U. Several ways one goal—methanogenesis from unconventional substrates. </w:t>
      </w:r>
      <w:r w:rsidRPr="00700500">
        <w:rPr>
          <w:rFonts w:ascii="Times New Roman" w:hAnsi="Times New Roman" w:cs="Times New Roman"/>
          <w:i/>
          <w:iCs/>
        </w:rPr>
        <w:t>Appl Microbiol Biotechnol</w:t>
      </w:r>
      <w:r w:rsidRPr="00700500">
        <w:rPr>
          <w:rFonts w:ascii="Times New Roman" w:hAnsi="Times New Roman" w:cs="Times New Roman"/>
        </w:rPr>
        <w:t xml:space="preserve"> </w:t>
      </w:r>
      <w:r w:rsidRPr="00700500">
        <w:rPr>
          <w:rFonts w:ascii="Times New Roman" w:hAnsi="Times New Roman" w:cs="Times New Roman"/>
          <w:b/>
          <w:bCs/>
        </w:rPr>
        <w:t>104</w:t>
      </w:r>
      <w:r w:rsidRPr="00700500">
        <w:rPr>
          <w:rFonts w:ascii="Times New Roman" w:hAnsi="Times New Roman" w:cs="Times New Roman"/>
        </w:rPr>
        <w:t>, 6839–6854 (2020).</w:t>
      </w:r>
    </w:p>
    <w:p w14:paraId="60CBD4FA"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24.</w:t>
      </w:r>
      <w:r w:rsidRPr="00700500">
        <w:rPr>
          <w:rFonts w:ascii="Times New Roman" w:hAnsi="Times New Roman" w:cs="Times New Roman"/>
        </w:rPr>
        <w:tab/>
        <w:t xml:space="preserve">Lü, Z. &amp; Lu, Y. Complete Genome Sequence of a Thermophilic Methanogen, Methanocella conradii HZ254, Isolated from Chinese Rice Field Soil. </w:t>
      </w:r>
      <w:r w:rsidRPr="00700500">
        <w:rPr>
          <w:rFonts w:ascii="Times New Roman" w:hAnsi="Times New Roman" w:cs="Times New Roman"/>
          <w:i/>
          <w:iCs/>
        </w:rPr>
        <w:t>Journal of Bacteriology</w:t>
      </w:r>
      <w:r w:rsidRPr="00700500">
        <w:rPr>
          <w:rFonts w:ascii="Times New Roman" w:hAnsi="Times New Roman" w:cs="Times New Roman"/>
        </w:rPr>
        <w:t xml:space="preserve"> </w:t>
      </w:r>
      <w:r w:rsidRPr="00700500">
        <w:rPr>
          <w:rFonts w:ascii="Times New Roman" w:hAnsi="Times New Roman" w:cs="Times New Roman"/>
          <w:b/>
          <w:bCs/>
        </w:rPr>
        <w:t>194</w:t>
      </w:r>
      <w:r w:rsidRPr="00700500">
        <w:rPr>
          <w:rFonts w:ascii="Times New Roman" w:hAnsi="Times New Roman" w:cs="Times New Roman"/>
        </w:rPr>
        <w:t>, 2398–2399 (2012).</w:t>
      </w:r>
    </w:p>
    <w:p w14:paraId="06B652B7"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25.</w:t>
      </w:r>
      <w:r w:rsidRPr="00700500">
        <w:rPr>
          <w:rFonts w:ascii="Times New Roman" w:hAnsi="Times New Roman" w:cs="Times New Roman"/>
        </w:rPr>
        <w:tab/>
        <w:t xml:space="preserve">Borrel, G. </w:t>
      </w:r>
      <w:r w:rsidRPr="00700500">
        <w:rPr>
          <w:rFonts w:ascii="Times New Roman" w:hAnsi="Times New Roman" w:cs="Times New Roman"/>
          <w:i/>
          <w:iCs/>
        </w:rPr>
        <w:t>et al.</w:t>
      </w:r>
      <w:r w:rsidRPr="00700500">
        <w:rPr>
          <w:rFonts w:ascii="Times New Roman" w:hAnsi="Times New Roman" w:cs="Times New Roman"/>
        </w:rPr>
        <w:t xml:space="preserve"> Methanomethylophilus alvi gen. nov., sp. nov., a Novel Hydrogenotrophic Methyl-Reducing Methanogenic Archaea of the Order </w:t>
      </w:r>
      <w:r w:rsidRPr="00700500">
        <w:rPr>
          <w:rFonts w:ascii="Times New Roman" w:hAnsi="Times New Roman" w:cs="Times New Roman"/>
        </w:rPr>
        <w:lastRenderedPageBreak/>
        <w:t xml:space="preserve">Methanomassiliicoccales Isolated from the Human Gut and Proposal of the Novel Family Methanomethylophilaceae fam. nov. </w:t>
      </w:r>
      <w:r w:rsidRPr="00700500">
        <w:rPr>
          <w:rFonts w:ascii="Times New Roman" w:hAnsi="Times New Roman" w:cs="Times New Roman"/>
          <w:i/>
          <w:iCs/>
        </w:rPr>
        <w:t>Microorganisms</w:t>
      </w:r>
      <w:r w:rsidRPr="00700500">
        <w:rPr>
          <w:rFonts w:ascii="Times New Roman" w:hAnsi="Times New Roman" w:cs="Times New Roman"/>
        </w:rPr>
        <w:t xml:space="preserve"> </w:t>
      </w:r>
      <w:r w:rsidRPr="00700500">
        <w:rPr>
          <w:rFonts w:ascii="Times New Roman" w:hAnsi="Times New Roman" w:cs="Times New Roman"/>
          <w:b/>
          <w:bCs/>
        </w:rPr>
        <w:t>11</w:t>
      </w:r>
      <w:r w:rsidRPr="00700500">
        <w:rPr>
          <w:rFonts w:ascii="Times New Roman" w:hAnsi="Times New Roman" w:cs="Times New Roman"/>
        </w:rPr>
        <w:t>, 2794 (2023).</w:t>
      </w:r>
    </w:p>
    <w:p w14:paraId="1B8FEC6E"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26.</w:t>
      </w:r>
      <w:r w:rsidRPr="00700500">
        <w:rPr>
          <w:rFonts w:ascii="Times New Roman" w:hAnsi="Times New Roman" w:cs="Times New Roman"/>
        </w:rPr>
        <w:tab/>
        <w:t xml:space="preserve">Theisen, A. R. &amp; Murrell, J. C. Facultative Methanotrophs Revisited. </w:t>
      </w:r>
      <w:r w:rsidRPr="00700500">
        <w:rPr>
          <w:rFonts w:ascii="Times New Roman" w:hAnsi="Times New Roman" w:cs="Times New Roman"/>
          <w:i/>
          <w:iCs/>
        </w:rPr>
        <w:t>Journal of Bacteriology</w:t>
      </w:r>
      <w:r w:rsidRPr="00700500">
        <w:rPr>
          <w:rFonts w:ascii="Times New Roman" w:hAnsi="Times New Roman" w:cs="Times New Roman"/>
        </w:rPr>
        <w:t xml:space="preserve"> </w:t>
      </w:r>
      <w:r w:rsidRPr="00700500">
        <w:rPr>
          <w:rFonts w:ascii="Times New Roman" w:hAnsi="Times New Roman" w:cs="Times New Roman"/>
          <w:b/>
          <w:bCs/>
        </w:rPr>
        <w:t>187</w:t>
      </w:r>
      <w:r w:rsidRPr="00700500">
        <w:rPr>
          <w:rFonts w:ascii="Times New Roman" w:hAnsi="Times New Roman" w:cs="Times New Roman"/>
        </w:rPr>
        <w:t>, 4303–4305 (2005).</w:t>
      </w:r>
    </w:p>
    <w:p w14:paraId="7B6E0968"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27.</w:t>
      </w:r>
      <w:r w:rsidRPr="00700500">
        <w:rPr>
          <w:rFonts w:ascii="Times New Roman" w:hAnsi="Times New Roman" w:cs="Times New Roman"/>
        </w:rPr>
        <w:tab/>
        <w:t xml:space="preserve">Cozannet, M. </w:t>
      </w:r>
      <w:r w:rsidRPr="00700500">
        <w:rPr>
          <w:rFonts w:ascii="Times New Roman" w:hAnsi="Times New Roman" w:cs="Times New Roman"/>
          <w:i/>
          <w:iCs/>
        </w:rPr>
        <w:t>et al.</w:t>
      </w:r>
      <w:r w:rsidRPr="00700500">
        <w:rPr>
          <w:rFonts w:ascii="Times New Roman" w:hAnsi="Times New Roman" w:cs="Times New Roman"/>
        </w:rPr>
        <w:t xml:space="preserve"> New Insights into the Ecology and Physiology of Methanomassiliicoccales from Terrestrial and Aquatic Environments. </w:t>
      </w:r>
      <w:r w:rsidRPr="00700500">
        <w:rPr>
          <w:rFonts w:ascii="Times New Roman" w:hAnsi="Times New Roman" w:cs="Times New Roman"/>
          <w:i/>
          <w:iCs/>
        </w:rPr>
        <w:t>Microorganisms</w:t>
      </w:r>
      <w:r w:rsidRPr="00700500">
        <w:rPr>
          <w:rFonts w:ascii="Times New Roman" w:hAnsi="Times New Roman" w:cs="Times New Roman"/>
        </w:rPr>
        <w:t xml:space="preserve"> </w:t>
      </w:r>
      <w:r w:rsidRPr="00700500">
        <w:rPr>
          <w:rFonts w:ascii="Times New Roman" w:hAnsi="Times New Roman" w:cs="Times New Roman"/>
          <w:b/>
          <w:bCs/>
        </w:rPr>
        <w:t>9</w:t>
      </w:r>
      <w:r w:rsidRPr="00700500">
        <w:rPr>
          <w:rFonts w:ascii="Times New Roman" w:hAnsi="Times New Roman" w:cs="Times New Roman"/>
        </w:rPr>
        <w:t>, 30 (2020).</w:t>
      </w:r>
    </w:p>
    <w:p w14:paraId="476BC5A1" w14:textId="77777777" w:rsidR="00700500" w:rsidRPr="00700500" w:rsidRDefault="00700500" w:rsidP="00700500">
      <w:pPr>
        <w:pStyle w:val="Bibliography"/>
        <w:rPr>
          <w:rFonts w:ascii="Times New Roman" w:hAnsi="Times New Roman" w:cs="Times New Roman"/>
        </w:rPr>
      </w:pPr>
      <w:r w:rsidRPr="00700500">
        <w:rPr>
          <w:rFonts w:ascii="Times New Roman" w:hAnsi="Times New Roman" w:cs="Times New Roman"/>
        </w:rPr>
        <w:t>28.</w:t>
      </w:r>
      <w:r w:rsidRPr="00700500">
        <w:rPr>
          <w:rFonts w:ascii="Times New Roman" w:hAnsi="Times New Roman" w:cs="Times New Roman"/>
        </w:rPr>
        <w:tab/>
        <w:t xml:space="preserve">Liu, Y.-F. </w:t>
      </w:r>
      <w:r w:rsidRPr="00700500">
        <w:rPr>
          <w:rFonts w:ascii="Times New Roman" w:hAnsi="Times New Roman" w:cs="Times New Roman"/>
          <w:i/>
          <w:iCs/>
        </w:rPr>
        <w:t>et al.</w:t>
      </w:r>
      <w:r w:rsidRPr="00700500">
        <w:rPr>
          <w:rFonts w:ascii="Times New Roman" w:hAnsi="Times New Roman" w:cs="Times New Roman"/>
        </w:rPr>
        <w:t xml:space="preserve"> Anaerobic Degradation of Paraffins by Thermophilic Actinobacteria under Methanogenic Conditions. </w:t>
      </w:r>
      <w:r w:rsidRPr="00700500">
        <w:rPr>
          <w:rFonts w:ascii="Times New Roman" w:hAnsi="Times New Roman" w:cs="Times New Roman"/>
          <w:i/>
          <w:iCs/>
        </w:rPr>
        <w:t>Environ. Sci. Technol.</w:t>
      </w:r>
      <w:r w:rsidRPr="00700500">
        <w:rPr>
          <w:rFonts w:ascii="Times New Roman" w:hAnsi="Times New Roman" w:cs="Times New Roman"/>
        </w:rPr>
        <w:t xml:space="preserve"> </w:t>
      </w:r>
      <w:r w:rsidRPr="00700500">
        <w:rPr>
          <w:rFonts w:ascii="Times New Roman" w:hAnsi="Times New Roman" w:cs="Times New Roman"/>
          <w:b/>
          <w:bCs/>
        </w:rPr>
        <w:t>54</w:t>
      </w:r>
      <w:r w:rsidRPr="00700500">
        <w:rPr>
          <w:rFonts w:ascii="Times New Roman" w:hAnsi="Times New Roman" w:cs="Times New Roman"/>
        </w:rPr>
        <w:t>, 10610–10620 (2020).</w:t>
      </w:r>
    </w:p>
    <w:p w14:paraId="161A1937" w14:textId="0C898C14" w:rsidR="00300952" w:rsidRPr="00700500" w:rsidRDefault="00700500" w:rsidP="00700500">
      <w:pPr>
        <w:rPr>
          <w:rFonts w:ascii="Times New Roman" w:hAnsi="Times New Roman" w:cs="Times New Roman"/>
        </w:rPr>
      </w:pPr>
      <w:r w:rsidRPr="00700500">
        <w:rPr>
          <w:rFonts w:ascii="Times New Roman" w:hAnsi="Times New Roman" w:cs="Times New Roman"/>
        </w:rPr>
        <w:fldChar w:fldCharType="end"/>
      </w:r>
    </w:p>
    <w:p w14:paraId="0245FDFE" w14:textId="77777777" w:rsidR="00300952" w:rsidRPr="00700500" w:rsidRDefault="00300952" w:rsidP="00300952">
      <w:pPr>
        <w:rPr>
          <w:rFonts w:ascii="Times New Roman" w:hAnsi="Times New Roman" w:cs="Times New Roman"/>
        </w:rPr>
      </w:pPr>
    </w:p>
    <w:p w14:paraId="08BF4E52" w14:textId="77777777" w:rsidR="00F821CF" w:rsidRPr="00700500" w:rsidRDefault="00F821CF">
      <w:pPr>
        <w:rPr>
          <w:rFonts w:ascii="Times New Roman" w:hAnsi="Times New Roman" w:cs="Times New Roman"/>
        </w:rPr>
      </w:pPr>
    </w:p>
    <w:sectPr w:rsidR="00F821CF" w:rsidRPr="00700500" w:rsidSect="00EB4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952"/>
    <w:rsid w:val="001406D5"/>
    <w:rsid w:val="00300952"/>
    <w:rsid w:val="003A5691"/>
    <w:rsid w:val="00537942"/>
    <w:rsid w:val="005B3598"/>
    <w:rsid w:val="006851FE"/>
    <w:rsid w:val="006D7BBA"/>
    <w:rsid w:val="00700500"/>
    <w:rsid w:val="009327A6"/>
    <w:rsid w:val="00A079ED"/>
    <w:rsid w:val="00A111A3"/>
    <w:rsid w:val="00AB3CD0"/>
    <w:rsid w:val="00B53A42"/>
    <w:rsid w:val="00C01714"/>
    <w:rsid w:val="00CC4FCB"/>
    <w:rsid w:val="00D77AA8"/>
    <w:rsid w:val="00D833CE"/>
    <w:rsid w:val="00E3294E"/>
    <w:rsid w:val="00EB4E1A"/>
    <w:rsid w:val="00F82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9FFF7A"/>
  <w15:chartTrackingRefBased/>
  <w15:docId w15:val="{07AFD568-DF78-CA43-92BE-1DA6ECD1C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952"/>
  </w:style>
  <w:style w:type="paragraph" w:styleId="Heading1">
    <w:name w:val="heading 1"/>
    <w:basedOn w:val="Normal"/>
    <w:next w:val="Normal"/>
    <w:link w:val="Heading1Char"/>
    <w:uiPriority w:val="9"/>
    <w:qFormat/>
    <w:rsid w:val="003009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09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09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09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09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09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09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09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09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9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09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09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09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09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09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09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09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0952"/>
    <w:rPr>
      <w:rFonts w:eastAsiaTheme="majorEastAsia" w:cstheme="majorBidi"/>
      <w:color w:val="272727" w:themeColor="text1" w:themeTint="D8"/>
    </w:rPr>
  </w:style>
  <w:style w:type="paragraph" w:styleId="Title">
    <w:name w:val="Title"/>
    <w:basedOn w:val="Normal"/>
    <w:next w:val="Normal"/>
    <w:link w:val="TitleChar"/>
    <w:uiPriority w:val="10"/>
    <w:qFormat/>
    <w:rsid w:val="003009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09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095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09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09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0952"/>
    <w:rPr>
      <w:i/>
      <w:iCs/>
      <w:color w:val="404040" w:themeColor="text1" w:themeTint="BF"/>
    </w:rPr>
  </w:style>
  <w:style w:type="paragraph" w:styleId="ListParagraph">
    <w:name w:val="List Paragraph"/>
    <w:basedOn w:val="Normal"/>
    <w:uiPriority w:val="34"/>
    <w:qFormat/>
    <w:rsid w:val="00300952"/>
    <w:pPr>
      <w:ind w:left="720"/>
      <w:contextualSpacing/>
    </w:pPr>
  </w:style>
  <w:style w:type="character" w:styleId="IntenseEmphasis">
    <w:name w:val="Intense Emphasis"/>
    <w:basedOn w:val="DefaultParagraphFont"/>
    <w:uiPriority w:val="21"/>
    <w:qFormat/>
    <w:rsid w:val="00300952"/>
    <w:rPr>
      <w:i/>
      <w:iCs/>
      <w:color w:val="0F4761" w:themeColor="accent1" w:themeShade="BF"/>
    </w:rPr>
  </w:style>
  <w:style w:type="paragraph" w:styleId="IntenseQuote">
    <w:name w:val="Intense Quote"/>
    <w:basedOn w:val="Normal"/>
    <w:next w:val="Normal"/>
    <w:link w:val="IntenseQuoteChar"/>
    <w:uiPriority w:val="30"/>
    <w:qFormat/>
    <w:rsid w:val="003009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0952"/>
    <w:rPr>
      <w:i/>
      <w:iCs/>
      <w:color w:val="0F4761" w:themeColor="accent1" w:themeShade="BF"/>
    </w:rPr>
  </w:style>
  <w:style w:type="character" w:styleId="IntenseReference">
    <w:name w:val="Intense Reference"/>
    <w:basedOn w:val="DefaultParagraphFont"/>
    <w:uiPriority w:val="32"/>
    <w:qFormat/>
    <w:rsid w:val="00300952"/>
    <w:rPr>
      <w:b/>
      <w:bCs/>
      <w:smallCaps/>
      <w:color w:val="0F4761" w:themeColor="accent1" w:themeShade="BF"/>
      <w:spacing w:val="5"/>
    </w:rPr>
  </w:style>
  <w:style w:type="paragraph" w:styleId="Bibliography">
    <w:name w:val="Bibliography"/>
    <w:basedOn w:val="Normal"/>
    <w:next w:val="Normal"/>
    <w:uiPriority w:val="37"/>
    <w:semiHidden/>
    <w:unhideWhenUsed/>
    <w:rsid w:val="003009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1328</Words>
  <Characters>7575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Bechtold,Emily</dc:creator>
  <cp:keywords/>
  <dc:description/>
  <cp:lastModifiedBy>Emily Bechtold</cp:lastModifiedBy>
  <cp:revision>3</cp:revision>
  <dcterms:created xsi:type="dcterms:W3CDTF">2024-06-03T20:00:00Z</dcterms:created>
  <dcterms:modified xsi:type="dcterms:W3CDTF">2024-06-03T21:16:00Z</dcterms:modified>
</cp:coreProperties>
</file>