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drã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480" w:lineRule="auto"/>
        <w:jc w:val="both"/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pt-PT"/>
          <w14:textOutline>
            <w14:noFill/>
          </w14:textOutline>
        </w:rPr>
        <w:t xml:space="preserve">Supplementary </w:t>
      </w:r>
      <w:r>
        <w:rPr>
          <w:rFonts w:ascii="Calibri" w:hAnsi="Calibri"/>
          <w:b w:val="1"/>
          <w:bCs w:val="1"/>
          <w:sz w:val="20"/>
          <w:szCs w:val="20"/>
          <w:rtl w:val="0"/>
          <w:lang w:val="pt-PT"/>
          <w14:textOutline>
            <w14:noFill/>
          </w14:textOutline>
        </w:rPr>
        <w:t>Table</w:t>
      </w:r>
      <w:r>
        <w:rPr>
          <w:rFonts w:ascii="Calibri" w:hAnsi="Calibri"/>
          <w:b w:val="1"/>
          <w:bCs w:val="1"/>
          <w:sz w:val="20"/>
          <w:szCs w:val="20"/>
          <w:rtl w:val="0"/>
          <w:lang w:val="pt-PT"/>
          <w14:textOutline>
            <w14:noFill/>
          </w14:textOutline>
        </w:rPr>
        <w:t xml:space="preserve"> </w:t>
      </w:r>
      <w:r>
        <w:rPr>
          <w:rFonts w:ascii="Calibri" w:hAnsi="Calibri"/>
          <w:b w:val="1"/>
          <w:bCs w:val="1"/>
          <w:sz w:val="20"/>
          <w:szCs w:val="20"/>
          <w:rtl w:val="0"/>
          <w:lang w:val="pt-PT"/>
          <w14:textOutline>
            <w14:noFill/>
          </w14:textOutline>
        </w:rPr>
        <w:t>2</w:t>
      </w:r>
      <w:r>
        <w:rPr>
          <w:rFonts w:ascii="Calibri" w:hAnsi="Calibri"/>
          <w:b w:val="1"/>
          <w:bCs w:val="1"/>
          <w:sz w:val="20"/>
          <w:szCs w:val="20"/>
          <w:rtl w:val="0"/>
          <w:lang w:val="pt-PT"/>
          <w14:textOutline>
            <w14:noFill/>
          </w14:textOutline>
        </w:rPr>
        <w:t xml:space="preserve">. Clinicopathological Parameters Statistics in Correlation with Overall Survival, Relapse-Free Survival, and Disease-Specific Survival. </w:t>
      </w:r>
      <w:r>
        <w:rPr>
          <w:rFonts w:ascii="Calibri" w:hAnsi="Calibri"/>
          <w:sz w:val="20"/>
          <w:szCs w:val="20"/>
          <w:rtl w:val="0"/>
          <w:lang w:val="pt-PT"/>
          <w14:textOutline>
            <w14:noFill/>
          </w14:textOutline>
        </w:rPr>
        <w:t>The columns represent a univariate and multivariate analysis; p-values &lt;0.05 were considered statistically significant.</w:t>
      </w:r>
    </w:p>
    <w:tbl>
      <w:tblPr>
        <w:tblW w:w="9632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605"/>
        <w:gridCol w:w="1874"/>
        <w:gridCol w:w="1723"/>
        <w:gridCol w:w="1714"/>
        <w:gridCol w:w="1716"/>
      </w:tblGrid>
      <w:tr>
        <w:tblPrEx>
          <w:shd w:val="clear" w:color="auto" w:fill="cadfff"/>
        </w:tblPrEx>
        <w:trPr>
          <w:trHeight w:val="502" w:hRule="atLeast"/>
        </w:trPr>
        <w:tc>
          <w:tcPr>
            <w:tcW w:type="dxa" w:w="4479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Variables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OS (p-value)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RFS (p-value)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DSS (p-value)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Age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&lt;0.001</w:t>
            </w:r>
          </w:p>
        </w:tc>
        <w:tc>
          <w:tcPr>
            <w:tcW w:type="dxa" w:w="1713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&lt;0.001</w:t>
            </w:r>
          </w:p>
        </w:tc>
        <w:tc>
          <w:tcPr>
            <w:tcW w:type="dxa" w:w="171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&lt;0.001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0,200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0,996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0,711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Gender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0,382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0,096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0,682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0,023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Tobacco Status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0,027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0,028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0,100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0,186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0,130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Number of Cigarettes Per Day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&lt;0.001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0,612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0,023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0,357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Alcohol Status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0,429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0,945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ru-RU"/>
              </w:rPr>
              <w:t>0,555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- 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Intensity of Alcohol Consumption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0,611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0,646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0,644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F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amily 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H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istory of 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C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ancer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0,975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0,980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0,886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Periodontal Disease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0,126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0,191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0,007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0,004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Oral Health Status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0,815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0,237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0,103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Edentulism 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0,836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0,333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0,963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Tumor Location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0,225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0,365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0,847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Type of Tumor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0,936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0,320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0,740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Staging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0,013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0,519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0,027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0,009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0,434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Grading 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0,608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0,336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0,731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Perineural Invasion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0,495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0,762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0,645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Bone Invasion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0,206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0,174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0,055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Vascular Invasion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0,038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0,446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0,004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Affected Margins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0,052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0,056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0,481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0,034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0,111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Smac/Diablo Expression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&lt;0.001</w:t>
            </w:r>
          </w:p>
        </w:tc>
        <w:tc>
          <w:tcPr>
            <w:tcW w:type="dxa" w:w="1713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&lt;0.001</w:t>
            </w:r>
          </w:p>
        </w:tc>
        <w:tc>
          <w:tcPr>
            <w:tcW w:type="dxa" w:w="171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&lt;0.001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&lt;0.001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0,003</w:t>
            </w:r>
          </w:p>
        </w:tc>
        <w:tc>
          <w:tcPr>
            <w:tcW w:type="dxa" w:w="171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spacing w:after="160" w:line="480" w:lineRule="auto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  <w14:textOutline w14:w="12700" w14:cap="flat">
                  <w14:noFill/>
                  <w14:miter w14:lim="400000"/>
                </w14:textOutline>
              </w:rPr>
              <w:t>&lt;0.001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Radiotherapy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0,450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0,502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0,467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Chemotherapy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0,760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0,620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0,818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Second Primary Tumor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0,121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0,477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0,839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Development of Other Neoplasms</w:t>
            </w:r>
          </w:p>
        </w:tc>
        <w:tc>
          <w:tcPr>
            <w:tcW w:type="dxa" w:w="187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Univariate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0,339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0,674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0,116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6" w:space="0" w:shadow="0" w:frame="0"/>
            </w:tcBorders>
            <w:shd w:val="clear" w:color="auto" w:fill="dddddd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pt-PT"/>
              </w:rPr>
              <w:t>Multivariate</w:t>
            </w:r>
          </w:p>
        </w:tc>
        <w:tc>
          <w:tcPr>
            <w:tcW w:type="dxa" w:w="17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  <w:tc>
          <w:tcPr>
            <w:tcW w:type="dxa" w:w="17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 A"/>
              <w:jc w:val="center"/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-</w:t>
            </w:r>
          </w:p>
        </w:tc>
      </w:tr>
    </w:tbl>
    <w:p>
      <w:pPr>
        <w:pStyle w:val="Padrã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40" w:lineRule="auto"/>
        <w:ind w:left="432" w:hanging="432"/>
      </w:pPr>
      <w:r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