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480" w:lineRule="auto"/>
        <w:jc w:val="both"/>
        <w:rPr>
          <w:rFonts w:ascii="Times New Roman" w:cs="Times New Roman" w:hAnsi="Times New Roman" w:eastAsia="Times New Roman"/>
          <w:u w:color="000000"/>
          <w:lang w:val="pt-PT"/>
          <w14:textOutline>
            <w14:noFill/>
          </w14:textOutline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Supplementary 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>Table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 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>1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. Statistical of Smac/DIABLO in Association with Clinicopathological Variables. </w:t>
      </w:r>
      <w:r>
        <w:rPr>
          <w:rFonts w:ascii="Calibri" w:hAnsi="Calibri"/>
          <w:sz w:val="20"/>
          <w:szCs w:val="20"/>
          <w:rtl w:val="0"/>
          <w:lang w:val="pt-PT"/>
          <w14:textOutline>
            <w14:noFill/>
          </w14:textOutline>
        </w:rPr>
        <w:t>The positive versus negative Smac/DIABLO expression was associated with different variables in each parameter;  p-values &lt;0.05 were considered statistically significant.</w:t>
      </w:r>
    </w:p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7564"/>
        <w:gridCol w:w="2066"/>
      </w:tblGrid>
      <w:tr>
        <w:tblPrEx>
          <w:shd w:val="clear" w:color="auto" w:fill="cadfff"/>
        </w:tblPrEx>
        <w:trPr>
          <w:trHeight w:val="747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fr-FR"/>
              </w:rPr>
              <w:t>Variables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Smac/DIABLO Positive Versus Negative (p-value)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756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Gender (Male versus Female)</w:t>
            </w:r>
          </w:p>
        </w:tc>
        <w:tc>
          <w:tcPr>
            <w:tcW w:type="dxa" w:w="20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0,786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Tobacco Status (Non-Smoker versus Former-Smoker versus Smoker)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0,050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Number of Cigarretes Per Day (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&lt;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25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v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ersus</w:t>
            </w: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</w:rPr>
              <w:t xml:space="preserve"> ≥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</w:rPr>
              <w:t>25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0,455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Alcohol Status (Non-Consumer versus Consumer)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0,203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Intensity of Alcohol Consumption (Low versus Moderate versus High)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0,425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Family History Cancer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0,795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Oral Health Status (Bad versus Regular/Good)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0,011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</w:rPr>
              <w:t>Edentulism (Total versus Partial versus No Loss)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0,797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Tumor Location (Tongue versus Masticatory Mucosa versus Floor of Mouth)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0,497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Type of Initial Lesion (Non-Ulcerated versus Ulcerated)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0,654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sv-SE"/>
              </w:rPr>
              <w:t>T Status (T1 versus T2 versus T3 versus T4 versus T4a)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0,660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N Status (N0 versus N1 versus N2 versus N2b)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0,051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N Status (N Positive versus N Negative)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0,015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nl-NL"/>
              </w:rPr>
              <w:t>M Status (M0 versus M1)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0,622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Staging (I versus II versus III versus IV versus IVA)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0,365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Staging (I/II versus III/IV)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0,096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Grading (G1 versus G2 versus G3 versus G4)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0,402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Sentinel Lymph Node (Positive versus Negative)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0,175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Lymph Node Emptying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0,392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Perineural Invasion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0,255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Bone Invasion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0,223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Vascular Invasion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0,618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Affected Margins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0,693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OPMD Before Tumor Diagnosis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0,646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nl-NL"/>
              </w:rPr>
              <w:t>OPMD Type (Leukoplakia versus Erythroplakia versus Leukoerythroplakia)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0,338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Second Primary Tumor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0,126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Other Neoplasms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0,891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Radiotherapy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0,933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Radiotherapy Dosage (</w:t>
            </w: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en-US"/>
              </w:rPr>
              <w:t>≤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6000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cGy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 xml:space="preserve"> v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ersus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 xml:space="preserve"> 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&gt;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6000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cGy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pt-PT"/>
              </w:rPr>
              <w:t>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0,737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Chemotherapy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0,864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Chemotherapy Type (Cetuximab-Bases versus Cisplatin-Based)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0,522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75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</w:rPr>
              <w:t>≥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5 Years Survival (Yes versus No)</w:t>
            </w:r>
          </w:p>
        </w:tc>
        <w:tc>
          <w:tcPr>
            <w:tcW w:type="dxa" w:w="206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</w:rPr>
              <w:t>0,853</w:t>
            </w:r>
          </w:p>
        </w:tc>
      </w:tr>
    </w:tbl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ind w:left="108" w:hanging="108"/>
      </w:pPr>
      <w:r>
        <w:rPr>
          <w:rFonts w:ascii="Times New Roman" w:cs="Times New Roman" w:hAnsi="Times New Roman" w:eastAsia="Times New Roman"/>
          <w:u w:color="000000"/>
          <w:lang w:val="pt-PT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