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545" w:rsidRDefault="008E4545" w:rsidP="008E4545">
      <w:pPr>
        <w:pStyle w:val="08ArticleText"/>
        <w:spacing w:before="240" w:line="480" w:lineRule="auto"/>
        <w:rPr>
          <w:rFonts w:asciiTheme="majorBidi" w:eastAsiaTheme="minorHAnsi" w:hAnsiTheme="majorBidi" w:cstheme="majorBidi"/>
          <w:noProof/>
          <w:w w:val="100"/>
          <w:sz w:val="24"/>
          <w:szCs w:val="24"/>
          <w:lang w:eastAsia="en-GB"/>
        </w:rPr>
      </w:pPr>
      <w:r>
        <w:rPr>
          <w:rFonts w:asciiTheme="majorBidi" w:eastAsiaTheme="minorHAnsi" w:hAnsiTheme="majorBidi" w:cstheme="majorBidi"/>
          <w:b/>
          <w:bCs/>
          <w:noProof/>
          <w:w w:val="100"/>
          <w:sz w:val="24"/>
          <w:szCs w:val="24"/>
          <w:lang w:eastAsia="en-GB"/>
        </w:rPr>
        <w:t>Table 1</w:t>
      </w:r>
      <w:r>
        <w:rPr>
          <w:rFonts w:asciiTheme="majorBidi" w:eastAsiaTheme="minorHAnsi" w:hAnsiTheme="majorBidi" w:cstheme="majorBidi"/>
          <w:noProof/>
          <w:w w:val="100"/>
          <w:sz w:val="24"/>
          <w:szCs w:val="24"/>
          <w:lang w:eastAsia="en-GB"/>
        </w:rPr>
        <w:t xml:space="preserve"> Optimization of the reaction conditions for the Hantzsch condensation of </w:t>
      </w:r>
      <w:r>
        <w:rPr>
          <w:rFonts w:asciiTheme="majorBidi" w:eastAsiaTheme="minorHAnsi" w:hAnsiTheme="majorBidi" w:cstheme="majorBidi"/>
          <w:i/>
          <w:iCs/>
          <w:noProof/>
          <w:w w:val="100"/>
          <w:sz w:val="24"/>
          <w:szCs w:val="24"/>
          <w:lang w:eastAsia="en-GB"/>
        </w:rPr>
        <w:t>para</w:t>
      </w:r>
      <w:r>
        <w:rPr>
          <w:rFonts w:asciiTheme="majorBidi" w:eastAsiaTheme="minorHAnsi" w:hAnsiTheme="majorBidi" w:cstheme="majorBidi"/>
          <w:noProof/>
          <w:w w:val="100"/>
          <w:sz w:val="24"/>
          <w:szCs w:val="24"/>
          <w:lang w:eastAsia="en-GB"/>
        </w:rPr>
        <w:t>-Chlorobenzaldehyde, dimedone, ethyl acetoacetate and ammonium acetate as a model reaction for the synthesis of polyhydroquinolines.</w:t>
      </w:r>
    </w:p>
    <w:tbl>
      <w:tblPr>
        <w:tblStyle w:val="PlainTable41"/>
        <w:tblW w:w="0" w:type="auto"/>
        <w:jc w:val="center"/>
        <w:tblInd w:w="0" w:type="dxa"/>
        <w:tblCellMar>
          <w:left w:w="23" w:type="dxa"/>
          <w:right w:w="23" w:type="dxa"/>
        </w:tblCellMar>
        <w:tblLook w:val="04A0" w:firstRow="1" w:lastRow="0" w:firstColumn="1" w:lastColumn="0" w:noHBand="0" w:noVBand="1"/>
      </w:tblPr>
      <w:tblGrid>
        <w:gridCol w:w="546"/>
        <w:gridCol w:w="3054"/>
        <w:gridCol w:w="1439"/>
        <w:gridCol w:w="923"/>
        <w:gridCol w:w="1506"/>
        <w:gridCol w:w="923"/>
        <w:gridCol w:w="969"/>
      </w:tblGrid>
      <w:tr w:rsidR="008E4545" w:rsidTr="008E4545">
        <w:trPr>
          <w:cnfStyle w:val="100000000000" w:firstRow="1" w:lastRow="0" w:firstColumn="0" w:lastColumn="0" w:oddVBand="0" w:evenVBand="0" w:oddHBand="0" w:evenHBand="0" w:firstRowFirstColumn="0" w:firstRowLastColumn="0" w:lastRowFirstColumn="0" w:lastRowLastColumn="0"/>
          <w:trHeight w:val="55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left w:val="nil"/>
              <w:bottom w:val="single" w:sz="4" w:space="0" w:color="000000"/>
              <w:right w:val="nil"/>
            </w:tcBorders>
          </w:tcPr>
          <w:p w:rsidR="008E4545" w:rsidRDefault="008E4545">
            <w:pPr>
              <w:tabs>
                <w:tab w:val="left" w:pos="1995"/>
              </w:tabs>
              <w:bidi w:val="0"/>
              <w:spacing w:line="480" w:lineRule="auto"/>
              <w:jc w:val="center"/>
              <w:rPr>
                <w:rFonts w:asciiTheme="majorBidi" w:hAnsiTheme="majorBidi" w:cstheme="majorBidi" w:hint="cs"/>
                <w:b w:val="0"/>
                <w:bCs w:val="0"/>
                <w:sz w:val="24"/>
                <w:szCs w:val="24"/>
                <w:rtl/>
              </w:rPr>
            </w:pPr>
          </w:p>
        </w:tc>
        <w:tc>
          <w:tcPr>
            <w:tcW w:w="0" w:type="auto"/>
            <w:gridSpan w:val="6"/>
            <w:tcBorders>
              <w:top w:val="single" w:sz="4" w:space="0" w:color="000000"/>
              <w:left w:val="nil"/>
              <w:bottom w:val="single" w:sz="4" w:space="0" w:color="000000"/>
              <w:right w:val="nil"/>
            </w:tcBorders>
            <w:vAlign w:val="center"/>
            <w:hideMark/>
          </w:tcPr>
          <w:p w:rsidR="008E4545" w:rsidRDefault="008E4545">
            <w:pPr>
              <w:tabs>
                <w:tab w:val="left" w:pos="1995"/>
              </w:tabs>
              <w:bidi w:val="0"/>
              <w:spacing w:line="48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b w:val="0"/>
                <w:bCs w:val="0"/>
                <w:sz w:val="24"/>
                <w:szCs w:val="24"/>
                <w:lang w:val="en-GB" w:bidi="ar-SA"/>
              </w:rPr>
              <w:object w:dxaOrig="489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4.5pt;height:1in" o:ole="">
                  <v:imagedata r:id="rId5" o:title=""/>
                </v:shape>
                <o:OLEObject Type="Embed" ProgID="ChemDraw.Document.6.0" ShapeID="_x0000_i1025" DrawAspect="Content" ObjectID="_1681019031" r:id="rId6"/>
              </w:object>
            </w:r>
          </w:p>
        </w:tc>
      </w:tr>
      <w:tr w:rsidR="008E4545" w:rsidTr="008E4545">
        <w:trPr>
          <w:cnfStyle w:val="000000100000" w:firstRow="0" w:lastRow="0" w:firstColumn="0" w:lastColumn="0" w:oddVBand="0" w:evenVBand="0" w:oddHBand="1" w:evenHBand="0" w:firstRowFirstColumn="0" w:firstRowLastColumn="0" w:lastRowFirstColumn="0" w:lastRowLastColumn="0"/>
          <w:trHeight w:val="55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Entry</w:t>
            </w:r>
          </w:p>
        </w:tc>
        <w:tc>
          <w:tcPr>
            <w:tcW w:w="3054" w:type="dxa"/>
            <w:tcBorders>
              <w:top w:val="single" w:sz="4" w:space="0" w:color="000000"/>
              <w:left w:val="nil"/>
              <w:bottom w:val="single" w:sz="4" w:space="0" w:color="000000"/>
              <w:right w:val="nil"/>
            </w:tcBorders>
            <w:vAlign w:val="center"/>
            <w:hideMark/>
          </w:tcPr>
          <w:p w:rsidR="008E4545" w:rsidRDefault="008E4545">
            <w:pPr>
              <w:tabs>
                <w:tab w:val="left" w:pos="1995"/>
              </w:tabs>
              <w:autoSpaceDE w:val="0"/>
              <w:autoSpaceDN w:val="0"/>
              <w:bidi w:val="0"/>
              <w:adjustRightInd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 xml:space="preserve">Catalyst </w:t>
            </w:r>
          </w:p>
        </w:tc>
        <w:tc>
          <w:tcPr>
            <w:tcW w:w="1439" w:type="dxa"/>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Amount of Catalyst (mg)</w:t>
            </w:r>
          </w:p>
        </w:tc>
        <w:tc>
          <w:tcPr>
            <w:tcW w:w="0" w:type="auto"/>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Solvent</w:t>
            </w:r>
          </w:p>
        </w:tc>
        <w:tc>
          <w:tcPr>
            <w:tcW w:w="0" w:type="auto"/>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Temperature (ºC)</w:t>
            </w:r>
          </w:p>
        </w:tc>
        <w:tc>
          <w:tcPr>
            <w:tcW w:w="0" w:type="auto"/>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Time (min)</w:t>
            </w:r>
          </w:p>
        </w:tc>
        <w:tc>
          <w:tcPr>
            <w:tcW w:w="0" w:type="auto"/>
            <w:tcBorders>
              <w:top w:val="single" w:sz="4" w:space="0" w:color="000000"/>
              <w:left w:val="nil"/>
              <w:bottom w:val="single" w:sz="4" w:space="0" w:color="000000"/>
              <w:right w:val="nil"/>
            </w:tcBorders>
            <w:vAlign w:val="center"/>
            <w:hideMark/>
          </w:tcPr>
          <w:p w:rsidR="008E4545" w:rsidRDefault="008E4545">
            <w:pPr>
              <w:tabs>
                <w:tab w:val="left" w:pos="1995"/>
              </w:tabs>
              <w:bidi w:val="0"/>
              <w:spacing w:before="120"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lang w:val="en-GB" w:bidi="ar-SA"/>
              </w:rPr>
            </w:pPr>
            <w:r>
              <w:rPr>
                <w:rFonts w:asciiTheme="majorBidi" w:hAnsiTheme="majorBidi" w:cstheme="majorBidi"/>
                <w:b/>
                <w:bCs/>
                <w:sz w:val="20"/>
                <w:szCs w:val="20"/>
                <w:lang w:val="en-GB" w:bidi="ar-SA"/>
              </w:rPr>
              <w:t>Yield (%)</w:t>
            </w:r>
            <w:proofErr w:type="spellStart"/>
            <w:r>
              <w:rPr>
                <w:rFonts w:asciiTheme="majorBidi" w:hAnsiTheme="majorBidi" w:cstheme="majorBidi"/>
                <w:b/>
                <w:bCs/>
                <w:sz w:val="20"/>
                <w:szCs w:val="20"/>
                <w:vertAlign w:val="superscript"/>
                <w:lang w:val="en-GB" w:bidi="ar-SA"/>
              </w:rPr>
              <w:t>a,b</w:t>
            </w:r>
            <w:proofErr w:type="spellEnd"/>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left w:val="nil"/>
              <w:bottom w:val="nil"/>
              <w:right w:val="nil"/>
            </w:tcBorders>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tcBorders>
              <w:top w:val="single" w:sz="4" w:space="0" w:color="000000"/>
              <w:left w:val="nil"/>
              <w:bottom w:val="nil"/>
              <w:right w:val="nil"/>
            </w:tcBorders>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w:t>
            </w:r>
          </w:p>
        </w:tc>
        <w:tc>
          <w:tcPr>
            <w:tcW w:w="1439" w:type="dxa"/>
            <w:tcBorders>
              <w:top w:val="single" w:sz="4" w:space="0" w:color="000000"/>
              <w:left w:val="nil"/>
              <w:bottom w:val="nil"/>
              <w:right w:val="nil"/>
            </w:tcBorders>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w:t>
            </w:r>
          </w:p>
        </w:tc>
        <w:tc>
          <w:tcPr>
            <w:tcW w:w="0" w:type="auto"/>
            <w:tcBorders>
              <w:top w:val="single" w:sz="4" w:space="0" w:color="000000"/>
              <w:left w:val="nil"/>
              <w:bottom w:val="nil"/>
              <w:right w:val="nil"/>
            </w:tcBorders>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tcBorders>
              <w:top w:val="single" w:sz="4" w:space="0" w:color="000000"/>
              <w:left w:val="nil"/>
              <w:bottom w:val="nil"/>
              <w:right w:val="nil"/>
            </w:tcBorders>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reflux</w:t>
            </w:r>
          </w:p>
        </w:tc>
        <w:tc>
          <w:tcPr>
            <w:tcW w:w="0" w:type="auto"/>
            <w:tcBorders>
              <w:top w:val="single" w:sz="4" w:space="0" w:color="000000"/>
              <w:left w:val="nil"/>
              <w:bottom w:val="nil"/>
              <w:right w:val="nil"/>
            </w:tcBorders>
            <w:hideMark/>
          </w:tcPr>
          <w:p w:rsidR="008E4545" w:rsidRDefault="008E4545">
            <w:pPr>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85</w:t>
            </w:r>
          </w:p>
        </w:tc>
        <w:tc>
          <w:tcPr>
            <w:tcW w:w="0" w:type="auto"/>
            <w:tcBorders>
              <w:top w:val="single" w:sz="4" w:space="0" w:color="000000"/>
              <w:left w:val="nil"/>
              <w:bottom w:val="nil"/>
              <w:right w:val="nil"/>
            </w:tcBorders>
            <w:vAlign w:val="center"/>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17</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4,6-diamino-2-pyrimidinethiol</w:t>
            </w:r>
          </w:p>
        </w:tc>
        <w:tc>
          <w:tcPr>
            <w:tcW w:w="1439"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reflux</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23</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Ag(NO</w:t>
            </w:r>
            <w:r>
              <w:rPr>
                <w:rFonts w:asciiTheme="majorBidi" w:hAnsiTheme="majorBidi" w:cstheme="majorBidi"/>
                <w:sz w:val="24"/>
                <w:szCs w:val="24"/>
                <w:vertAlign w:val="subscript"/>
              </w:rPr>
              <w:t>3</w:t>
            </w:r>
            <w:r>
              <w:rPr>
                <w:rFonts w:asciiTheme="majorBidi" w:hAnsiTheme="majorBidi" w:cstheme="majorBidi"/>
                <w:sz w:val="24"/>
                <w:szCs w:val="24"/>
              </w:rPr>
              <w:t>)</w:t>
            </w:r>
            <w:r>
              <w:rPr>
                <w:rFonts w:asciiTheme="majorBidi" w:hAnsiTheme="majorBidi" w:cstheme="majorBidi"/>
                <w:sz w:val="24"/>
                <w:szCs w:val="24"/>
                <w:vertAlign w:val="subscript"/>
              </w:rPr>
              <w:t>2</w:t>
            </w:r>
          </w:p>
        </w:tc>
        <w:tc>
          <w:tcPr>
            <w:tcW w:w="1439"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reflux</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Trace</w:t>
            </w:r>
          </w:p>
        </w:tc>
      </w:tr>
      <w:tr w:rsidR="008E4545" w:rsidTr="008E4545">
        <w:trPr>
          <w:cnfStyle w:val="000000100000" w:firstRow="0" w:lastRow="0" w:firstColumn="0" w:lastColumn="0" w:oddVBand="0" w:evenVBand="0" w:oddHBand="1" w:evenHBand="0" w:firstRowFirstColumn="0" w:firstRowLastColumn="0" w:lastRowFirstColumn="0" w:lastRowLastColumn="0"/>
          <w:trHeight w:val="62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4</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reflux</w:t>
            </w:r>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69</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5</w:t>
            </w:r>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roofErr w:type="spellStart"/>
            <w:r>
              <w:rPr>
                <w:rFonts w:asciiTheme="majorBidi" w:hAnsiTheme="majorBidi" w:cstheme="majorBidi"/>
                <w:sz w:val="20"/>
                <w:szCs w:val="20"/>
              </w:rPr>
              <w:t>EtOH</w:t>
            </w:r>
            <w:proofErr w:type="spellEnd"/>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reflux</w:t>
            </w:r>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74</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6</w:t>
            </w:r>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roofErr w:type="spellStart"/>
            <w:r>
              <w:rPr>
                <w:rFonts w:asciiTheme="majorBidi" w:hAnsiTheme="majorBidi" w:cstheme="majorBidi"/>
                <w:sz w:val="20"/>
                <w:szCs w:val="20"/>
              </w:rPr>
              <w:t>EtOH</w:t>
            </w:r>
            <w:proofErr w:type="spellEnd"/>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reflux</w:t>
            </w:r>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78</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w:t>
            </w:r>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roofErr w:type="spellStart"/>
            <w:r>
              <w:rPr>
                <w:rFonts w:asciiTheme="majorBidi" w:hAnsiTheme="majorBidi" w:cstheme="majorBidi"/>
                <w:sz w:val="20"/>
                <w:szCs w:val="20"/>
              </w:rPr>
              <w:t>EtOH</w:t>
            </w:r>
            <w:proofErr w:type="spellEnd"/>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reflux</w:t>
            </w:r>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85</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87</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EtOH:H</w:t>
            </w:r>
            <w:r>
              <w:rPr>
                <w:rFonts w:asciiTheme="majorBidi" w:hAnsiTheme="majorBidi" w:cstheme="majorBidi"/>
                <w:sz w:val="20"/>
                <w:szCs w:val="20"/>
                <w:vertAlign w:val="subscript"/>
              </w:rPr>
              <w:t>2</w:t>
            </w:r>
            <w:r>
              <w:rPr>
                <w:rFonts w:asciiTheme="majorBidi" w:hAnsiTheme="majorBidi" w:cstheme="majorBidi"/>
                <w:sz w:val="20"/>
                <w:szCs w:val="20"/>
              </w:rPr>
              <w:t>O</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90</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82</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PEG-400</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120</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75</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DMF</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110</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74</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 xml:space="preserve">DMSO </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125</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78</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25</w:t>
            </w:r>
          </w:p>
        </w:tc>
        <w:tc>
          <w:tcPr>
            <w:tcW w:w="0" w:type="auto"/>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8 h</w:t>
            </w:r>
          </w:p>
        </w:tc>
        <w:tc>
          <w:tcPr>
            <w:tcW w:w="0" w:type="auto"/>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NR</w:t>
            </w:r>
          </w:p>
        </w:tc>
      </w:tr>
      <w:tr w:rsidR="008E4545" w:rsidTr="008E4545">
        <w:trPr>
          <w:trHeight w:val="273"/>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60</w:t>
            </w:r>
          </w:p>
        </w:tc>
        <w:tc>
          <w:tcPr>
            <w:tcW w:w="0" w:type="auto"/>
            <w:hideMark/>
          </w:tcPr>
          <w:p w:rsidR="008E4545" w:rsidRDefault="008E4545">
            <w:pPr>
              <w:bidi w:val="0"/>
              <w:spacing w:line="24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70</w:t>
            </w:r>
          </w:p>
        </w:tc>
        <w:tc>
          <w:tcPr>
            <w:tcW w:w="0" w:type="auto"/>
            <w:hideMark/>
          </w:tcPr>
          <w:p w:rsidR="008E4545" w:rsidRDefault="008E4545">
            <w:pPr>
              <w:tabs>
                <w:tab w:val="left" w:pos="1995"/>
              </w:tabs>
              <w:bidi w:val="0"/>
              <w:spacing w:line="48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76</w:t>
            </w:r>
          </w:p>
        </w:tc>
      </w:tr>
      <w:tr w:rsidR="008E4545" w:rsidTr="008E4545">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single" w:sz="4" w:space="0" w:color="auto"/>
              <w:right w:val="nil"/>
            </w:tcBorders>
            <w:vAlign w:val="center"/>
          </w:tcPr>
          <w:p w:rsidR="008E4545" w:rsidRDefault="008E4545" w:rsidP="003D2907">
            <w:pPr>
              <w:pStyle w:val="ListParagraph"/>
              <w:numPr>
                <w:ilvl w:val="0"/>
                <w:numId w:val="1"/>
              </w:numPr>
              <w:tabs>
                <w:tab w:val="left" w:pos="1995"/>
              </w:tabs>
              <w:spacing w:after="0" w:line="480" w:lineRule="auto"/>
              <w:jc w:val="center"/>
              <w:rPr>
                <w:rFonts w:asciiTheme="majorBidi" w:hAnsiTheme="majorBidi" w:cstheme="majorBidi"/>
                <w:b w:val="0"/>
                <w:bCs w:val="0"/>
                <w:sz w:val="20"/>
                <w:szCs w:val="20"/>
                <w:lang w:bidi="fa-IR"/>
              </w:rPr>
            </w:pPr>
          </w:p>
        </w:tc>
        <w:tc>
          <w:tcPr>
            <w:tcW w:w="3054" w:type="dxa"/>
            <w:tcBorders>
              <w:top w:val="nil"/>
              <w:left w:val="nil"/>
              <w:bottom w:val="single" w:sz="4" w:space="0" w:color="auto"/>
              <w:right w:val="nil"/>
            </w:tcBorders>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4"/>
                <w:szCs w:val="24"/>
              </w:rPr>
              <w:t xml:space="preserve">Ag-CP </w:t>
            </w:r>
          </w:p>
        </w:tc>
        <w:tc>
          <w:tcPr>
            <w:tcW w:w="1439" w:type="dxa"/>
            <w:tcBorders>
              <w:top w:val="nil"/>
              <w:left w:val="nil"/>
              <w:bottom w:val="single" w:sz="4" w:space="0" w:color="auto"/>
              <w:right w:val="nil"/>
            </w:tcBorders>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w:t>
            </w:r>
          </w:p>
        </w:tc>
        <w:tc>
          <w:tcPr>
            <w:tcW w:w="0" w:type="auto"/>
            <w:tcBorders>
              <w:top w:val="nil"/>
              <w:left w:val="nil"/>
              <w:bottom w:val="single" w:sz="4" w:space="0" w:color="auto"/>
              <w:right w:val="nil"/>
            </w:tcBorders>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roofErr w:type="spellStart"/>
            <w:r>
              <w:rPr>
                <w:rFonts w:asciiTheme="majorBidi" w:hAnsiTheme="majorBidi" w:cstheme="majorBidi"/>
                <w:sz w:val="20"/>
                <w:szCs w:val="20"/>
              </w:rPr>
              <w:t>EtOH</w:t>
            </w:r>
            <w:proofErr w:type="spellEnd"/>
          </w:p>
        </w:tc>
        <w:tc>
          <w:tcPr>
            <w:tcW w:w="0" w:type="auto"/>
            <w:tcBorders>
              <w:top w:val="nil"/>
              <w:left w:val="nil"/>
              <w:bottom w:val="single" w:sz="4" w:space="0" w:color="auto"/>
              <w:right w:val="nil"/>
            </w:tcBorders>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70</w:t>
            </w:r>
          </w:p>
        </w:tc>
        <w:tc>
          <w:tcPr>
            <w:tcW w:w="0" w:type="auto"/>
            <w:tcBorders>
              <w:top w:val="nil"/>
              <w:left w:val="nil"/>
              <w:bottom w:val="single" w:sz="4" w:space="0" w:color="auto"/>
              <w:right w:val="nil"/>
            </w:tcBorders>
            <w:hideMark/>
          </w:tcPr>
          <w:p w:rsidR="008E4545" w:rsidRDefault="008E4545">
            <w:pPr>
              <w:bidi w:val="0"/>
              <w:spacing w:line="24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Pr>
                <w:rFonts w:asciiTheme="majorBidi" w:hAnsiTheme="majorBidi" w:cstheme="majorBidi"/>
                <w:sz w:val="20"/>
                <w:szCs w:val="20"/>
              </w:rPr>
              <w:t>75</w:t>
            </w:r>
          </w:p>
        </w:tc>
        <w:tc>
          <w:tcPr>
            <w:tcW w:w="0" w:type="auto"/>
            <w:tcBorders>
              <w:top w:val="nil"/>
              <w:left w:val="nil"/>
              <w:bottom w:val="single" w:sz="4" w:space="0" w:color="auto"/>
              <w:right w:val="nil"/>
            </w:tcBorders>
            <w:hideMark/>
          </w:tcPr>
          <w:p w:rsidR="008E4545" w:rsidRDefault="008E4545">
            <w:pPr>
              <w:tabs>
                <w:tab w:val="left" w:pos="1995"/>
              </w:tabs>
              <w:bidi w:val="0"/>
              <w:spacing w:line="48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79</w:t>
            </w:r>
          </w:p>
        </w:tc>
      </w:tr>
    </w:tbl>
    <w:p w:rsidR="008E4545" w:rsidRDefault="008E4545" w:rsidP="008E4545">
      <w:pPr>
        <w:pStyle w:val="08ArticleText"/>
        <w:tabs>
          <w:tab w:val="left" w:pos="1260"/>
        </w:tabs>
        <w:spacing w:after="120" w:line="240" w:lineRule="auto"/>
        <w:ind w:left="1260" w:right="35" w:hanging="1260"/>
        <w:rPr>
          <w:rFonts w:asciiTheme="majorBidi" w:hAnsiTheme="majorBidi" w:cstheme="majorBidi"/>
          <w:lang w:val="en-US"/>
        </w:rPr>
      </w:pPr>
      <w:proofErr w:type="spellStart"/>
      <w:r>
        <w:rPr>
          <w:rFonts w:asciiTheme="majorBidi" w:hAnsiTheme="majorBidi" w:cstheme="majorBidi"/>
          <w:vertAlign w:val="superscript"/>
          <w:lang w:val="en-US"/>
        </w:rPr>
        <w:t>a</w:t>
      </w:r>
      <w:proofErr w:type="spellEnd"/>
      <w:r>
        <w:rPr>
          <w:rFonts w:asciiTheme="majorBidi" w:hAnsiTheme="majorBidi" w:cstheme="majorBidi"/>
          <w:vertAlign w:val="superscript"/>
          <w:lang w:val="en-US"/>
        </w:rPr>
        <w:t xml:space="preserve"> </w:t>
      </w:r>
      <w:r>
        <w:rPr>
          <w:rFonts w:asciiTheme="majorBidi" w:hAnsiTheme="majorBidi" w:cstheme="majorBidi"/>
          <w:lang w:val="en-US"/>
        </w:rPr>
        <w:t xml:space="preserve">Isolated yield. </w:t>
      </w:r>
    </w:p>
    <w:p w:rsidR="008E4545" w:rsidRDefault="008E4545" w:rsidP="008E4545">
      <w:pPr>
        <w:pStyle w:val="08ArticleText"/>
        <w:tabs>
          <w:tab w:val="left" w:pos="0"/>
        </w:tabs>
        <w:spacing w:after="120" w:line="240" w:lineRule="auto"/>
        <w:ind w:right="35"/>
        <w:rPr>
          <w:rFonts w:asciiTheme="majorBidi" w:hAnsiTheme="majorBidi" w:cstheme="majorBidi" w:hint="cs"/>
          <w:rtl/>
          <w:lang w:val="en-US"/>
        </w:rPr>
      </w:pPr>
      <w:r>
        <w:rPr>
          <w:rFonts w:asciiTheme="majorBidi" w:hAnsiTheme="majorBidi" w:cstheme="majorBidi"/>
          <w:vertAlign w:val="superscript"/>
          <w:lang w:val="en-US"/>
        </w:rPr>
        <w:lastRenderedPageBreak/>
        <w:t>b</w:t>
      </w:r>
      <w:r>
        <w:rPr>
          <w:rFonts w:asciiTheme="majorBidi" w:hAnsiTheme="majorBidi" w:cstheme="majorBidi"/>
          <w:rtl/>
          <w:lang w:val="en-US"/>
        </w:rPr>
        <w:t xml:space="preserve"> </w:t>
      </w:r>
      <w:r>
        <w:rPr>
          <w:rFonts w:asciiTheme="majorBidi" w:hAnsiTheme="majorBidi" w:cstheme="majorBidi"/>
          <w:lang w:val="en-US"/>
        </w:rPr>
        <w:t xml:space="preserve">Reaction conditions: 4-Chlorobenzaldehyde (1mmol), </w:t>
      </w:r>
      <w:proofErr w:type="spellStart"/>
      <w:r>
        <w:rPr>
          <w:rFonts w:asciiTheme="majorBidi" w:hAnsiTheme="majorBidi" w:cstheme="majorBidi"/>
          <w:lang w:val="en-US"/>
        </w:rPr>
        <w:t>dimedone</w:t>
      </w:r>
      <w:proofErr w:type="spellEnd"/>
      <w:r>
        <w:rPr>
          <w:rFonts w:asciiTheme="majorBidi" w:hAnsiTheme="majorBidi" w:cstheme="majorBidi"/>
          <w:lang w:val="en-US"/>
        </w:rPr>
        <w:t xml:space="preserve"> (1 </w:t>
      </w:r>
      <w:proofErr w:type="spellStart"/>
      <w:r>
        <w:rPr>
          <w:rFonts w:asciiTheme="majorBidi" w:hAnsiTheme="majorBidi" w:cstheme="majorBidi"/>
          <w:lang w:val="en-US"/>
        </w:rPr>
        <w:t>mmol</w:t>
      </w:r>
      <w:proofErr w:type="spellEnd"/>
      <w:r>
        <w:rPr>
          <w:rFonts w:asciiTheme="majorBidi" w:hAnsiTheme="majorBidi" w:cstheme="majorBidi"/>
          <w:lang w:val="en-US"/>
        </w:rPr>
        <w:t xml:space="preserve">), ethyl acetoacetate (1 </w:t>
      </w:r>
      <w:proofErr w:type="spellStart"/>
      <w:r>
        <w:rPr>
          <w:rFonts w:asciiTheme="majorBidi" w:hAnsiTheme="majorBidi" w:cstheme="majorBidi"/>
          <w:lang w:val="en-US"/>
        </w:rPr>
        <w:t>mmol</w:t>
      </w:r>
      <w:proofErr w:type="spellEnd"/>
      <w:r>
        <w:rPr>
          <w:rFonts w:asciiTheme="majorBidi" w:hAnsiTheme="majorBidi" w:cstheme="majorBidi"/>
          <w:lang w:val="en-US"/>
        </w:rPr>
        <w:t xml:space="preserve">), ammonium acetate (1.2 </w:t>
      </w:r>
      <w:proofErr w:type="spellStart"/>
      <w:r>
        <w:rPr>
          <w:rFonts w:asciiTheme="majorBidi" w:hAnsiTheme="majorBidi" w:cstheme="majorBidi"/>
          <w:lang w:val="en-US"/>
        </w:rPr>
        <w:t>mmol</w:t>
      </w:r>
      <w:proofErr w:type="spellEnd"/>
      <w:r>
        <w:rPr>
          <w:rFonts w:asciiTheme="majorBidi" w:hAnsiTheme="majorBidi" w:cstheme="majorBidi"/>
          <w:lang w:val="en-US"/>
        </w:rPr>
        <w:t>), catalyst (mg) and solvent (3mL).</w:t>
      </w:r>
    </w:p>
    <w:p w:rsidR="00AD1398" w:rsidRDefault="00AD1398">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rsidP="008E4545">
      <w:pPr>
        <w:bidi w:val="0"/>
        <w:spacing w:line="480" w:lineRule="auto"/>
        <w:jc w:val="center"/>
        <w:rPr>
          <w:rFonts w:asciiTheme="majorBidi" w:hAnsiTheme="majorBidi" w:cstheme="majorBidi"/>
          <w:sz w:val="24"/>
          <w:szCs w:val="24"/>
        </w:rPr>
      </w:pPr>
      <w:r>
        <w:rPr>
          <w:rFonts w:asciiTheme="majorBidi" w:hAnsiTheme="majorBidi" w:cstheme="majorBidi"/>
          <w:b/>
          <w:bCs/>
          <w:sz w:val="24"/>
          <w:szCs w:val="24"/>
        </w:rPr>
        <w:t>Table 2</w:t>
      </w:r>
      <w:r>
        <w:rPr>
          <w:rFonts w:asciiTheme="majorBidi" w:hAnsiTheme="majorBidi" w:cstheme="majorBidi"/>
          <w:sz w:val="24"/>
          <w:szCs w:val="24"/>
        </w:rPr>
        <w:t xml:space="preserve"> </w:t>
      </w:r>
      <w:proofErr w:type="spellStart"/>
      <w:r>
        <w:rPr>
          <w:rFonts w:asciiTheme="majorBidi" w:hAnsiTheme="majorBidi" w:cstheme="majorBidi"/>
          <w:sz w:val="24"/>
          <w:szCs w:val="24"/>
        </w:rPr>
        <w:t>Hantzsch</w:t>
      </w:r>
      <w:proofErr w:type="spellEnd"/>
      <w:r>
        <w:rPr>
          <w:rFonts w:asciiTheme="majorBidi" w:hAnsiTheme="majorBidi" w:cstheme="majorBidi"/>
          <w:sz w:val="24"/>
          <w:szCs w:val="24"/>
        </w:rPr>
        <w:t xml:space="preserve"> synthesis of </w:t>
      </w:r>
      <w:proofErr w:type="spellStart"/>
      <w:r>
        <w:rPr>
          <w:rFonts w:asciiTheme="majorBidi" w:hAnsiTheme="majorBidi" w:cstheme="majorBidi"/>
          <w:sz w:val="24"/>
          <w:szCs w:val="24"/>
        </w:rPr>
        <w:t>polyhydroquinoline</w:t>
      </w:r>
      <w:proofErr w:type="spellEnd"/>
      <w:r>
        <w:rPr>
          <w:rFonts w:asciiTheme="majorBidi" w:hAnsiTheme="majorBidi" w:cstheme="majorBidi"/>
          <w:sz w:val="24"/>
          <w:szCs w:val="24"/>
        </w:rPr>
        <w:t xml:space="preserve"> derivatives in the presence of Ag-</w:t>
      </w:r>
      <w:proofErr w:type="gramStart"/>
      <w:r>
        <w:rPr>
          <w:rFonts w:asciiTheme="majorBidi" w:hAnsiTheme="majorBidi" w:cstheme="majorBidi"/>
          <w:sz w:val="24"/>
          <w:szCs w:val="24"/>
        </w:rPr>
        <w:t>CP  in</w:t>
      </w:r>
      <w:proofErr w:type="gramEnd"/>
      <w:r>
        <w:rPr>
          <w:rFonts w:asciiTheme="majorBidi" w:hAnsiTheme="majorBidi" w:cstheme="majorBidi"/>
          <w:sz w:val="24"/>
          <w:szCs w:val="24"/>
        </w:rPr>
        <w:t xml:space="preserve"> </w:t>
      </w:r>
      <w:proofErr w:type="spellStart"/>
      <w:r>
        <w:rPr>
          <w:rFonts w:asciiTheme="majorBidi" w:hAnsiTheme="majorBidi" w:cstheme="majorBidi"/>
          <w:sz w:val="24"/>
          <w:szCs w:val="24"/>
        </w:rPr>
        <w:t>EtOH</w:t>
      </w:r>
      <w:proofErr w:type="spellEnd"/>
      <w:r>
        <w:rPr>
          <w:rFonts w:asciiTheme="majorBidi" w:hAnsiTheme="majorBidi" w:cstheme="majorBidi"/>
          <w:sz w:val="24"/>
          <w:szCs w:val="24"/>
        </w:rPr>
        <w:t xml:space="preserve"> at 80 °C. </w:t>
      </w:r>
    </w:p>
    <w:tbl>
      <w:tblPr>
        <w:tblStyle w:val="TableGrid"/>
        <w:tblpPr w:leftFromText="180" w:rightFromText="180" w:vertAnchor="text" w:tblpXSpec="center" w:tblpY="1"/>
        <w:tblOverlap w:val="nev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633"/>
        <w:gridCol w:w="1603"/>
        <w:gridCol w:w="2082"/>
        <w:gridCol w:w="1109"/>
        <w:gridCol w:w="1158"/>
        <w:gridCol w:w="1482"/>
        <w:gridCol w:w="1260"/>
      </w:tblGrid>
      <w:tr w:rsidR="008E4545" w:rsidTr="008E4545">
        <w:trPr>
          <w:trHeight w:val="230"/>
        </w:trPr>
        <w:tc>
          <w:tcPr>
            <w:tcW w:w="9327" w:type="dxa"/>
            <w:gridSpan w:val="7"/>
            <w:tcBorders>
              <w:top w:val="single" w:sz="4" w:space="0" w:color="auto"/>
              <w:left w:val="nil"/>
              <w:bottom w:val="nil"/>
              <w:right w:val="nil"/>
            </w:tcBorders>
            <w:hideMark/>
          </w:tcPr>
          <w:p w:rsidR="008E4545" w:rsidRDefault="008E4545">
            <w:pPr>
              <w:bidi w:val="0"/>
              <w:spacing w:line="480" w:lineRule="auto"/>
              <w:jc w:val="center"/>
              <w:rPr>
                <w:rFonts w:asciiTheme="majorBidi" w:hAnsiTheme="majorBidi" w:cstheme="majorBidi" w:hint="cs"/>
                <w:b/>
                <w:bCs/>
                <w:sz w:val="24"/>
                <w:szCs w:val="24"/>
                <w:rtl/>
              </w:rPr>
            </w:pPr>
            <w:r>
              <w:rPr>
                <w:rFonts w:asciiTheme="majorBidi" w:hAnsiTheme="majorBidi" w:cstheme="majorBidi"/>
                <w:sz w:val="24"/>
                <w:szCs w:val="24"/>
              </w:rPr>
              <w:object w:dxaOrig="5490" w:dyaOrig="1335">
                <v:shape id="_x0000_i1027" type="#_x0000_t75" style="width:274.55pt;height:66.65pt" o:ole="">
                  <v:imagedata r:id="rId7" o:title=""/>
                </v:shape>
                <o:OLEObject Type="Embed" ProgID="ChemDraw.Document.6.0" ShapeID="_x0000_i1027" DrawAspect="Content" ObjectID="_1681019032" r:id="rId8"/>
              </w:object>
            </w:r>
          </w:p>
        </w:tc>
      </w:tr>
      <w:tr w:rsidR="008E4545" w:rsidTr="008E4545">
        <w:trPr>
          <w:trHeight w:val="230"/>
        </w:trPr>
        <w:tc>
          <w:tcPr>
            <w:tcW w:w="0" w:type="auto"/>
            <w:vMerge w:val="restart"/>
            <w:tcBorders>
              <w:top w:val="single" w:sz="4" w:space="0" w:color="auto"/>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Entry</w:t>
            </w:r>
          </w:p>
        </w:tc>
        <w:tc>
          <w:tcPr>
            <w:tcW w:w="0" w:type="auto"/>
            <w:vMerge w:val="restart"/>
            <w:tcBorders>
              <w:top w:val="single" w:sz="4" w:space="0" w:color="auto"/>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 xml:space="preserve">Aryl </w:t>
            </w:r>
            <w:r>
              <w:t xml:space="preserve"> </w:t>
            </w:r>
            <w:r>
              <w:rPr>
                <w:rFonts w:asciiTheme="majorBidi" w:hAnsiTheme="majorBidi" w:cstheme="majorBidi"/>
                <w:b/>
                <w:bCs/>
                <w:sz w:val="20"/>
                <w:szCs w:val="20"/>
              </w:rPr>
              <w:t>aldehyde</w:t>
            </w:r>
          </w:p>
        </w:tc>
        <w:tc>
          <w:tcPr>
            <w:tcW w:w="0" w:type="auto"/>
            <w:vMerge w:val="restart"/>
            <w:tcBorders>
              <w:top w:val="single" w:sz="4" w:space="0" w:color="auto"/>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Product</w:t>
            </w:r>
          </w:p>
        </w:tc>
        <w:tc>
          <w:tcPr>
            <w:tcW w:w="0" w:type="auto"/>
            <w:vMerge w:val="restart"/>
            <w:tcBorders>
              <w:top w:val="single" w:sz="4" w:space="0" w:color="auto"/>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Time (min)</w:t>
            </w:r>
          </w:p>
        </w:tc>
        <w:tc>
          <w:tcPr>
            <w:tcW w:w="0" w:type="auto"/>
            <w:vMerge w:val="restart"/>
            <w:tcBorders>
              <w:top w:val="single" w:sz="4" w:space="0" w:color="auto"/>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b/>
                <w:bCs/>
                <w:sz w:val="20"/>
                <w:szCs w:val="20"/>
                <w:vertAlign w:val="superscript"/>
              </w:rPr>
            </w:pPr>
            <w:r>
              <w:rPr>
                <w:rFonts w:asciiTheme="majorBidi" w:hAnsiTheme="majorBidi" w:cstheme="majorBidi"/>
                <w:b/>
                <w:bCs/>
                <w:sz w:val="20"/>
                <w:szCs w:val="20"/>
              </w:rPr>
              <w:t>Yield (%)</w:t>
            </w:r>
            <w:proofErr w:type="spellStart"/>
            <w:r>
              <w:rPr>
                <w:rFonts w:asciiTheme="majorBidi" w:hAnsiTheme="majorBidi" w:cstheme="majorBidi"/>
                <w:b/>
                <w:bCs/>
                <w:sz w:val="20"/>
                <w:szCs w:val="20"/>
                <w:vertAlign w:val="superscript"/>
              </w:rPr>
              <w:t>a,b</w:t>
            </w:r>
            <w:proofErr w:type="spellEnd"/>
          </w:p>
        </w:tc>
        <w:tc>
          <w:tcPr>
            <w:tcW w:w="2659" w:type="dxa"/>
            <w:gridSpan w:val="2"/>
            <w:tcBorders>
              <w:top w:val="single" w:sz="4" w:space="0" w:color="auto"/>
              <w:left w:val="nil"/>
              <w:bottom w:val="single" w:sz="4" w:space="0" w:color="auto"/>
              <w:right w:val="nil"/>
            </w:tcBorders>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 xml:space="preserve">Melting point </w:t>
            </w:r>
          </w:p>
        </w:tc>
      </w:tr>
      <w:tr w:rsidR="008E4545" w:rsidTr="008E4545">
        <w:trPr>
          <w:trHeight w:val="260"/>
        </w:trPr>
        <w:tc>
          <w:tcPr>
            <w:tcW w:w="0" w:type="auto"/>
            <w:vMerge/>
            <w:tcBorders>
              <w:top w:val="single" w:sz="4" w:space="0" w:color="auto"/>
              <w:left w:val="nil"/>
              <w:bottom w:val="single" w:sz="4" w:space="0" w:color="auto"/>
              <w:right w:val="nil"/>
            </w:tcBorders>
            <w:vAlign w:val="center"/>
            <w:hideMark/>
          </w:tcPr>
          <w:p w:rsidR="008E4545" w:rsidRDefault="008E4545">
            <w:pPr>
              <w:bidi w:val="0"/>
              <w:spacing w:line="240" w:lineRule="auto"/>
              <w:rPr>
                <w:rFonts w:asciiTheme="majorBidi" w:hAnsiTheme="majorBidi" w:cstheme="majorBidi"/>
                <w:b/>
                <w:bCs/>
                <w:sz w:val="20"/>
                <w:szCs w:val="20"/>
              </w:rPr>
            </w:pPr>
          </w:p>
        </w:tc>
        <w:tc>
          <w:tcPr>
            <w:tcW w:w="0" w:type="auto"/>
            <w:vMerge/>
            <w:tcBorders>
              <w:top w:val="single" w:sz="4" w:space="0" w:color="auto"/>
              <w:left w:val="nil"/>
              <w:bottom w:val="single" w:sz="4" w:space="0" w:color="auto"/>
              <w:right w:val="nil"/>
            </w:tcBorders>
            <w:vAlign w:val="center"/>
            <w:hideMark/>
          </w:tcPr>
          <w:p w:rsidR="008E4545" w:rsidRDefault="008E4545">
            <w:pPr>
              <w:bidi w:val="0"/>
              <w:spacing w:line="240" w:lineRule="auto"/>
              <w:rPr>
                <w:rFonts w:asciiTheme="majorBidi" w:hAnsiTheme="majorBidi" w:cstheme="majorBidi"/>
                <w:b/>
                <w:bCs/>
                <w:sz w:val="20"/>
                <w:szCs w:val="20"/>
              </w:rPr>
            </w:pPr>
          </w:p>
        </w:tc>
        <w:tc>
          <w:tcPr>
            <w:tcW w:w="0" w:type="auto"/>
            <w:vMerge/>
            <w:tcBorders>
              <w:top w:val="single" w:sz="4" w:space="0" w:color="auto"/>
              <w:left w:val="nil"/>
              <w:bottom w:val="single" w:sz="4" w:space="0" w:color="auto"/>
              <w:right w:val="nil"/>
            </w:tcBorders>
            <w:vAlign w:val="center"/>
            <w:hideMark/>
          </w:tcPr>
          <w:p w:rsidR="008E4545" w:rsidRDefault="008E4545">
            <w:pPr>
              <w:bidi w:val="0"/>
              <w:spacing w:line="240" w:lineRule="auto"/>
              <w:rPr>
                <w:rFonts w:asciiTheme="majorBidi" w:hAnsiTheme="majorBidi" w:cstheme="majorBidi"/>
                <w:b/>
                <w:bCs/>
                <w:sz w:val="20"/>
                <w:szCs w:val="20"/>
              </w:rPr>
            </w:pPr>
          </w:p>
        </w:tc>
        <w:tc>
          <w:tcPr>
            <w:tcW w:w="0" w:type="auto"/>
            <w:vMerge/>
            <w:tcBorders>
              <w:top w:val="single" w:sz="4" w:space="0" w:color="auto"/>
              <w:left w:val="nil"/>
              <w:bottom w:val="single" w:sz="4" w:space="0" w:color="auto"/>
              <w:right w:val="nil"/>
            </w:tcBorders>
            <w:vAlign w:val="center"/>
            <w:hideMark/>
          </w:tcPr>
          <w:p w:rsidR="008E4545" w:rsidRDefault="008E4545">
            <w:pPr>
              <w:bidi w:val="0"/>
              <w:spacing w:line="240" w:lineRule="auto"/>
              <w:rPr>
                <w:rFonts w:asciiTheme="majorBidi" w:hAnsiTheme="majorBidi" w:cstheme="majorBidi"/>
                <w:b/>
                <w:bCs/>
                <w:sz w:val="20"/>
                <w:szCs w:val="20"/>
              </w:rPr>
            </w:pPr>
          </w:p>
        </w:tc>
        <w:tc>
          <w:tcPr>
            <w:tcW w:w="0" w:type="auto"/>
            <w:vMerge/>
            <w:tcBorders>
              <w:top w:val="single" w:sz="4" w:space="0" w:color="auto"/>
              <w:left w:val="nil"/>
              <w:bottom w:val="single" w:sz="4" w:space="0" w:color="auto"/>
              <w:right w:val="nil"/>
            </w:tcBorders>
            <w:vAlign w:val="center"/>
            <w:hideMark/>
          </w:tcPr>
          <w:p w:rsidR="008E4545" w:rsidRDefault="008E4545">
            <w:pPr>
              <w:bidi w:val="0"/>
              <w:spacing w:line="240" w:lineRule="auto"/>
              <w:rPr>
                <w:rFonts w:asciiTheme="majorBidi" w:hAnsiTheme="majorBidi" w:cstheme="majorBidi"/>
                <w:b/>
                <w:bCs/>
                <w:sz w:val="20"/>
                <w:szCs w:val="20"/>
                <w:vertAlign w:val="superscript"/>
              </w:rPr>
            </w:pPr>
          </w:p>
        </w:tc>
        <w:tc>
          <w:tcPr>
            <w:tcW w:w="1437" w:type="dxa"/>
            <w:tcBorders>
              <w:top w:val="single" w:sz="4" w:space="0" w:color="auto"/>
              <w:left w:val="nil"/>
              <w:bottom w:val="single" w:sz="4" w:space="0" w:color="auto"/>
              <w:right w:val="nil"/>
            </w:tcBorders>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measured</w:t>
            </w:r>
          </w:p>
        </w:tc>
        <w:tc>
          <w:tcPr>
            <w:tcW w:w="1222" w:type="dxa"/>
            <w:tcBorders>
              <w:top w:val="single" w:sz="4" w:space="0" w:color="auto"/>
              <w:left w:val="nil"/>
              <w:bottom w:val="single" w:sz="4" w:space="0" w:color="auto"/>
              <w:right w:val="nil"/>
            </w:tcBorders>
            <w:hideMark/>
          </w:tcPr>
          <w:p w:rsidR="008E4545" w:rsidRDefault="008E4545">
            <w:pPr>
              <w:bidi w:val="0"/>
              <w:spacing w:line="480" w:lineRule="auto"/>
              <w:jc w:val="center"/>
              <w:rPr>
                <w:rFonts w:asciiTheme="majorBidi" w:hAnsiTheme="majorBidi" w:cstheme="majorBidi"/>
                <w:b/>
                <w:bCs/>
                <w:sz w:val="20"/>
                <w:szCs w:val="20"/>
              </w:rPr>
            </w:pPr>
            <w:r>
              <w:rPr>
                <w:rFonts w:asciiTheme="majorBidi" w:hAnsiTheme="majorBidi" w:cstheme="majorBidi"/>
                <w:b/>
                <w:bCs/>
                <w:sz w:val="20"/>
                <w:szCs w:val="20"/>
              </w:rPr>
              <w:t>literature</w:t>
            </w:r>
          </w:p>
        </w:tc>
      </w:tr>
      <w:tr w:rsidR="008E4545" w:rsidTr="008E4545">
        <w:tc>
          <w:tcPr>
            <w:tcW w:w="0" w:type="auto"/>
            <w:tcBorders>
              <w:top w:val="single" w:sz="4" w:space="0" w:color="auto"/>
              <w:left w:val="nil"/>
              <w:bottom w:val="nil"/>
              <w:right w:val="nil"/>
            </w:tcBorders>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1</w:t>
            </w:r>
          </w:p>
        </w:tc>
        <w:tc>
          <w:tcPr>
            <w:tcW w:w="0" w:type="auto"/>
            <w:tcBorders>
              <w:top w:val="single" w:sz="4" w:space="0" w:color="auto"/>
              <w:left w:val="nil"/>
              <w:bottom w:val="nil"/>
              <w:right w:val="nil"/>
            </w:tcBorders>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900" w:dyaOrig="840">
                <v:shape id="_x0000_i1028" type="#_x0000_t75" style="width:45.15pt;height:41.9pt" o:ole="">
                  <v:imagedata r:id="rId9" o:title=""/>
                </v:shape>
                <o:OLEObject Type="Embed" ProgID="ChemDraw.Document.6.0" ShapeID="_x0000_i1028" DrawAspect="Content" ObjectID="_1681019033" r:id="rId10"/>
              </w:object>
            </w:r>
          </w:p>
        </w:tc>
        <w:tc>
          <w:tcPr>
            <w:tcW w:w="0" w:type="auto"/>
            <w:tcBorders>
              <w:top w:val="single" w:sz="4" w:space="0" w:color="auto"/>
              <w:left w:val="nil"/>
              <w:bottom w:val="nil"/>
              <w:right w:val="nil"/>
            </w:tcBorders>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740" w:dyaOrig="1455">
                <v:shape id="_x0000_i1029" type="#_x0000_t75" style="width:87.05pt;height:72.55pt" o:ole="">
                  <v:imagedata r:id="rId11" o:title=""/>
                </v:shape>
                <o:OLEObject Type="Embed" ProgID="ChemDraw.Document.6.0" ShapeID="_x0000_i1029" DrawAspect="Content" ObjectID="_1681019034" r:id="rId12"/>
              </w:object>
            </w:r>
          </w:p>
        </w:tc>
        <w:tc>
          <w:tcPr>
            <w:tcW w:w="0" w:type="auto"/>
            <w:tcBorders>
              <w:top w:val="single" w:sz="4" w:space="0" w:color="auto"/>
              <w:left w:val="nil"/>
              <w:bottom w:val="nil"/>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80</w:t>
            </w:r>
          </w:p>
        </w:tc>
        <w:tc>
          <w:tcPr>
            <w:tcW w:w="0" w:type="auto"/>
            <w:tcBorders>
              <w:top w:val="single" w:sz="4" w:space="0" w:color="auto"/>
              <w:left w:val="nil"/>
              <w:bottom w:val="nil"/>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93</w:t>
            </w:r>
          </w:p>
        </w:tc>
        <w:tc>
          <w:tcPr>
            <w:tcW w:w="1437" w:type="dxa"/>
            <w:tcBorders>
              <w:top w:val="single" w:sz="4" w:space="0" w:color="auto"/>
              <w:left w:val="nil"/>
              <w:bottom w:val="nil"/>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198-205</w:t>
            </w:r>
          </w:p>
        </w:tc>
        <w:tc>
          <w:tcPr>
            <w:tcW w:w="1222" w:type="dxa"/>
            <w:tcBorders>
              <w:top w:val="single" w:sz="4" w:space="0" w:color="auto"/>
              <w:left w:val="nil"/>
              <w:bottom w:val="nil"/>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203-206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{"citationItems":[{"id":"ITEM-1","itemData":{"DOI":"10.1016/j.cplett.2019.136784","ISSN":"00092614","abstract":"Fe3O4 magnetic nanoparticles were used as a core for Cu(II) Schiff base complex functionalized mesoporous MCM-41 shell to provide a core–shell nanostructure (Fe3O4@MCM-41@Cu-P2C). A simple, environmentally friendly, inexpensive, green reaction conditions and efficient procedure for the synthesis of polyhydroquinoline, 5-substituted 1H-tetrazoles and sulfides derivatives using this core–shell nanostructure as an efficient, novel and recoverable nanocatalyst has been described. Fe3O4@MCM-41@Cu-P2C is stable, cost-effective, heterogeneous, easy to handle and recoverable nanocatalyst and can be reused for several consecutive runs without a significant loss of catalytic activity. The catalyst was characterized by fourier transform infrared spectroscopy (FT-IR), thermogravimetric analysis (TGA), powder X-ray diffractometer (XRD), scanning electron microscopy (SEM), atomic absorption spectroscopy (AAS), Brunauer–Emmett–Teller (BET) and vibrating sample magnetometer (VSM) techniques.","author":[{"dropping-particle":"","family":"Nikoorazm","given":"Mohsen","non-dropping-particle":"","parse-names":false,"suffix":""},{"dropping-particle":"","family":"Erfani","given":"Zahra","non-dropping-particle":"","parse-names":false,"suffix":""}],"container-title":"Chemical Physics Letters","id":"ITEM-1","issued":{"date-parts":[["2019","12"]]},"page":"136784","title":"Core–shell nanostructure (Fe3O4@MCM-41@Cu-P2C) as a highly efficient and recoverable nanocatalyst for the synthesis of polyhydroquinoline, 5-substituted 1H-tetrazoles and sulfides","type":"article-journal","volume":"737"},"uris":["http://www.mendeley.com/documents/?uuid=b081ad13-a187-47db-9205-796583f45f74"]}],"mendeley":{"formattedCitation":"&lt;sup&gt;54&lt;/sup&gt;","plainTextFormattedCitation":"54","previouslyFormattedCitation":"&lt;sup&gt;55&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54</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2</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260" w:dyaOrig="900">
                <v:shape id="_x0000_i1030" type="#_x0000_t75" style="width:62.85pt;height:45.15pt" o:ole="">
                  <v:imagedata r:id="rId13" o:title=""/>
                </v:shape>
                <o:OLEObject Type="Embed" ProgID="ChemDraw.Document.6.0" ShapeID="_x0000_i1030" DrawAspect="Content" ObjectID="_1681019035" r:id="rId14"/>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680" w:dyaOrig="1695">
                <v:shape id="_x0000_i1031" type="#_x0000_t75" style="width:83.8pt;height:84.9pt" o:ole="">
                  <v:imagedata r:id="rId15" o:title=""/>
                </v:shape>
                <o:OLEObject Type="Embed" ProgID="ChemDraw.Document.6.0" ShapeID="_x0000_i1031" DrawAspect="Content" ObjectID="_1681019036" r:id="rId16"/>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87</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245-248</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246-247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{"citationItems":[{"id":"ITEM-1","itemData":{"DOI":"10.1016/j.cplett.2019.136784","ISSN":"00092614","abstract":"Fe3O4 magnetic nanoparticles were used as a core for Cu(II) Schiff base complex functionalized mesoporous MCM-41 shell to provide a core–shell nanostructure (Fe3O4@MCM-41@Cu-P2C). A simple, environmentally friendly, inexpensive, green reaction conditions and efficient procedure for the synthesis of polyhydroquinoline, 5-substituted 1H-tetrazoles and sulfides derivatives using this core–shell nanostructure as an efficient, novel and recoverable nanocatalyst has been described. Fe3O4@MCM-41@Cu-P2C is stable, cost-effective, heterogeneous, easy to handle and recoverable nanocatalyst and can be reused for several consecutive runs without a significant loss of catalytic activity. The catalyst was characterized by fourier transform infrared spectroscopy (FT-IR), thermogravimetric analysis (TGA), powder X-ray diffractometer (XRD), scanning electron microscopy (SEM), atomic absorption spectroscopy (AAS), Brunauer–Emmett–Teller (BET) and vibrating sample magnetometer (VSM) techniques.","author":[{"dropping-particle":"","family":"Nikoorazm","given":"Mohsen","non-dropping-particle":"","parse-names":false,"suffix":""},{"dropping-particle":"","family":"Erfani","given":"Zahra","non-dropping-particle":"","parse-names":false,"suffix":""}],"container-title":"Chemical Physics Letters","id":"ITEM-1","issued":{"date-parts":[["2019","12"]]},"page":"136784","title":"Core–shell nanostructure (Fe3O4@MCM-41@Cu-P2C) as a highly efficient and recoverable nanocatalyst for the synthesis of polyhydroquinoline, 5-substituted 1H-tetrazoles and sulfides","type":"article-journal","volume":"737"},"uris":["http://www.mendeley.com/documents/?uuid=b081ad13-a187-47db-9205-796583f45f74"]}],"mendeley":{"formattedCitation":"&lt;sup&gt;54&lt;/sup&gt;","plainTextFormattedCitation":"54","previouslyFormattedCitation":"&lt;sup&gt;55&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54</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lastRenderedPageBreak/>
              <w:t>3</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960" w:dyaOrig="900">
                <v:shape id="_x0000_i1032" type="#_x0000_t75" style="width:47.8pt;height:45.15pt" o:ole="">
                  <v:imagedata r:id="rId17" o:title=""/>
                </v:shape>
                <o:OLEObject Type="Embed" ProgID="ChemDraw.Document.6.0" ShapeID="_x0000_i1032" DrawAspect="Content" ObjectID="_1681019037" r:id="rId18"/>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695" w:dyaOrig="1545">
                <v:shape id="_x0000_i1033" type="#_x0000_t75" style="width:84.9pt;height:77.35pt" o:ole="">
                  <v:imagedata r:id="rId19" o:title=""/>
                </v:shape>
                <o:OLEObject Type="Embed" ProgID="ChemDraw.Document.6.0" ShapeID="_x0000_i1033" DrawAspect="Content" ObjectID="_1681019038" r:id="rId20"/>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86</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245-249</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249-251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{"citationItems":[{"id":"ITEM-1","itemData":{"DOI":"10.1016/j.cplett.2019.136784","ISSN":"00092614","abstract":"Fe3O4 magnetic nanoparticles were used as a core for Cu(II) Schiff base complex functionalized mesoporous MCM-41 shell to provide a core–shell nanostructure (Fe3O4@MCM-41@Cu-P2C). A simple, environmentally friendly, inexpensive, green reaction conditions and efficient procedure for the synthesis of polyhydroquinoline, 5-substituted 1H-tetrazoles and sulfides derivatives using this core–shell nanostructure as an efficient, novel and recoverable nanocatalyst has been described. Fe3O4@MCM-41@Cu-P2C is stable, cost-effective, heterogeneous, easy to handle and recoverable nanocatalyst and can be reused for several consecutive runs without a significant loss of catalytic activity. The catalyst was characterized by fourier transform infrared spectroscopy (FT-IR), thermogravimetric analysis (TGA), powder X-ray diffractometer (XRD), scanning electron microscopy (SEM), atomic absorption spectroscopy (AAS), Brunauer–Emmett–Teller (BET) and vibrating sample magnetometer (VSM) techniques.","author":[{"dropping-particle":"","family":"Nikoorazm","given":"Mohsen","non-dropping-particle":"","parse-names":false,"suffix":""},{"dropping-particle":"","family":"Erfani","given":"Zahra","non-dropping-particle":"","parse-names":false,"suffix":""}],"container-title":"Chemical Physics Letters","id":"ITEM-1","issued":{"date-parts":[["2019","12"]]},"page":"136784","title":"Core–shell nanostructure (Fe3O4@MCM-41@Cu-P2C) as a highly efficient and recoverable nanocatalyst for the synthesis of polyhydroquinoline, 5-substituted 1H-tetrazoles and sulfides","type":"article-journal","volume":"737"},"uris":["http://www.mendeley.com/documents/?uuid=b081ad13-a187-47db-9205-796583f45f74"]}],"mendeley":{"formattedCitation":"&lt;sup&gt;54&lt;/sup&gt;","plainTextFormattedCitation":"54","previouslyFormattedCitation":"&lt;sup&gt;55&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54</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4</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eastAsia="Times New Roman" w:hAnsiTheme="majorBidi" w:cstheme="majorBidi"/>
                <w:noProof/>
                <w:sz w:val="20"/>
                <w:szCs w:val="20"/>
                <w:lang w:val="en-US" w:bidi="ar-SA"/>
              </w:rPr>
              <w:drawing>
                <wp:inline distT="0" distB="0" distL="0" distR="0">
                  <wp:extent cx="764540" cy="5594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4540" cy="559435"/>
                          </a:xfrm>
                          <a:prstGeom prst="rect">
                            <a:avLst/>
                          </a:prstGeom>
                          <a:noFill/>
                          <a:ln>
                            <a:noFill/>
                          </a:ln>
                        </pic:spPr>
                      </pic:pic>
                    </a:graphicData>
                  </a:graphic>
                </wp:inline>
              </w:drawing>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eastAsia="Times New Roman" w:hAnsiTheme="majorBidi" w:cstheme="majorBidi"/>
                <w:noProof/>
                <w:sz w:val="20"/>
                <w:szCs w:val="20"/>
                <w:lang w:val="en-US" w:bidi="ar-SA"/>
              </w:rPr>
              <w:drawing>
                <wp:inline distT="0" distB="0" distL="0" distR="0">
                  <wp:extent cx="1125855" cy="11258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25855" cy="1125855"/>
                          </a:xfrm>
                          <a:prstGeom prst="rect">
                            <a:avLst/>
                          </a:prstGeom>
                          <a:noFill/>
                          <a:ln>
                            <a:noFill/>
                          </a:ln>
                        </pic:spPr>
                      </pic:pic>
                    </a:graphicData>
                  </a:graphic>
                </wp:inline>
              </w:drawing>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86</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82</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249-251</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252-255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{"citationItems":[{"id":"ITEM-1","itemData":{"DOI":"10.1016/j.poly.2018.10.054","ISSN":"02775387","abstract":"In this work, a green and novel catalyst was prepared through immobilization of cobalt complex on the surface of mesostructured SBA-15 and characterized by TGA, SEM, FT‐IR, EDX, ICP, BET and X-ray mapping analytical methods. This mesostructural material was used as an efficient and green interphase catalyst for the oxidation reactions and synthesis of polyhydroquinoline derivatives. All reactions were performed in short times and good yields. Moreover, the prepared catalyst could be used up to six runs without significant degradation in its catalytic activity or cobalt leaching.","author":[{"dropping-particle":"","family":"Ghorbani-Choghamarani","given":"Arash","non-dropping-particle":"","parse-names":false,"suffix":""},{"dropping-particle":"","family":"Mohammadi","given":"Masoud","non-dropping-particle":"","parse-names":false,"suffix":""},{"dropping-particle":"","family":"Tamoradi","given":"Taiebeh","non-dropping-particle":"","parse-names":false,"suffix":""},{"dropping-particle":"","family":"Ghadermazi","given":"Mohammad","non-dropping-particle":"","parse-names":false,"suffix":""}],"container-title":"Polyhedron","id":"ITEM-1","issued":{"date-parts":[["2019","1"]]},"page":"25-35","publisher":"Elsevier","title":"Covalent immobilization of Co complex on the surface of SBA-15: Green, novel and efficient catalyst for the oxidation of sulfides and synthesis of polyhydroquinoline derivatives in green condition","type":"article-journal","volume":"158"},"uris":["http://www.mendeley.com/documents/?uuid=7d06073f-d00f-4120-b83b-09ec2b02b3df"]}],"mendeley":{"formattedCitation":"&lt;sup&gt;42&lt;/sup&gt;","plainTextFormattedCitation":"42","previouslyFormattedCitation":"&lt;sup&gt;43&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42</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5</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eastAsia="Times New Roman" w:hAnsiTheme="majorBidi" w:cstheme="majorBidi"/>
                <w:noProof/>
                <w:sz w:val="20"/>
                <w:szCs w:val="20"/>
                <w:lang w:val="en-US" w:bidi="ar-SA"/>
              </w:rPr>
              <w:drawing>
                <wp:inline distT="0" distB="0" distL="0" distR="0">
                  <wp:extent cx="825500" cy="5461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5500" cy="546100"/>
                          </a:xfrm>
                          <a:prstGeom prst="rect">
                            <a:avLst/>
                          </a:prstGeom>
                          <a:noFill/>
                          <a:ln>
                            <a:noFill/>
                          </a:ln>
                        </pic:spPr>
                      </pic:pic>
                    </a:graphicData>
                  </a:graphic>
                </wp:inline>
              </w:drawing>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eastAsia="Times New Roman" w:hAnsiTheme="majorBidi" w:cstheme="majorBidi"/>
                <w:noProof/>
                <w:sz w:val="20"/>
                <w:szCs w:val="20"/>
                <w:lang w:val="en-US" w:bidi="ar-SA"/>
              </w:rPr>
              <w:drawing>
                <wp:inline distT="0" distB="0" distL="0" distR="0">
                  <wp:extent cx="1207770" cy="1207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07770" cy="1207770"/>
                          </a:xfrm>
                          <a:prstGeom prst="rect">
                            <a:avLst/>
                          </a:prstGeom>
                          <a:noFill/>
                          <a:ln>
                            <a:noFill/>
                          </a:ln>
                        </pic:spPr>
                      </pic:pic>
                    </a:graphicData>
                  </a:graphic>
                </wp:inline>
              </w:drawing>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83</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254-256</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255-257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{"citationItems":[{"id":"ITEM-1","itemData":{"DOI":"10.1016/j.poly.2018.10.054","ISSN":"02775387","abstract":"In this work, a green and novel catalyst was prepared through immobilization of cobalt complex on the surface of mesostructured SBA-15 and characterized by TGA, SEM, FT‐IR, EDX, ICP, BET and X-ray mapping analytical methods. This mesostructural material was used as an efficient and green interphase catalyst for the oxidation reactions and synthesis of polyhydroquinoline derivatives. All reactions were performed in short times and good yields. Moreover, the prepared catalyst could be used up to six runs without significant degradation in its catalytic activity or cobalt leaching.","author":[{"dropping-particle":"","family":"Ghorbani-Choghamarani","given":"Arash","non-dropping-particle":"","parse-names":false,"suffix":""},{"dropping-particle":"","family":"Mohammadi","given":"Masoud","non-dropping-particle":"","parse-names":false,"suffix":""},{"dropping-particle":"","family":"Tamoradi","given":"Taiebeh","non-dropping-particle":"","parse-names":false,"suffix":""},{"dropping-particle":"","family":"Ghadermazi","given":"Mohammad","non-dropping-particle":"","parse-names":false,"suffix":""}],"container-title":"Polyhedron","id":"ITEM-1","issued":{"date-parts":[["2019","1"]]},"page":"25-35","publisher":"Elsevier","title":"Covalent immobilization of Co complex on the surface of SBA-15: Green, novel and efficient catalyst for the oxidation of sulfides and synthesis of polyhydroquinoline derivatives in green condition","type":"article-journal","volume":"158"},"uris":["http://www.mendeley.com/documents/?uuid=7d06073f-d00f-4120-b83b-09ec2b02b3df"]}],"mendeley":{"formattedCitation":"&lt;sup&gt;42&lt;/sup&gt;","plainTextFormattedCitation":"42","previouslyFormattedCitation":"&lt;sup&gt;43&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42</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6</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425" w:dyaOrig="1125">
                <v:shape id="_x0000_i1038" type="#_x0000_t75" style="width:71.45pt;height:56.4pt" o:ole="">
                  <v:imagedata r:id="rId25" o:title=""/>
                </v:shape>
                <o:OLEObject Type="Embed" ProgID="ChemDraw.Document.6.0" ShapeID="_x0000_i1038" DrawAspect="Content" ObjectID="_1681019039" r:id="rId26"/>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680" w:dyaOrig="1680">
                <v:shape id="_x0000_i1039" type="#_x0000_t75" style="width:83.8pt;height:83.8pt" o:ole="">
                  <v:imagedata r:id="rId27" o:title=""/>
                </v:shape>
                <o:OLEObject Type="Embed" ProgID="ChemDraw.Document.6.0" ShapeID="_x0000_i1039" DrawAspect="Content" ObjectID="_1681019040" r:id="rId28"/>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87</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197-202</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204-206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{"citationItems":[{"id":"ITEM-1","itemData":{"DOI":"10.1016/j.cplett.2019.136784","ISSN":"00092614","abstract":"Fe3O4 magnetic nanoparticles were used as a core for Cu(II) Schiff base complex functionalized mesoporous MCM-41 shell to provide a core–shell nanostructure (Fe3O4@MCM-41@Cu-P2C). A simple, environmentally friendly, inexpensive, green reaction conditions and efficient procedure for the synthesis of polyhydroquinoline, 5-substituted 1H-tetrazoles and sulfides derivatives using this core–shell nanostructure as an efficient, novel and recoverable nanocatalyst has been described. Fe3O4@MCM-41@Cu-P2C is stable, cost-effective, heterogeneous, easy to handle and recoverable nanocatalyst and can be reused for several consecutive runs without a significant loss of catalytic activity. The catalyst was characterized by fourier transform infrared spectroscopy (FT-IR), thermogravimetric analysis (TGA), powder X-ray diffractometer (XRD), scanning electron microscopy (SEM), atomic absorption spectroscopy (AAS), Brunauer–Emmett–Teller (BET) and vibrating sample magnetometer (VSM) techniques.","author":[{"dropping-particle":"","family":"Nikoorazm","given":"Mohsen","non-dropping-particle":"","parse-names":false,"suffix":""},{"dropping-particle":"","family":"Erfani","given":"Zahra","non-dropping-particle":"","parse-names":false,"suffix":""}],"container-title":"Chemical Physics Letters","id":"ITEM-1","issued":{"date-parts":[["2019","12"]]},"page":"136784","title":"Core–shell nanostructure (Fe3O4@MCM-41@Cu-P2C) as a highly efficient and recoverable nanocatalyst for the synthesis of polyhydroquinoline, 5-substituted 1H-tetrazoles and sulfides","type":"article-journal","volume":"737"},"uris":["http://www.mendeley.com/documents/?uuid=b081ad13-a187-47db-9205-796583f45f74"]}],"mendeley":{"formattedCitation":"&lt;sup&gt;54&lt;/sup&gt;","plainTextFormattedCitation":"54","previouslyFormattedCitation":"&lt;sup&gt;55&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54</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7</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230" w:dyaOrig="900">
                <v:shape id="_x0000_i1040" type="#_x0000_t75" style="width:61.25pt;height:45.15pt" o:ole="">
                  <v:imagedata r:id="rId29" o:title=""/>
                </v:shape>
                <o:OLEObject Type="Embed" ProgID="ChemDraw.Document.6.0" ShapeID="_x0000_i1040" DrawAspect="Content" ObjectID="_1681019041" r:id="rId30"/>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755" w:dyaOrig="1710">
                <v:shape id="_x0000_i1041" type="#_x0000_t75" style="width:87.6pt;height:85.45pt" o:ole="">
                  <v:imagedata r:id="rId31" o:title=""/>
                </v:shape>
                <o:OLEObject Type="Embed" ProgID="ChemDraw.Document.6.0" ShapeID="_x0000_i1041" DrawAspect="Content" ObjectID="_1681019042" r:id="rId32"/>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88</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264-268</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246 – 248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{"citationItems":[{"id":"ITEM-1","itemData":{"DOI":"10.1039/C5NJ02430G","ISSN":"1144-0546","abstract":"Nano-zirconia-supported sulfonic acid as a novel, highly efficient and recyclable heterogeneous nanocatalyst is reported for the synthesis of multicomponent reactions.","author":[{"dropping-particle":"","family":"Amoozadeh","given":"Ali","non-dropping-particle":"","parse-names":false,"suffix":""},{"dropping-particle":"","family":"Rahmani","given":"Salman","non-dropping-particle":"","parse-names":false,"suffix":""},{"dropping-particle":"","family":"Bitaraf","given":"Mehrnoosh","non-dropping-particle":"","parse-names":false,"suffix":""},{"dropping-particle":"","family":"Abadi","given":"Fatemeh Bolghan","non-dropping-particle":"","parse-names":false,"suffix":""},{"dropping-particle":"","family":"Tabrizian","given":"Elham","non-dropping-particle":"","parse-names":false,"suffix":""}],"container-title":"New Journal of Chemistry","id":"ITEM-1","issue":"1","issued":{"date-parts":[["2016"]]},"note":"Cited By :44\n\nExport Date: 8 September 2019","page":"770-780","title":"Nano-zirconia as an excellent nano support for immobilization of sulfonic acid: a new, efficient and highly recyclable heterogeneous solid acid nanocatalyst for multicomponent reactions","type":"article-journal","volume":"40"},"uris":["http://www.mendeley.com/documents/?uuid=5692a433-48db-40e5-9ea4-cfdab625ecb3"]}],"mendeley":{"formattedCitation":"&lt;sup&gt;55&lt;/sup&gt;","plainTextFormattedCitation":"55","previouslyFormattedCitation":"&lt;sup&gt;56&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55</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8</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885" w:dyaOrig="855">
                <v:shape id="_x0000_i1042" type="#_x0000_t75" style="width:44.05pt;height:43pt" o:ole="">
                  <v:imagedata r:id="rId33" o:title=""/>
                </v:shape>
                <o:OLEObject Type="Embed" ProgID="ChemDraw.Document.6.0" ShapeID="_x0000_i1042" DrawAspect="Content" ObjectID="_1681019043" r:id="rId34"/>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905" w:dyaOrig="1740">
                <v:shape id="_x0000_i1043" type="#_x0000_t75" style="width:95.1pt;height:87.05pt" o:ole="">
                  <v:imagedata r:id="rId35" o:title=""/>
                </v:shape>
                <o:OLEObject Type="Embed" ProgID="ChemDraw.Document.6.0" ShapeID="_x0000_i1043" DrawAspect="Content" ObjectID="_1681019044" r:id="rId36"/>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93</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169-174</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175-176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{"citationItems":[{"id":"ITEM-1","itemData":{"DOI":"10.1016/j.cplett.2019.136784","ISSN":"00092614","abstract":"Fe3O4 magnetic nanoparticles were used as a core for Cu(II) Schiff base complex functionalized mesoporous MCM-41 shell to provide a core–shell nanostructure (Fe3O4@MCM-41@Cu-P2C). A simple, environmentally friendly, inexpensive, green reaction conditions and efficient procedure for the synthesis of polyhydroquinoline, 5-substituted 1H-tetrazoles and sulfides derivatives using this core–shell nanostructure as an efficient, novel and recoverable nanocatalyst has been described. Fe3O4@MCM-41@Cu-P2C is stable, cost-effective, heterogeneous, easy to handle and recoverable nanocatalyst and can be reused for several consecutive runs without a significant loss of catalytic activity. The catalyst was characterized by fourier transform infrared spectroscopy (FT-IR), thermogravimetric analysis (TGA), powder X-ray diffractometer (XRD), scanning electron microscopy (SEM), atomic absorption spectroscopy (AAS), Brunauer–Emmett–Teller (BET) and vibrating sample magnetometer (VSM) techniques.","author":[{"dropping-particle":"","family":"Nikoorazm","given":"Mohsen","non-dropping-particle":"","parse-names":false,"suffix":""},{"dropping-particle":"","family":"Erfani","given":"Zahra","non-dropping-particle":"","parse-names":false,"suffix":""}],"container-title":"Chemical Physics Letters","id":"ITEM-1","issued":{"date-parts":[["2019","12"]]},"page":"136784","title":"Core–shell nanostructure (Fe3O4@MCM-41@Cu-P2C) as a highly efficient and recoverable nanocatalyst for the synthesis of polyhydroquinoline, 5-substituted 1H-tetrazoles and sulfides","type":"article-journal","volume":"737"},"uris":["http://www.mendeley.com/documents/?uuid=b081ad13-a187-47db-9205-796583f45f74"]}],"mendeley":{"formattedCitation":"&lt;sup&gt;54&lt;/sup&gt;","plainTextFormattedCitation":"54","previouslyFormattedCitation":"&lt;sup&gt;55&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54</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lastRenderedPageBreak/>
              <w:t>9</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005" w:dyaOrig="1215">
                <v:shape id="_x0000_i1044" type="#_x0000_t75" style="width:50.5pt;height:60.7pt" o:ole="">
                  <v:imagedata r:id="rId37" o:title=""/>
                </v:shape>
                <o:OLEObject Type="Embed" ProgID="ChemDraw.Document.6.0" ShapeID="_x0000_i1044" DrawAspect="Content" ObjectID="_1681019045" r:id="rId38"/>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800" w:dyaOrig="1605">
                <v:shape id="_x0000_i1045" type="#_x0000_t75" style="width:90.25pt;height:80.05pt" o:ole="">
                  <v:imagedata r:id="rId39" o:title=""/>
                </v:shape>
                <o:OLEObject Type="Embed" ProgID="ChemDraw.Document.6.0" ShapeID="_x0000_i1045" DrawAspect="Content" ObjectID="_1681019046" r:id="rId40"/>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80</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87</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208-210</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230-232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{"citationItems":[{"id":"ITEM-1","itemData":{"DOI":"10.1007/s11164-019-03930-0","ISBN":"0123456789","ISSN":"0922-6168","abstract":"The spinel ferrite FeAl2O4 (hercynite) MNPs (magnetic nanoparticles) were applied as a reusable catalytic system for the one-pot synthesis of benzo[a]pyrano[2,3-c] phenazine and polyhydroquinoline derivatives via a multicomponent reaction under green reaction conditions. The structure of the prepared nanocatalyst has been characterized by XRD, FTIR, SEM, EDS, BET, and VSM techniques. The FeAl2O4 MNPs act as Lewis acids and offer several advantages such as high yields of products, short reaction times, and easy workup procedure. Moreover, the recycled nanocatalyst was used at least four times without significant loss of its activity.","author":[{"dropping-particle":"","family":"Ghorbani-Choghamarani","given":"Arash","non-dropping-particle":"","parse-names":false,"suffix":""},{"dropping-particle":"","family":"Mohammadi","given":"Masoud","non-dropping-particle":"","parse-names":false,"suffix":""},{"dropping-particle":"","family":"Shiri","given":"Lotfi","non-dropping-particle":"","parse-names":false,"suffix":""},{"dropping-particle":"","family":"Taherinia","given":"Zahra","non-dropping-particle":"","parse-names":false,"suffix":""}],"container-title":"Research on Chemical Intermediates","id":"ITEM-1","issue":"11","issued":{"date-parts":[["2019","11","22"]]},"note":"From Duplicate 1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 Mohammadi, M; Shiri, L; Taherinia, Z)\n\nExport Date: 8 September 2019\n\nFrom Duplicate 2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Arash; Mohammadi, Masoud; Shiri, Lotfi; Taherinia, Zahra)\n\nExport Date: 8 September 2019\n\nFrom Duplicate 2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Arash; Mohammadi, Masoud; Shiri, Lotfi; Taherinia, Zahra)\n\nExport Date: 8 September 2019","page":"5705-5723","publisher":"Springer Netherlands","title":"Synthesis and characterization of spinel FeAl2O4 (hercynite) magnetic nanoparticles and their application in multicomponent reactions","type":"article-journal","volume":"45"},"uris":["http://www.mendeley.com/documents/?uuid=968d7d87-8d03-44a9-88af-4ec15a1a01f6"]}],"mendeley":{"formattedCitation":"&lt;sup&gt;32&lt;/sup&gt;","plainTextFormattedCitation":"32","previouslyFormattedCitation":"&lt;sup&gt;32&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32</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10</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305" w:dyaOrig="900">
                <v:shape id="_x0000_i1046" type="#_x0000_t75" style="width:65pt;height:45.15pt" o:ole="">
                  <v:imagedata r:id="rId41" o:title=""/>
                </v:shape>
                <o:OLEObject Type="Embed" ProgID="ChemDraw.Document.6.0" ShapeID="_x0000_i1046" DrawAspect="Content" ObjectID="_1681019047" r:id="rId42"/>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875" w:dyaOrig="1890">
                <v:shape id="_x0000_i1047" type="#_x0000_t75" style="width:93.5pt;height:94.55pt" o:ole="">
                  <v:imagedata r:id="rId43" o:title=""/>
                </v:shape>
                <o:OLEObject Type="Embed" ProgID="ChemDraw.Document.6.0" ShapeID="_x0000_i1047" DrawAspect="Content" ObjectID="_1681019048" r:id="rId44"/>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81</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238-240</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231–233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{"citationItems":[{"id":"ITEM-1","itemData":{"DOI":"10.1016/j.poly.2018.10.054","ISSN":"02775387","abstract":"In this work, a green and novel catalyst was prepared through immobilization of cobalt complex on the surface of mesostructured SBA-15 and characterized by TGA, SEM, FT‐IR, EDX, ICP, BET and X-ray mapping analytical methods. This mesostructural material was used as an efficient and green interphase catalyst for the oxidation reactions and synthesis of polyhydroquinoline derivatives. All reactions were performed in short times and good yields. Moreover, the prepared catalyst could be used up to six runs without significant degradation in its catalytic activity or cobalt leaching.","author":[{"dropping-particle":"","family":"Ghorbani-Choghamarani","given":"Arash","non-dropping-particle":"","parse-names":false,"suffix":""},{"dropping-particle":"","family":"Mohammadi","given":"Masoud","non-dropping-particle":"","parse-names":false,"suffix":""},{"dropping-particle":"","family":"Tamoradi","given":"Taiebeh","non-dropping-particle":"","parse-names":false,"suffix":""},{"dropping-particle":"","family":"Ghadermazi","given":"Mohammad","non-dropping-particle":"","parse-names":false,"suffix":""}],"container-title":"Polyhedron","id":"ITEM-1","issued":{"date-parts":[["2019","1"]]},"page":"25-35","publisher":"Elsevier","title":"Covalent immobilization of Co complex on the surface of SBA-15: Green, novel and efficient catalyst for the oxidation of sulfides and synthesis of polyhydroquinoline derivatives in green condition","type":"article-journal","volume":"158"},"uris":["http://www.mendeley.com/documents/?uuid=7d06073f-d00f-4120-b83b-09ec2b02b3df"]}],"mendeley":{"formattedCitation":"&lt;sup&gt;42&lt;/sup&gt;","plainTextFormattedCitation":"42","previouslyFormattedCitation":"&lt;sup&gt;43&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42</w:t>
            </w:r>
            <w:r>
              <w:rPr>
                <w:rFonts w:asciiTheme="majorBidi" w:hAnsiTheme="majorBidi" w:cstheme="majorBidi"/>
                <w:sz w:val="20"/>
                <w:szCs w:val="20"/>
              </w:rPr>
              <w:fldChar w:fldCharType="end"/>
            </w:r>
          </w:p>
        </w:tc>
      </w:tr>
      <w:tr w:rsidR="008E4545" w:rsidTr="008E4545">
        <w:tc>
          <w:tcPr>
            <w:tcW w:w="0" w:type="auto"/>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11</w: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440" w:dyaOrig="1185">
                <v:shape id="_x0000_i1048" type="#_x0000_t75" style="width:1in;height:59.1pt" o:ole="">
                  <v:imagedata r:id="rId45" o:title=""/>
                </v:shape>
                <o:OLEObject Type="Embed" ProgID="ChemDraw.Document.6.0" ShapeID="_x0000_i1048" DrawAspect="Content" ObjectID="_1681019049" r:id="rId46"/>
              </w:object>
            </w:r>
          </w:p>
        </w:tc>
        <w:tc>
          <w:tcPr>
            <w:tcW w:w="0" w:type="auto"/>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680" w:dyaOrig="1830">
                <v:shape id="_x0000_i1049" type="#_x0000_t75" style="width:83.8pt;height:91.35pt" o:ole="">
                  <v:imagedata r:id="rId47" o:title=""/>
                </v:shape>
                <o:OLEObject Type="Embed" ProgID="ChemDraw.Document.6.0" ShapeID="_x0000_i1049" DrawAspect="Content" ObjectID="_1681019050" r:id="rId48"/>
              </w:objec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85</w:t>
            </w:r>
          </w:p>
        </w:tc>
        <w:tc>
          <w:tcPr>
            <w:tcW w:w="0" w:type="auto"/>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74</w:t>
            </w:r>
          </w:p>
        </w:tc>
        <w:tc>
          <w:tcPr>
            <w:tcW w:w="1437"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294-295</w:t>
            </w:r>
          </w:p>
        </w:tc>
        <w:tc>
          <w:tcPr>
            <w:tcW w:w="1222" w:type="dxa"/>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305 - 307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{"citationItems":[{"id":"ITEM-1","itemData":{"DOI":"10.1039/c6ra04148e","ISSN":"20462069","abstract":"In this research 4,4′-(butane-1,4-diyl)bis(1-sulfo-1,4-diazabicyclo[2.2.2]octane-1,4-diium)tetrachloride (NS-C4(DABCO-SO3H)2)·4Cl) as a new nano sized N-sulfonic acid was prepared and characterized using different types of methods including FT-IR, 1H NMR, 13C NMR, mass, XRD, TGA, SEM and AFM analysis. After the characterization of this reagent, it was efficiently used for the promotion of the one-pot synthesis of hexahydroquinolines via one-pot four-component condensation of aryl aldehydes, 1,3-cyclohexadione derivatives, β-ketoesters and ammonium acetate under solvent-free conditions. The procedure gave the products in excellent yields in short reaction times and good to high yields. Also this catalyst can be reused several times without loss of its catalytic activity.","author":[{"dropping-particle":"","family":"Goli-Jolodar","given":"Omid","non-dropping-particle":"","parse-names":false,"suffix":""},{"dropping-particle":"","family":"Shirini","given":"Farhad","non-dropping-particle":"","parse-names":false,"suffix":""},{"dropping-particle":"","family":"Seddighi","given":"Mohadeseh","non-dropping-particle":"","parse-names":false,"suffix":""}],"container-title":"RSC Advances","id":"ITEM-1","issue":"31","issued":{"date-parts":[["2016"]]},"note":"Cited By :29\n\nExport Date: 8 September 2019","page":"26026-26037","title":"Introduction of a novel nanosized N-sulfonated Brönsted acidic catalyst for the promotion of the synthesis of polyhydroquinoline derivatives via Hantzsch condensation under solvent-free conditions","type":"article-journal","volume":"6"},"uris":["http://www.mendeley.com/documents/?uuid=a4e1b52c-b78c-4635-987c-f409c3e5c51a"]}],"mendeley":{"formattedCitation":"&lt;sup&gt;56&lt;/sup&gt;","plainTextFormattedCitation":"56","previouslyFormattedCitation":"&lt;sup&gt;57&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56</w:t>
            </w:r>
            <w:r>
              <w:rPr>
                <w:rFonts w:asciiTheme="majorBidi" w:hAnsiTheme="majorBidi" w:cstheme="majorBidi"/>
                <w:sz w:val="20"/>
                <w:szCs w:val="20"/>
              </w:rPr>
              <w:fldChar w:fldCharType="end"/>
            </w:r>
          </w:p>
        </w:tc>
      </w:tr>
      <w:tr w:rsidR="008E4545" w:rsidTr="008E4545">
        <w:tc>
          <w:tcPr>
            <w:tcW w:w="0" w:type="auto"/>
            <w:tcBorders>
              <w:top w:val="nil"/>
              <w:left w:val="nil"/>
              <w:bottom w:val="single" w:sz="4" w:space="0" w:color="auto"/>
              <w:right w:val="nil"/>
            </w:tcBorders>
            <w:vAlign w:val="center"/>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t>12</w:t>
            </w:r>
          </w:p>
        </w:tc>
        <w:tc>
          <w:tcPr>
            <w:tcW w:w="0" w:type="auto"/>
            <w:tcBorders>
              <w:top w:val="nil"/>
              <w:left w:val="nil"/>
              <w:bottom w:val="single" w:sz="4" w:space="0" w:color="auto"/>
              <w:right w:val="nil"/>
            </w:tcBorders>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440" w:dyaOrig="1185">
                <v:shape id="_x0000_i1050" type="#_x0000_t75" style="width:1in;height:59.1pt" o:ole="">
                  <v:imagedata r:id="rId49" o:title=""/>
                </v:shape>
                <o:OLEObject Type="Embed" ProgID="ChemDraw.Document.6.0" ShapeID="_x0000_i1050" DrawAspect="Content" ObjectID="_1681019051" r:id="rId50"/>
              </w:object>
            </w:r>
          </w:p>
        </w:tc>
        <w:tc>
          <w:tcPr>
            <w:tcW w:w="0" w:type="auto"/>
            <w:tcBorders>
              <w:top w:val="nil"/>
              <w:left w:val="nil"/>
              <w:bottom w:val="single" w:sz="4" w:space="0" w:color="auto"/>
              <w:right w:val="nil"/>
            </w:tcBorders>
            <w:hideMark/>
          </w:tcPr>
          <w:p w:rsidR="008E4545" w:rsidRDefault="008E4545">
            <w:pPr>
              <w:bidi w:val="0"/>
              <w:spacing w:line="480" w:lineRule="auto"/>
              <w:jc w:val="center"/>
              <w:rPr>
                <w:rFonts w:asciiTheme="majorBidi" w:hAnsiTheme="majorBidi" w:cstheme="majorBidi"/>
                <w:sz w:val="20"/>
                <w:szCs w:val="20"/>
              </w:rPr>
            </w:pPr>
            <w:r>
              <w:rPr>
                <w:rFonts w:asciiTheme="majorBidi" w:hAnsiTheme="majorBidi" w:cstheme="majorBidi"/>
                <w:sz w:val="20"/>
                <w:szCs w:val="20"/>
              </w:rPr>
              <w:object w:dxaOrig="1695" w:dyaOrig="2325">
                <v:shape id="_x0000_i1051" type="#_x0000_t75" style="width:84.9pt;height:116.05pt" o:ole="">
                  <v:imagedata r:id="rId51" o:title=""/>
                </v:shape>
                <o:OLEObject Type="Embed" ProgID="ChemDraw.Document.6.0" ShapeID="_x0000_i1051" DrawAspect="Content" ObjectID="_1681019052" r:id="rId52"/>
              </w:object>
            </w:r>
          </w:p>
        </w:tc>
        <w:tc>
          <w:tcPr>
            <w:tcW w:w="0" w:type="auto"/>
            <w:tcBorders>
              <w:top w:val="nil"/>
              <w:left w:val="nil"/>
              <w:bottom w:val="single" w:sz="4" w:space="0" w:color="auto"/>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90</w:t>
            </w:r>
          </w:p>
        </w:tc>
        <w:tc>
          <w:tcPr>
            <w:tcW w:w="0" w:type="auto"/>
            <w:tcBorders>
              <w:top w:val="nil"/>
              <w:left w:val="nil"/>
              <w:bottom w:val="single" w:sz="4" w:space="0" w:color="auto"/>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78</w:t>
            </w:r>
            <w:r>
              <w:rPr>
                <w:rFonts w:asciiTheme="majorBidi" w:hAnsiTheme="majorBidi" w:cstheme="majorBidi"/>
                <w:sz w:val="20"/>
                <w:szCs w:val="20"/>
                <w:vertAlign w:val="superscript"/>
              </w:rPr>
              <w:t>c</w:t>
            </w:r>
          </w:p>
        </w:tc>
        <w:tc>
          <w:tcPr>
            <w:tcW w:w="1437" w:type="dxa"/>
            <w:tcBorders>
              <w:top w:val="nil"/>
              <w:left w:val="nil"/>
              <w:bottom w:val="single" w:sz="4" w:space="0" w:color="auto"/>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298 = decomposition </w:t>
            </w:r>
          </w:p>
        </w:tc>
        <w:tc>
          <w:tcPr>
            <w:tcW w:w="1222" w:type="dxa"/>
            <w:tcBorders>
              <w:top w:val="nil"/>
              <w:left w:val="nil"/>
              <w:bottom w:val="single" w:sz="4" w:space="0" w:color="auto"/>
              <w:right w:val="nil"/>
            </w:tcBorders>
            <w:hideMark/>
          </w:tcPr>
          <w:p w:rsidR="008E4545" w:rsidRDefault="008E4545">
            <w:pPr>
              <w:bidi w:val="0"/>
              <w:spacing w:before="120" w:line="480" w:lineRule="auto"/>
              <w:jc w:val="center"/>
              <w:rPr>
                <w:rFonts w:asciiTheme="majorBidi" w:hAnsiTheme="majorBidi" w:cstheme="majorBidi"/>
                <w:sz w:val="20"/>
                <w:szCs w:val="20"/>
              </w:rPr>
            </w:pPr>
            <w:r>
              <w:rPr>
                <w:rFonts w:asciiTheme="majorBidi" w:hAnsiTheme="majorBidi" w:cstheme="majorBidi"/>
                <w:sz w:val="20"/>
                <w:szCs w:val="20"/>
              </w:rPr>
              <w:t xml:space="preserve">298-300 </w:t>
            </w:r>
            <w:r>
              <w:rPr>
                <w:rFonts w:asciiTheme="majorBidi" w:hAnsiTheme="majorBidi" w:cstheme="majorBidi"/>
                <w:sz w:val="20"/>
                <w:szCs w:val="20"/>
              </w:rPr>
              <w:fldChar w:fldCharType="begin" w:fldLock="1"/>
            </w:r>
            <w:r>
              <w:rPr>
                <w:rFonts w:asciiTheme="majorBidi" w:hAnsiTheme="majorBidi" w:cstheme="majorBidi"/>
                <w:sz w:val="20"/>
                <w:szCs w:val="20"/>
              </w:rPr>
              <w:instrText>ADDIN CSL_CITATION {"citationItems":[{"id":"ITEM-1","itemData":{"DOI":"10.1007/s11164-015-2150-y","ISSN":"15685675","abstract":"A green approach for the promotion of the synthesis of Hantzsch products using poly(vinylpyrrolidinium) perchlorate {[PVPH]ClO4} as a new modified polymeric catalyst in the absence of solvent is reported. The title catalyst is easily prepared and characterized using a variety of techniques including infrared spectra, X-ray diffraction, thermal gravimetric analysis, scanning electron microscopy, pH analysis, and Hammett acidity function. Some of the advantages of this novel synthetic method are: easy preparation of the catalyst, short reaction times, high to excellent yields of the products, simple and easy work-up procedure, and reusability of the catalyst.","author":[{"dropping-particle":"","family":"Abedini","given":"Masoumeh","non-dropping-particle":"","parse-names":false,"suffix":""},{"dropping-particle":"","family":"Shirini","given":"Farhad","non-dropping-particle":"","parse-names":false,"suffix":""},{"dropping-particle":"","family":"Mousapour","given":"Maryam","non-dropping-particle":"","parse-names":false,"suffix":""}],"container-title":"Research on Chemical Intermediates","id":"ITEM-1","issue":"3","issued":{"date-parts":[["2016"]]},"note":"Export Date: 29 July 2019","page":"2303-2315","publisher":"Springer Netherlands","publisher-place":"Department of Chemistry, College of Sciences, University of Guilan, Rasht, 41335, Iran","title":"Poly(vinylpyrrolidinium) perchlorate as a new and efficient catalyst for the promotion of the synthesis of polyhydroquinoline derivatives via Hantzsch condensation","type":"article","volume":"42"},"uris":["http://www.mendeley.com/documents/?uuid=315ed0d1-8f86-4368-a113-966ad8bbeeb8"]}],"mendeley":{"formattedCitation":"&lt;sup&gt;57&lt;/sup&gt;","plainTextFormattedCitation":"57","previouslyFormattedCitation":"&lt;sup&gt;58&lt;/sup&gt;"},"properties":{"noteIndex":0},"schema":"https://github.com/citation-style-language/schema/raw/master/csl-citation.json"}</w:instrText>
            </w:r>
            <w:r>
              <w:rPr>
                <w:rFonts w:asciiTheme="majorBidi" w:hAnsiTheme="majorBidi" w:cstheme="majorBidi"/>
                <w:sz w:val="20"/>
                <w:szCs w:val="20"/>
              </w:rPr>
              <w:fldChar w:fldCharType="separate"/>
            </w:r>
            <w:r>
              <w:rPr>
                <w:rFonts w:asciiTheme="majorBidi" w:hAnsiTheme="majorBidi" w:cstheme="majorBidi"/>
                <w:noProof/>
                <w:sz w:val="20"/>
                <w:szCs w:val="20"/>
                <w:vertAlign w:val="superscript"/>
              </w:rPr>
              <w:t>57</w:t>
            </w:r>
            <w:r>
              <w:rPr>
                <w:rFonts w:asciiTheme="majorBidi" w:hAnsiTheme="majorBidi" w:cstheme="majorBidi"/>
                <w:sz w:val="20"/>
                <w:szCs w:val="20"/>
              </w:rPr>
              <w:fldChar w:fldCharType="end"/>
            </w:r>
          </w:p>
        </w:tc>
      </w:tr>
    </w:tbl>
    <w:p w:rsidR="008E4545" w:rsidRDefault="008E4545" w:rsidP="008E4545">
      <w:pPr>
        <w:pStyle w:val="08ArticleText"/>
        <w:tabs>
          <w:tab w:val="left" w:pos="0"/>
        </w:tabs>
        <w:spacing w:after="120" w:line="240" w:lineRule="auto"/>
        <w:rPr>
          <w:rFonts w:asciiTheme="majorBidi" w:hAnsiTheme="majorBidi" w:cstheme="majorBidi"/>
          <w:sz w:val="16"/>
          <w:szCs w:val="16"/>
          <w:vertAlign w:val="superscript"/>
          <w:lang w:val="en-US"/>
        </w:rPr>
      </w:pPr>
      <w:r>
        <w:rPr>
          <w:rFonts w:asciiTheme="majorBidi" w:hAnsiTheme="majorBidi" w:cstheme="majorBidi"/>
          <w:sz w:val="16"/>
          <w:szCs w:val="16"/>
          <w:vertAlign w:val="superscript"/>
          <w:lang w:val="en-US"/>
        </w:rPr>
        <w:t>b</w:t>
      </w:r>
      <w:r>
        <w:rPr>
          <w:rFonts w:asciiTheme="majorBidi" w:hAnsiTheme="majorBidi" w:cstheme="majorBidi"/>
          <w:sz w:val="16"/>
          <w:szCs w:val="16"/>
          <w:lang w:val="en-US"/>
        </w:rPr>
        <w:t xml:space="preserve"> Isolated yields.</w:t>
      </w:r>
    </w:p>
    <w:p w:rsidR="008E4545" w:rsidRDefault="008E4545" w:rsidP="008E4545">
      <w:pPr>
        <w:pStyle w:val="08ArticleText"/>
        <w:tabs>
          <w:tab w:val="left" w:pos="0"/>
        </w:tabs>
        <w:spacing w:after="120" w:line="240" w:lineRule="auto"/>
        <w:rPr>
          <w:rFonts w:asciiTheme="majorBidi" w:hAnsiTheme="majorBidi" w:cstheme="majorBidi"/>
          <w:sz w:val="16"/>
          <w:szCs w:val="16"/>
          <w:lang w:val="en-US"/>
        </w:rPr>
      </w:pPr>
      <w:r>
        <w:rPr>
          <w:rFonts w:asciiTheme="majorBidi" w:hAnsiTheme="majorBidi" w:cstheme="majorBidi"/>
          <w:sz w:val="16"/>
          <w:szCs w:val="16"/>
          <w:vertAlign w:val="superscript"/>
          <w:lang w:val="en-US"/>
        </w:rPr>
        <w:t>b</w:t>
      </w:r>
      <w:r>
        <w:rPr>
          <w:rFonts w:asciiTheme="majorBidi" w:hAnsiTheme="majorBidi" w:cstheme="majorBidi"/>
          <w:sz w:val="16"/>
          <w:szCs w:val="16"/>
          <w:rtl/>
          <w:lang w:val="en-US"/>
        </w:rPr>
        <w:t xml:space="preserve"> </w:t>
      </w:r>
      <w:r>
        <w:rPr>
          <w:rFonts w:asciiTheme="majorBidi" w:hAnsiTheme="majorBidi" w:cstheme="majorBidi"/>
          <w:sz w:val="16"/>
          <w:szCs w:val="16"/>
          <w:lang w:val="en-US"/>
        </w:rPr>
        <w:t xml:space="preserve">Reaction conditions: Aromatic aldehyde (1mmol), </w:t>
      </w:r>
      <w:proofErr w:type="spellStart"/>
      <w:r>
        <w:rPr>
          <w:rFonts w:asciiTheme="majorBidi" w:hAnsiTheme="majorBidi" w:cstheme="majorBidi"/>
          <w:sz w:val="16"/>
          <w:szCs w:val="16"/>
          <w:lang w:val="en-US"/>
        </w:rPr>
        <w:t>dimedone</w:t>
      </w:r>
      <w:proofErr w:type="spellEnd"/>
      <w:r>
        <w:rPr>
          <w:rFonts w:asciiTheme="majorBidi" w:hAnsiTheme="majorBidi" w:cstheme="majorBidi"/>
          <w:sz w:val="16"/>
          <w:szCs w:val="16"/>
          <w:lang w:val="en-US"/>
        </w:rPr>
        <w:t xml:space="preserve"> (1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xml:space="preserve">), ethyl acetoacetate (1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xml:space="preserve">), ammonium acetate (1.2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Ag-</w:t>
      </w:r>
      <w:proofErr w:type="gramStart"/>
      <w:r>
        <w:rPr>
          <w:rFonts w:asciiTheme="majorBidi" w:hAnsiTheme="majorBidi" w:cstheme="majorBidi"/>
          <w:sz w:val="16"/>
          <w:szCs w:val="16"/>
          <w:lang w:val="en-US"/>
        </w:rPr>
        <w:t>CP  (</w:t>
      </w:r>
      <w:proofErr w:type="gramEnd"/>
      <w:r>
        <w:rPr>
          <w:rFonts w:asciiTheme="majorBidi" w:hAnsiTheme="majorBidi" w:cstheme="majorBidi"/>
          <w:sz w:val="16"/>
          <w:szCs w:val="16"/>
          <w:lang w:val="en-US"/>
        </w:rPr>
        <w:t xml:space="preserve">7 mg) and </w:t>
      </w:r>
      <w:proofErr w:type="spellStart"/>
      <w:r>
        <w:rPr>
          <w:rFonts w:asciiTheme="majorBidi" w:hAnsiTheme="majorBidi" w:cstheme="majorBidi"/>
          <w:sz w:val="16"/>
          <w:szCs w:val="16"/>
          <w:lang w:val="en-US"/>
        </w:rPr>
        <w:t>EtOH</w:t>
      </w:r>
      <w:proofErr w:type="spellEnd"/>
      <w:r>
        <w:rPr>
          <w:rFonts w:asciiTheme="majorBidi" w:hAnsiTheme="majorBidi" w:cstheme="majorBidi"/>
          <w:sz w:val="16"/>
          <w:szCs w:val="16"/>
          <w:lang w:val="en-US"/>
        </w:rPr>
        <w:t xml:space="preserve"> (3mL) at 80°C reflux conditions.</w:t>
      </w:r>
    </w:p>
    <w:p w:rsidR="008E4545" w:rsidRDefault="008E4545" w:rsidP="008E4545">
      <w:pPr>
        <w:pStyle w:val="08ArticleText"/>
        <w:tabs>
          <w:tab w:val="left" w:pos="0"/>
        </w:tabs>
        <w:spacing w:after="120" w:line="240" w:lineRule="auto"/>
        <w:rPr>
          <w:rFonts w:asciiTheme="majorBidi" w:hAnsiTheme="majorBidi" w:cstheme="majorBidi"/>
          <w:sz w:val="16"/>
          <w:szCs w:val="16"/>
          <w:lang w:val="en-US"/>
        </w:rPr>
      </w:pPr>
      <w:r>
        <w:rPr>
          <w:rFonts w:asciiTheme="majorBidi" w:hAnsiTheme="majorBidi" w:cstheme="majorBidi"/>
          <w:sz w:val="16"/>
          <w:szCs w:val="16"/>
          <w:vertAlign w:val="superscript"/>
          <w:lang w:val="en-US"/>
        </w:rPr>
        <w:t>c</w:t>
      </w:r>
      <w:r>
        <w:rPr>
          <w:rFonts w:asciiTheme="majorBidi" w:hAnsiTheme="majorBidi" w:cstheme="majorBidi"/>
          <w:sz w:val="16"/>
          <w:szCs w:val="16"/>
          <w:rtl/>
          <w:lang w:val="en-US"/>
        </w:rPr>
        <w:t xml:space="preserve"> </w:t>
      </w:r>
      <w:r>
        <w:rPr>
          <w:rFonts w:asciiTheme="majorBidi" w:hAnsiTheme="majorBidi" w:cstheme="majorBidi"/>
          <w:sz w:val="16"/>
          <w:szCs w:val="16"/>
          <w:lang w:val="en-US"/>
        </w:rPr>
        <w:t xml:space="preserve">Reaction conditions: Aromatic aldehyde (1mmol), </w:t>
      </w:r>
      <w:proofErr w:type="spellStart"/>
      <w:r>
        <w:rPr>
          <w:rFonts w:asciiTheme="majorBidi" w:hAnsiTheme="majorBidi" w:cstheme="majorBidi"/>
          <w:sz w:val="16"/>
          <w:szCs w:val="16"/>
          <w:lang w:val="en-US"/>
        </w:rPr>
        <w:t>dimedone</w:t>
      </w:r>
      <w:proofErr w:type="spellEnd"/>
      <w:r>
        <w:rPr>
          <w:rFonts w:asciiTheme="majorBidi" w:hAnsiTheme="majorBidi" w:cstheme="majorBidi"/>
          <w:sz w:val="16"/>
          <w:szCs w:val="16"/>
          <w:lang w:val="en-US"/>
        </w:rPr>
        <w:t xml:space="preserve"> (2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xml:space="preserve">), ethyl acetoacetate (2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xml:space="preserve">), ammonium acetate (2.4 </w:t>
      </w:r>
      <w:proofErr w:type="spellStart"/>
      <w:r>
        <w:rPr>
          <w:rFonts w:asciiTheme="majorBidi" w:hAnsiTheme="majorBidi" w:cstheme="majorBidi"/>
          <w:sz w:val="16"/>
          <w:szCs w:val="16"/>
          <w:lang w:val="en-US"/>
        </w:rPr>
        <w:t>mmol</w:t>
      </w:r>
      <w:proofErr w:type="spellEnd"/>
      <w:r>
        <w:rPr>
          <w:rFonts w:asciiTheme="majorBidi" w:hAnsiTheme="majorBidi" w:cstheme="majorBidi"/>
          <w:sz w:val="16"/>
          <w:szCs w:val="16"/>
          <w:lang w:val="en-US"/>
        </w:rPr>
        <w:t>), Ag-</w:t>
      </w:r>
      <w:proofErr w:type="gramStart"/>
      <w:r>
        <w:rPr>
          <w:rFonts w:asciiTheme="majorBidi" w:hAnsiTheme="majorBidi" w:cstheme="majorBidi"/>
          <w:sz w:val="16"/>
          <w:szCs w:val="16"/>
          <w:lang w:val="en-US"/>
        </w:rPr>
        <w:t>CP  (</w:t>
      </w:r>
      <w:proofErr w:type="gramEnd"/>
      <w:r>
        <w:rPr>
          <w:rFonts w:asciiTheme="majorBidi" w:hAnsiTheme="majorBidi" w:cstheme="majorBidi"/>
          <w:sz w:val="16"/>
          <w:szCs w:val="16"/>
          <w:lang w:val="en-US"/>
        </w:rPr>
        <w:t xml:space="preserve">14 mg) and </w:t>
      </w:r>
      <w:proofErr w:type="spellStart"/>
      <w:r>
        <w:rPr>
          <w:rFonts w:asciiTheme="majorBidi" w:hAnsiTheme="majorBidi" w:cstheme="majorBidi"/>
          <w:sz w:val="16"/>
          <w:szCs w:val="16"/>
          <w:lang w:val="en-US"/>
        </w:rPr>
        <w:t>EtOH</w:t>
      </w:r>
      <w:proofErr w:type="spellEnd"/>
      <w:r>
        <w:rPr>
          <w:rFonts w:asciiTheme="majorBidi" w:hAnsiTheme="majorBidi" w:cstheme="majorBidi"/>
          <w:sz w:val="16"/>
          <w:szCs w:val="16"/>
          <w:lang w:val="en-US"/>
        </w:rPr>
        <w:t xml:space="preserve"> (6mL) at 80°C reflux conditions.</w:t>
      </w:r>
    </w:p>
    <w:p w:rsidR="008E4545" w:rsidRDefault="008E4545" w:rsidP="008E4545">
      <w:pPr>
        <w:jc w:val="both"/>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pPr>
        <w:rPr>
          <w:rtl/>
        </w:rPr>
      </w:pPr>
    </w:p>
    <w:p w:rsidR="008E4545" w:rsidRDefault="008E4545" w:rsidP="008E4545">
      <w:pPr>
        <w:pStyle w:val="08ArticleText"/>
        <w:spacing w:after="120" w:line="480" w:lineRule="auto"/>
        <w:jc w:val="center"/>
        <w:rPr>
          <w:sz w:val="24"/>
          <w:szCs w:val="24"/>
          <w:lang w:bidi="fa-IR"/>
        </w:rPr>
      </w:pPr>
      <w:r>
        <w:rPr>
          <w:b/>
          <w:bCs/>
          <w:w w:val="100"/>
          <w:sz w:val="24"/>
          <w:szCs w:val="24"/>
          <w:lang w:val="en-US"/>
        </w:rPr>
        <w:lastRenderedPageBreak/>
        <w:t>Table 3.</w:t>
      </w:r>
      <w:r>
        <w:rPr>
          <w:sz w:val="24"/>
          <w:szCs w:val="24"/>
        </w:rPr>
        <w:t xml:space="preserve"> Comparison of the synthesis of </w:t>
      </w:r>
      <w:proofErr w:type="spellStart"/>
      <w:r>
        <w:rPr>
          <w:sz w:val="24"/>
          <w:szCs w:val="24"/>
        </w:rPr>
        <w:t>polyhydroquinolines</w:t>
      </w:r>
      <w:proofErr w:type="spellEnd"/>
      <w:r>
        <w:rPr>
          <w:sz w:val="24"/>
          <w:szCs w:val="24"/>
        </w:rPr>
        <w:t xml:space="preserve"> in the presence of </w:t>
      </w:r>
      <w:r>
        <w:rPr>
          <w:kern w:val="24"/>
          <w:sz w:val="24"/>
          <w:szCs w:val="24"/>
        </w:rPr>
        <w:t>various catalysts</w:t>
      </w:r>
      <w:r>
        <w:rPr>
          <w:sz w:val="24"/>
          <w:szCs w:val="24"/>
        </w:rPr>
        <w:t>.</w:t>
      </w:r>
    </w:p>
    <w:tbl>
      <w:tblPr>
        <w:tblW w:w="0" w:type="auto"/>
        <w:jc w:val="center"/>
        <w:tblLook w:val="04A0" w:firstRow="1" w:lastRow="0" w:firstColumn="1" w:lastColumn="0" w:noHBand="0" w:noVBand="1"/>
      </w:tblPr>
      <w:tblGrid>
        <w:gridCol w:w="716"/>
        <w:gridCol w:w="2514"/>
        <w:gridCol w:w="1177"/>
        <w:gridCol w:w="1120"/>
        <w:gridCol w:w="1033"/>
      </w:tblGrid>
      <w:tr w:rsidR="008E4545" w:rsidTr="008E4545">
        <w:trPr>
          <w:trHeight w:val="911"/>
          <w:jc w:val="center"/>
        </w:trPr>
        <w:tc>
          <w:tcPr>
            <w:tcW w:w="0" w:type="auto"/>
            <w:tcBorders>
              <w:top w:val="single" w:sz="4" w:space="0" w:color="auto"/>
              <w:left w:val="nil"/>
              <w:bottom w:val="single" w:sz="4" w:space="0" w:color="auto"/>
              <w:right w:val="nil"/>
            </w:tcBorders>
            <w:hideMark/>
          </w:tcPr>
          <w:p w:rsidR="008E4545" w:rsidRDefault="008E4545">
            <w:pPr>
              <w:bidi w:val="0"/>
              <w:spacing w:after="0" w:line="480" w:lineRule="auto"/>
              <w:contextualSpacing/>
              <w:jc w:val="center"/>
              <w:rPr>
                <w:rFonts w:ascii="Times New Roman" w:hAnsi="Times New Roman" w:cs="Times New Roman"/>
                <w:b/>
                <w:bCs/>
                <w:sz w:val="20"/>
                <w:szCs w:val="20"/>
              </w:rPr>
            </w:pPr>
            <w:r>
              <w:rPr>
                <w:rFonts w:ascii="Times New Roman" w:hAnsi="Times New Roman" w:cs="Times New Roman"/>
                <w:b/>
                <w:bCs/>
                <w:sz w:val="20"/>
                <w:szCs w:val="20"/>
              </w:rPr>
              <w:t>Entry</w:t>
            </w:r>
          </w:p>
        </w:tc>
        <w:tc>
          <w:tcPr>
            <w:tcW w:w="0" w:type="auto"/>
            <w:tcBorders>
              <w:top w:val="single" w:sz="4" w:space="0" w:color="auto"/>
              <w:left w:val="nil"/>
              <w:bottom w:val="single" w:sz="4" w:space="0" w:color="auto"/>
              <w:right w:val="nil"/>
            </w:tcBorders>
            <w:hideMark/>
          </w:tcPr>
          <w:p w:rsidR="008E4545" w:rsidRDefault="008E4545">
            <w:pPr>
              <w:bidi w:val="0"/>
              <w:spacing w:after="0" w:line="480" w:lineRule="auto"/>
              <w:contextualSpacing/>
              <w:jc w:val="center"/>
              <w:rPr>
                <w:rFonts w:ascii="Times New Roman" w:hAnsi="Times New Roman" w:cs="Times New Roman"/>
                <w:b/>
                <w:bCs/>
                <w:sz w:val="20"/>
                <w:szCs w:val="20"/>
              </w:rPr>
            </w:pPr>
            <w:r>
              <w:rPr>
                <w:rFonts w:ascii="Times New Roman" w:hAnsi="Times New Roman" w:cs="Times New Roman"/>
                <w:b/>
                <w:bCs/>
                <w:sz w:val="20"/>
                <w:szCs w:val="20"/>
              </w:rPr>
              <w:t>Catalyst</w:t>
            </w:r>
          </w:p>
        </w:tc>
        <w:tc>
          <w:tcPr>
            <w:tcW w:w="0" w:type="auto"/>
            <w:tcBorders>
              <w:top w:val="single" w:sz="4" w:space="0" w:color="auto"/>
              <w:left w:val="nil"/>
              <w:bottom w:val="single" w:sz="4" w:space="0" w:color="auto"/>
              <w:right w:val="nil"/>
            </w:tcBorders>
            <w:hideMark/>
          </w:tcPr>
          <w:p w:rsidR="008E4545" w:rsidRDefault="008E4545">
            <w:pPr>
              <w:bidi w:val="0"/>
              <w:spacing w:after="0" w:line="480" w:lineRule="auto"/>
              <w:contextualSpacing/>
              <w:jc w:val="center"/>
              <w:rPr>
                <w:rFonts w:ascii="Times New Roman" w:hAnsi="Times New Roman" w:cs="Times New Roman"/>
                <w:b/>
                <w:bCs/>
                <w:sz w:val="20"/>
                <w:szCs w:val="20"/>
              </w:rPr>
            </w:pPr>
            <w:r>
              <w:rPr>
                <w:rFonts w:ascii="Times New Roman" w:hAnsi="Times New Roman" w:cs="Times New Roman"/>
                <w:b/>
                <w:bCs/>
                <w:sz w:val="20"/>
                <w:szCs w:val="20"/>
              </w:rPr>
              <w:t>Time (min)</w:t>
            </w:r>
          </w:p>
        </w:tc>
        <w:tc>
          <w:tcPr>
            <w:tcW w:w="0" w:type="auto"/>
            <w:tcBorders>
              <w:top w:val="single" w:sz="4" w:space="0" w:color="auto"/>
              <w:left w:val="nil"/>
              <w:bottom w:val="single" w:sz="4" w:space="0" w:color="auto"/>
              <w:right w:val="nil"/>
            </w:tcBorders>
            <w:hideMark/>
          </w:tcPr>
          <w:p w:rsidR="008E4545" w:rsidRDefault="008E4545">
            <w:pPr>
              <w:bidi w:val="0"/>
              <w:spacing w:after="0" w:line="480" w:lineRule="auto"/>
              <w:contextualSpacing/>
              <w:jc w:val="center"/>
              <w:rPr>
                <w:rFonts w:ascii="Times New Roman" w:hAnsi="Times New Roman" w:cs="Times New Roman"/>
                <w:b/>
                <w:bCs/>
                <w:sz w:val="20"/>
                <w:szCs w:val="20"/>
              </w:rPr>
            </w:pPr>
            <w:r>
              <w:rPr>
                <w:rFonts w:ascii="Times New Roman" w:hAnsi="Times New Roman" w:cs="Times New Roman"/>
                <w:b/>
                <w:bCs/>
                <w:sz w:val="20"/>
                <w:szCs w:val="20"/>
              </w:rPr>
              <w:t>Yield (%)</w:t>
            </w:r>
            <w:r>
              <w:rPr>
                <w:rFonts w:ascii="Times New Roman" w:hAnsi="Times New Roman" w:cs="Times New Roman"/>
                <w:b/>
                <w:bCs/>
                <w:sz w:val="20"/>
                <w:szCs w:val="20"/>
                <w:vertAlign w:val="superscript"/>
              </w:rPr>
              <w:t>a</w:t>
            </w:r>
          </w:p>
        </w:tc>
        <w:tc>
          <w:tcPr>
            <w:tcW w:w="0" w:type="auto"/>
            <w:tcBorders>
              <w:top w:val="single" w:sz="4" w:space="0" w:color="auto"/>
              <w:left w:val="nil"/>
              <w:bottom w:val="single" w:sz="4" w:space="0" w:color="auto"/>
              <w:right w:val="nil"/>
            </w:tcBorders>
            <w:hideMark/>
          </w:tcPr>
          <w:p w:rsidR="008E4545" w:rsidRDefault="008E4545">
            <w:pPr>
              <w:bidi w:val="0"/>
              <w:spacing w:after="0" w:line="480" w:lineRule="auto"/>
              <w:contextualSpacing/>
              <w:jc w:val="center"/>
              <w:rPr>
                <w:rFonts w:ascii="Times New Roman" w:hAnsi="Times New Roman" w:cs="Times New Roman"/>
                <w:b/>
                <w:bCs/>
                <w:sz w:val="20"/>
                <w:szCs w:val="20"/>
              </w:rPr>
            </w:pPr>
            <w:r>
              <w:rPr>
                <w:rFonts w:ascii="Times New Roman" w:hAnsi="Times New Roman" w:cs="Times New Roman"/>
                <w:b/>
                <w:bCs/>
                <w:sz w:val="20"/>
                <w:szCs w:val="20"/>
              </w:rPr>
              <w:t>Ref</w:t>
            </w:r>
          </w:p>
        </w:tc>
      </w:tr>
      <w:tr w:rsidR="008E4545" w:rsidTr="008E4545">
        <w:trPr>
          <w:trHeight w:val="772"/>
          <w:jc w:val="center"/>
        </w:trPr>
        <w:tc>
          <w:tcPr>
            <w:tcW w:w="0" w:type="auto"/>
          </w:tcPr>
          <w:p w:rsidR="008E4545" w:rsidRDefault="008E4545" w:rsidP="008E4545">
            <w:pPr>
              <w:pStyle w:val="ListParagraph"/>
              <w:numPr>
                <w:ilvl w:val="0"/>
                <w:numId w:val="2"/>
              </w:numPr>
              <w:spacing w:before="120" w:after="100" w:afterAutospacing="1" w:line="240" w:lineRule="auto"/>
              <w:ind w:left="170"/>
              <w:jc w:val="center"/>
              <w:rPr>
                <w:rFonts w:ascii="Times New Roman" w:hAnsi="Times New Roman" w:cs="Times New Roman"/>
                <w:sz w:val="20"/>
                <w:szCs w:val="20"/>
                <w:lang w:bidi="fa-IR"/>
              </w:rPr>
            </w:pPr>
          </w:p>
        </w:tc>
        <w:tc>
          <w:tcPr>
            <w:tcW w:w="0" w:type="auto"/>
            <w:hideMark/>
          </w:tcPr>
          <w:p w:rsidR="008E4545" w:rsidRDefault="008E4545">
            <w:pPr>
              <w:bidi w:val="0"/>
              <w:spacing w:before="120"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FeAl</w:t>
            </w:r>
            <w:r>
              <w:rPr>
                <w:rFonts w:ascii="Times New Roman" w:hAnsi="Times New Roman" w:cs="Times New Roman"/>
                <w:sz w:val="20"/>
                <w:szCs w:val="20"/>
                <w:vertAlign w:val="subscript"/>
              </w:rPr>
              <w:t>2</w:t>
            </w:r>
            <w:r>
              <w:rPr>
                <w:rFonts w:ascii="Times New Roman" w:hAnsi="Times New Roman" w:cs="Times New Roman"/>
                <w:sz w:val="20"/>
                <w:szCs w:val="20"/>
              </w:rPr>
              <w:t>O</w:t>
            </w:r>
            <w:r>
              <w:rPr>
                <w:rFonts w:ascii="Times New Roman" w:hAnsi="Times New Roman" w:cs="Times New Roman"/>
                <w:sz w:val="20"/>
                <w:szCs w:val="20"/>
                <w:vertAlign w:val="subscript"/>
              </w:rPr>
              <w:t>4</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180</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90</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{"citationItems":[{"id":"ITEM-1","itemData":{"DOI":"10.1007/s11164-019-03930-0","ISBN":"0123456789","ISSN":"0922-6168","abstract":"The spinel ferrite FeAl2O4 (hercynite) MNPs (magnetic nanoparticles) were applied as a reusable catalytic system for the one-pot synthesis of benzo[a]pyrano[2,3-c] phenazine and polyhydroquinoline derivatives via a multicomponent reaction under green reaction conditions. The structure of the prepared nanocatalyst has been characterized by XRD, FTIR, SEM, EDS, BET, and VSM techniques. The FeAl2O4 MNPs act as Lewis acids and offer several advantages such as high yields of products, short reaction times, and easy workup procedure. Moreover, the recycled nanocatalyst was used at least four times without significant loss of its activity.","author":[{"dropping-particle":"","family":"Ghorbani-Choghamarani","given":"Arash","non-dropping-particle":"","parse-names":false,"suffix":""},{"dropping-particle":"","family":"Mohammadi","given":"Masoud","non-dropping-particle":"","parse-names":false,"suffix":""},{"dropping-particle":"","family":"Shiri","given":"Lotfi","non-dropping-particle":"","parse-names":false,"suffix":""},{"dropping-particle":"","family":"Taherinia","given":"Zahra","non-dropping-particle":"","parse-names":false,"suffix":""}],"container-title":"Research on Chemical Intermediates","id":"ITEM-1","issue":"11","issued":{"date-parts":[["2019","11","22"]]},"note":"From Duplicate 1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 Mohammadi, M; Shiri, L; Taherinia, Z)\n\nExport Date: 8 September 2019\n\nFrom Duplicate 2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Arash; Mohammadi, Masoud; Shiri, Lotfi; Taherinia, Zahra)\n\nExport Date: 8 September 2019\n\nFrom Duplicate 2 (Synthesis and characterization of spinel FeAl2O4 (hercynite) magnetic nanoparticles and their application in multicomponent reactions - Ghorbani-Choghamarani, Arash; Mohammadi, Masoud; Shiri, Lotfi; Taherinia, Zahra)\n\nFrom Duplicate 1 (Synthesis and characterization of spinel FeAl2O4 (hercynite) magnetic nanoparticles and their application in multicomponent reactions - Ghorbani-Choghamarani, Arash; Mohammadi, Masoud; Shiri, Lotfi; Taherinia, Zahra)\n\nExport Date: 8 September 2019","page":"5705-5723","publisher":"Springer Netherlands","title":"Synthesis and characterization of spinel FeAl2O4 (hercynite) magnetic nanoparticles and their application in multicomponent reactions","type":"article-journal","volume":"45"},"uris":["http://www.mendeley.com/documents/?uuid=968d7d87-8d03-44a9-88af-4ec15a1a01f6"]}],"mendeley":{"formattedCitation":"&lt;sup&gt;32&lt;/sup&gt;","plainTextFormattedCitation":"32","previouslyFormattedCitation":"&lt;sup&gt;32&lt;/sup&gt;"},"properties":{"noteIndex":0},"schema":"https://github.com/citation-style-language/schema/raw/master/csl-citation.json"}</w:instrText>
            </w:r>
            <w:r>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32</w:t>
            </w:r>
            <w:r>
              <w:rPr>
                <w:rFonts w:ascii="Times New Roman" w:hAnsi="Times New Roman" w:cs="Times New Roman"/>
                <w:sz w:val="20"/>
                <w:szCs w:val="20"/>
              </w:rPr>
              <w:fldChar w:fldCharType="end"/>
            </w:r>
          </w:p>
        </w:tc>
      </w:tr>
      <w:tr w:rsidR="008E4545" w:rsidTr="008E4545">
        <w:trPr>
          <w:trHeight w:val="772"/>
          <w:jc w:val="center"/>
        </w:trPr>
        <w:tc>
          <w:tcPr>
            <w:tcW w:w="0" w:type="auto"/>
          </w:tcPr>
          <w:p w:rsidR="008E4545" w:rsidRDefault="008E4545" w:rsidP="008E4545">
            <w:pPr>
              <w:pStyle w:val="ListParagraph"/>
              <w:numPr>
                <w:ilvl w:val="0"/>
                <w:numId w:val="2"/>
              </w:numPr>
              <w:spacing w:before="120" w:after="100" w:afterAutospacing="1" w:line="240" w:lineRule="auto"/>
              <w:ind w:left="170"/>
              <w:jc w:val="center"/>
              <w:rPr>
                <w:rFonts w:ascii="Times New Roman" w:hAnsi="Times New Roman" w:cs="Times New Roman"/>
                <w:sz w:val="20"/>
                <w:szCs w:val="20"/>
                <w:lang w:bidi="fa-IR"/>
              </w:rPr>
            </w:pPr>
          </w:p>
        </w:tc>
        <w:tc>
          <w:tcPr>
            <w:tcW w:w="0" w:type="auto"/>
            <w:hideMark/>
          </w:tcPr>
          <w:p w:rsidR="008E4545" w:rsidRDefault="008E4545">
            <w:pPr>
              <w:bidi w:val="0"/>
              <w:spacing w:before="120"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Fe</w:t>
            </w:r>
            <w:r>
              <w:rPr>
                <w:rFonts w:ascii="Times New Roman" w:hAnsi="Times New Roman" w:cs="Times New Roman"/>
                <w:sz w:val="20"/>
                <w:szCs w:val="20"/>
                <w:vertAlign w:val="subscript"/>
              </w:rPr>
              <w:t>3</w:t>
            </w:r>
            <w:r>
              <w:rPr>
                <w:rFonts w:ascii="Times New Roman" w:hAnsi="Times New Roman" w:cs="Times New Roman"/>
                <w:sz w:val="20"/>
                <w:szCs w:val="20"/>
              </w:rPr>
              <w:t>O</w:t>
            </w:r>
            <w:r>
              <w:rPr>
                <w:rFonts w:ascii="Times New Roman" w:hAnsi="Times New Roman" w:cs="Times New Roman"/>
                <w:sz w:val="20"/>
                <w:szCs w:val="20"/>
                <w:vertAlign w:val="subscript"/>
              </w:rPr>
              <w:t>4</w:t>
            </w:r>
            <w:r>
              <w:rPr>
                <w:rFonts w:ascii="Times New Roman" w:hAnsi="Times New Roman" w:cs="Times New Roman"/>
                <w:sz w:val="20"/>
                <w:szCs w:val="20"/>
              </w:rPr>
              <w:t>@D-NH-(CH</w:t>
            </w:r>
            <w:r>
              <w:rPr>
                <w:rFonts w:ascii="Times New Roman" w:hAnsi="Times New Roman" w:cs="Times New Roman"/>
                <w:sz w:val="20"/>
                <w:szCs w:val="20"/>
                <w:vertAlign w:val="subscript"/>
              </w:rPr>
              <w:t>2</w:t>
            </w:r>
            <w:r>
              <w:rPr>
                <w:rFonts w:ascii="Times New Roman" w:hAnsi="Times New Roman" w:cs="Times New Roman"/>
                <w:sz w:val="20"/>
                <w:szCs w:val="20"/>
              </w:rPr>
              <w:t>)</w:t>
            </w:r>
            <w:r>
              <w:rPr>
                <w:rFonts w:ascii="Times New Roman" w:hAnsi="Times New Roman" w:cs="Times New Roman"/>
                <w:sz w:val="20"/>
                <w:szCs w:val="20"/>
                <w:vertAlign w:val="subscript"/>
              </w:rPr>
              <w:t>4</w:t>
            </w:r>
            <w:r>
              <w:rPr>
                <w:rFonts w:ascii="Times New Roman" w:hAnsi="Times New Roman" w:cs="Times New Roman"/>
                <w:sz w:val="20"/>
                <w:szCs w:val="20"/>
              </w:rPr>
              <w:t>-SO</w:t>
            </w:r>
            <w:r>
              <w:rPr>
                <w:rFonts w:ascii="Times New Roman" w:hAnsi="Times New Roman" w:cs="Times New Roman"/>
                <w:sz w:val="20"/>
                <w:szCs w:val="20"/>
                <w:vertAlign w:val="subscript"/>
              </w:rPr>
              <w:t>3</w:t>
            </w:r>
            <w:r>
              <w:rPr>
                <w:rFonts w:ascii="Times New Roman" w:hAnsi="Times New Roman" w:cs="Times New Roman"/>
                <w:sz w:val="20"/>
                <w:szCs w:val="20"/>
              </w:rPr>
              <w:t>H</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90</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86</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{"citationItems":[{"id":"ITEM-1","itemData":{"DOI":"10.1002/aoc.4661","ISSN":"10990739","abstract":"An SO 3 H-functionalized nano-MGO-D-NH 2 catalyst has been prepared by multi-functionalization of a magnetic graphene oxide (GO) nanohybrid and evaluated in the synthesis of tetrahydrobenzo[b]pyran and pyrano[2,3-d]pyrimidinone derivatives. The GO/Fe 3 O 4 (MGO) hybrid was prepared via an improved Hummers method followed by the covalent attachment of 1,4-butanesultone with the amino group of the as-prepared polyamidoamine-functionalized MGO (MGO-D-NH 2 ) to give double-functionalized magnetic nanoparticles as the catalyst. The prepared nanoparticles were characterized to confirm their synthesis and to precisely determine their physicochemical properties. In summary, the prepared catalyst showed marked recyclability and catalytic performance in terms of reaction time and yield of products. The results of this study are hoped to aid the development of a new class of heterogeneous catalysts to show high performance and as excellent candidates for industrial applications.","author":[{"dropping-particle":"","family":"Alinezhad","given":"Heshmatollah","non-dropping-particle":"","parse-names":false,"suffix":""},{"dropping-particle":"","family":"Tarahomi","given":"Mehrasa","non-dropping-particle":"","parse-names":false,"suffix":""},{"dropping-particle":"","family":"Maleki","given":"Behrooz","non-dropping-particle":"","parse-names":false,"suffix":""},{"dropping-particle":"","family":"Amiri","given":"Amirhassan","non-dropping-particle":"","parse-names":false,"suffix":""}],"container-title":"Applied Organometallic Chemistry","id":"ITEM-1","issue":"3","issued":{"date-parts":[["2019"]]},"note":"Cited By :1\n\nExport Date: 20 July 2019","publisher":"John Wiley and Sons Ltd","publisher-place":"Faculty of Chemistry, University of Mazandaran, PO Box 47416-95447, Babolsar, Iran","title":"SO 3 H-functionalized nano-MGO-D-NH 2 : Synthesis, characterization and application for one-pot synthesis of pyrano[2,3-d]pyrimidinone and tetrahydrobenzo[b]pyran derivatives in aqueous media","type":"article-journal","volume":"33"},"uris":["http://www.mendeley.com/documents/?uuid=e73bfd70-19a5-4d88-af9b-6561ae7fa05b"]}],"mendeley":{"formattedCitation":"&lt;sup&gt;58&lt;/sup&gt;","plainTextFormattedCitation":"58","previouslyFormattedCitation":"&lt;sup&gt;59&lt;/sup&gt;"},"properties":{"noteIndex":0},"schema":"https://github.com/citation-style-language/schema/raw/master/csl-citation.json"}</w:instrText>
            </w:r>
            <w:r>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58</w:t>
            </w:r>
            <w:r>
              <w:rPr>
                <w:rFonts w:ascii="Times New Roman" w:hAnsi="Times New Roman" w:cs="Times New Roman"/>
                <w:sz w:val="20"/>
                <w:szCs w:val="20"/>
              </w:rPr>
              <w:fldChar w:fldCharType="end"/>
            </w:r>
          </w:p>
        </w:tc>
      </w:tr>
      <w:tr w:rsidR="008E4545" w:rsidTr="008E4545">
        <w:trPr>
          <w:trHeight w:val="772"/>
          <w:jc w:val="center"/>
        </w:trPr>
        <w:tc>
          <w:tcPr>
            <w:tcW w:w="0" w:type="auto"/>
          </w:tcPr>
          <w:p w:rsidR="008E4545" w:rsidRDefault="008E4545" w:rsidP="008E4545">
            <w:pPr>
              <w:pStyle w:val="ListParagraph"/>
              <w:numPr>
                <w:ilvl w:val="0"/>
                <w:numId w:val="2"/>
              </w:numPr>
              <w:spacing w:before="120" w:after="100" w:afterAutospacing="1" w:line="240" w:lineRule="auto"/>
              <w:ind w:left="170"/>
              <w:jc w:val="center"/>
              <w:rPr>
                <w:rFonts w:ascii="Times New Roman" w:hAnsi="Times New Roman" w:cs="Times New Roman"/>
                <w:sz w:val="20"/>
                <w:szCs w:val="20"/>
                <w:lang w:bidi="fa-IR"/>
              </w:rPr>
            </w:pPr>
          </w:p>
        </w:tc>
        <w:tc>
          <w:tcPr>
            <w:tcW w:w="0" w:type="auto"/>
            <w:hideMark/>
          </w:tcPr>
          <w:p w:rsidR="008E4545" w:rsidRDefault="008E4545">
            <w:pPr>
              <w:bidi w:val="0"/>
              <w:spacing w:before="120"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Fe</w:t>
            </w:r>
            <w:r>
              <w:rPr>
                <w:rFonts w:ascii="Times New Roman" w:hAnsi="Times New Roman" w:cs="Times New Roman"/>
                <w:sz w:val="20"/>
                <w:szCs w:val="20"/>
                <w:vertAlign w:val="subscript"/>
              </w:rPr>
              <w:t>3</w:t>
            </w:r>
            <w:r>
              <w:rPr>
                <w:rFonts w:ascii="Times New Roman" w:hAnsi="Times New Roman" w:cs="Times New Roman"/>
                <w:sz w:val="20"/>
                <w:szCs w:val="20"/>
              </w:rPr>
              <w:t>O</w:t>
            </w:r>
            <w:r>
              <w:rPr>
                <w:rFonts w:ascii="Times New Roman" w:hAnsi="Times New Roman" w:cs="Times New Roman"/>
                <w:sz w:val="20"/>
                <w:szCs w:val="20"/>
                <w:vertAlign w:val="subscript"/>
              </w:rPr>
              <w:t>4</w:t>
            </w:r>
            <w:r>
              <w:rPr>
                <w:rFonts w:ascii="Times New Roman" w:hAnsi="Times New Roman" w:cs="Times New Roman"/>
                <w:sz w:val="20"/>
                <w:szCs w:val="20"/>
              </w:rPr>
              <w:t>@FSM-16-SO</w:t>
            </w:r>
            <w:r>
              <w:rPr>
                <w:rFonts w:ascii="Times New Roman" w:hAnsi="Times New Roman" w:cs="Times New Roman"/>
                <w:sz w:val="20"/>
                <w:szCs w:val="20"/>
                <w:vertAlign w:val="subscript"/>
              </w:rPr>
              <w:t>3</w:t>
            </w:r>
            <w:r>
              <w:rPr>
                <w:rFonts w:ascii="Times New Roman" w:hAnsi="Times New Roman" w:cs="Times New Roman"/>
                <w:sz w:val="20"/>
                <w:szCs w:val="20"/>
              </w:rPr>
              <w:t>H</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86</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{"citationItems":[{"id":"ITEM-1","itemData":{"DOI":"10.1007/s10934-018-0628-x","ISSN":"15734854","abstract":"Fe 3 O 4 @FSM-16-SO 3 H was prepared as new magnetically recoverable catalyst and characterized by SEM, BET, XRD, EDS, VSM and FT-IR techniques. The catalytic activity was investigated in the reaction of various aldehydes, ethyl cyanoacetate, dimedone and ammonium acetate for the preparation of Polyhydroquinolines in one pot. This protocol suggests benefits in terms of higher yields and short reaction time. In addition, the catalyst could be separated using an external magnet and is reusable many times without significant loss of activity.","author":[{"dropping-particle":"","family":"Hashemi-Uderji","given":"Somayeh","non-dropping-particle":"","parse-names":false,"suffix":""},{"dropping-particle":"","family":"Abdollahi-Alibeik","given":"Mohammad","non-dropping-particle":"","parse-names":false,"suffix":""},{"dropping-particle":"","family":"Ranjbar-Karimi","given":"Reza","non-dropping-particle":"","parse-names":false,"suffix":""}],"container-title":"Journal of Porous Materials","id":"ITEM-1","issue":"2","issued":{"date-parts":[["2019"]]},"page":"467-480","title":"Fe 3 O 4 @FSM-16-SO 3 H as a novel magnetically recoverable nanostructured catalyst: preparation, characterization and catalytic application","type":"article-journal","volume":"26"},"uris":["http://www.mendeley.com/documents/?uuid=d120aca0-cbe0-4fdf-ae47-d21b655b47a6"]}],"mendeley":{"formattedCitation":"&lt;sup&gt;59&lt;/sup&gt;","plainTextFormattedCitation":"59","previouslyFormattedCitation":"&lt;sup&gt;60&lt;/sup&gt;"},"properties":{"noteIndex":0},"schema":"https://github.com/citation-style-language/schema/raw/master/csl-citation.json"}</w:instrText>
            </w:r>
            <w:r>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59</w:t>
            </w:r>
            <w:r>
              <w:rPr>
                <w:rFonts w:ascii="Times New Roman" w:hAnsi="Times New Roman" w:cs="Times New Roman"/>
                <w:sz w:val="20"/>
                <w:szCs w:val="20"/>
              </w:rPr>
              <w:fldChar w:fldCharType="end"/>
            </w:r>
          </w:p>
        </w:tc>
      </w:tr>
      <w:tr w:rsidR="008E4545" w:rsidTr="008E4545">
        <w:trPr>
          <w:trHeight w:val="772"/>
          <w:jc w:val="center"/>
        </w:trPr>
        <w:tc>
          <w:tcPr>
            <w:tcW w:w="0" w:type="auto"/>
          </w:tcPr>
          <w:p w:rsidR="008E4545" w:rsidRDefault="008E4545" w:rsidP="008E4545">
            <w:pPr>
              <w:pStyle w:val="ListParagraph"/>
              <w:numPr>
                <w:ilvl w:val="0"/>
                <w:numId w:val="2"/>
              </w:numPr>
              <w:spacing w:before="120" w:after="100" w:afterAutospacing="1" w:line="240" w:lineRule="auto"/>
              <w:ind w:left="170"/>
              <w:jc w:val="center"/>
              <w:rPr>
                <w:rFonts w:ascii="Times New Roman" w:hAnsi="Times New Roman" w:cs="Times New Roman"/>
                <w:sz w:val="20"/>
                <w:szCs w:val="20"/>
                <w:lang w:bidi="fa-IR"/>
              </w:rPr>
            </w:pPr>
          </w:p>
        </w:tc>
        <w:tc>
          <w:tcPr>
            <w:tcW w:w="0" w:type="auto"/>
            <w:hideMark/>
          </w:tcPr>
          <w:p w:rsidR="008E4545" w:rsidRDefault="008E4545">
            <w:pPr>
              <w:bidi w:val="0"/>
              <w:spacing w:before="120"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AIL-SCMNPs</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80</w:t>
            </w:r>
          </w:p>
        </w:tc>
        <w:tc>
          <w:tcPr>
            <w:tcW w:w="0" w:type="auto"/>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{"citationItems":[{"id":"ITEM-1","itemData":{"DOI":"10.1016/j.jmmm.2016.09.099","ISSN":"03048853","abstract":"In the current study, 1,4-dihydropyridine and polyhydroquinoline derivatives were efficiently synthesized under solvent-less conditions with a magnetic catalyst containing novel acidic ionic liquid functionalized silica modified Fe3O4 nanoparticles through a four component combination of β-ketoester, aldehydes and ammonium acetate (1, 2, 2). Several approaches have been reported for synthesizing these derivatives, while each of these approaches have some weaknesses including long time of reaction, excess of volatile organic solvent, low efficiency, costly reagents, complex operation, high temperatures, production of a number of side products, and difficult catalyst recovery. The simple operation, short time of reaction (5–30 min) and the high efficiency (80–94%) are the special advantages of this technique. The immobilized catalyst exhibited an appropriate thermal stability and excellent recyclability. Different methods such as FT-IR, SEM, EDX, TGA-DTA, and VSM were used to confirm and characterize the catalyst.","author":[{"dropping-particle":"","family":"Taheri","given":"Narges","non-dropping-particle":"","parse-names":false,"suffix":""},{"dropping-particle":"","family":"Heidarizadeh","given":"Fariba","non-dropping-particle":"","parse-names":false,"suffix":""},{"dropping-particle":"","family":"Kiasat","given":"Alireza","non-dropping-particle":"","parse-names":false,"suffix":""}],"container-title":"Journal of Magnetism and Magnetic Materials","id":"ITEM-1","issued":{"date-parts":[["2017","4"]]},"page":"481-487","publisher":"Elsevier","title":"A new magnetically recoverable catalyst promoting the synthesis of 1,4-dihydropyridine and polyhydroquinoline derivatives via the Hantzsch condensation under solvent-free conditions","type":"article-journal","volume":"428"},"uris":["http://www.mendeley.com/documents/?uuid=a2dd05e9-0b10-4090-8a6a-1d7e607749e9"]}],"mendeley":{"formattedCitation":"&lt;sup&gt;60&lt;/sup&gt;","plainTextFormattedCitation":"60","previouslyFormattedCitation":"&lt;sup&gt;61&lt;/sup&gt;"},"properties":{"noteIndex":0},"schema":"https://github.com/citation-style-language/schema/raw/master/csl-citation.json"}</w:instrText>
            </w:r>
            <w:r>
              <w:rPr>
                <w:rFonts w:ascii="Times New Roman" w:hAnsi="Times New Roman" w:cs="Times New Roman"/>
                <w:sz w:val="20"/>
                <w:szCs w:val="20"/>
              </w:rPr>
              <w:fldChar w:fldCharType="separate"/>
            </w:r>
            <w:r>
              <w:rPr>
                <w:rFonts w:ascii="Times New Roman" w:hAnsi="Times New Roman" w:cs="Times New Roman"/>
                <w:noProof/>
                <w:sz w:val="20"/>
                <w:szCs w:val="20"/>
                <w:vertAlign w:val="superscript"/>
              </w:rPr>
              <w:t>60</w:t>
            </w:r>
            <w:r>
              <w:rPr>
                <w:rFonts w:ascii="Times New Roman" w:hAnsi="Times New Roman" w:cs="Times New Roman"/>
                <w:sz w:val="20"/>
                <w:szCs w:val="20"/>
              </w:rPr>
              <w:fldChar w:fldCharType="end"/>
            </w:r>
          </w:p>
        </w:tc>
      </w:tr>
      <w:tr w:rsidR="008E4545" w:rsidTr="008E4545">
        <w:trPr>
          <w:trHeight w:val="772"/>
          <w:jc w:val="center"/>
        </w:trPr>
        <w:tc>
          <w:tcPr>
            <w:tcW w:w="0" w:type="auto"/>
            <w:tcBorders>
              <w:top w:val="nil"/>
              <w:left w:val="nil"/>
              <w:bottom w:val="single" w:sz="4" w:space="0" w:color="auto"/>
              <w:right w:val="nil"/>
            </w:tcBorders>
          </w:tcPr>
          <w:p w:rsidR="008E4545" w:rsidRDefault="008E4545" w:rsidP="008E4545">
            <w:pPr>
              <w:pStyle w:val="ListParagraph"/>
              <w:numPr>
                <w:ilvl w:val="0"/>
                <w:numId w:val="2"/>
              </w:numPr>
              <w:spacing w:before="120" w:after="100" w:afterAutospacing="1" w:line="240" w:lineRule="auto"/>
              <w:ind w:left="170"/>
              <w:jc w:val="center"/>
              <w:rPr>
                <w:rFonts w:ascii="Times New Roman" w:hAnsi="Times New Roman" w:cs="Times New Roman"/>
                <w:sz w:val="20"/>
                <w:szCs w:val="20"/>
                <w:lang w:bidi="fa-IR"/>
              </w:rPr>
            </w:pPr>
          </w:p>
        </w:tc>
        <w:tc>
          <w:tcPr>
            <w:tcW w:w="0" w:type="auto"/>
            <w:tcBorders>
              <w:top w:val="nil"/>
              <w:left w:val="nil"/>
              <w:bottom w:val="single" w:sz="4" w:space="0" w:color="auto"/>
              <w:right w:val="nil"/>
            </w:tcBorders>
            <w:hideMark/>
          </w:tcPr>
          <w:p w:rsidR="008E4545" w:rsidRDefault="008E4545">
            <w:pPr>
              <w:bidi w:val="0"/>
              <w:spacing w:before="120" w:after="100" w:afterAutospacing="1" w:line="240" w:lineRule="auto"/>
              <w:jc w:val="center"/>
              <w:rPr>
                <w:rFonts w:ascii="Times New Roman" w:hAnsi="Times New Roman" w:cs="Times New Roman"/>
                <w:sz w:val="20"/>
                <w:szCs w:val="20"/>
              </w:rPr>
            </w:pPr>
            <w:r>
              <w:rPr>
                <w:rFonts w:asciiTheme="majorBidi" w:hAnsiTheme="majorBidi" w:cstheme="majorBidi"/>
                <w:sz w:val="20"/>
                <w:szCs w:val="20"/>
              </w:rPr>
              <w:t xml:space="preserve">Ag-CP </w:t>
            </w:r>
          </w:p>
        </w:tc>
        <w:tc>
          <w:tcPr>
            <w:tcW w:w="0" w:type="auto"/>
            <w:tcBorders>
              <w:top w:val="nil"/>
              <w:left w:val="nil"/>
              <w:bottom w:val="single" w:sz="4" w:space="0" w:color="auto"/>
              <w:right w:val="nil"/>
            </w:tcBorders>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85</w:t>
            </w:r>
          </w:p>
        </w:tc>
        <w:tc>
          <w:tcPr>
            <w:tcW w:w="0" w:type="auto"/>
            <w:tcBorders>
              <w:top w:val="nil"/>
              <w:left w:val="nil"/>
              <w:bottom w:val="single" w:sz="4" w:space="0" w:color="auto"/>
              <w:right w:val="nil"/>
            </w:tcBorders>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87</w:t>
            </w:r>
          </w:p>
        </w:tc>
        <w:tc>
          <w:tcPr>
            <w:tcW w:w="0" w:type="auto"/>
            <w:tcBorders>
              <w:top w:val="nil"/>
              <w:left w:val="nil"/>
              <w:bottom w:val="single" w:sz="4" w:space="0" w:color="auto"/>
              <w:right w:val="nil"/>
            </w:tcBorders>
            <w:vAlign w:val="center"/>
            <w:hideMark/>
          </w:tcPr>
          <w:p w:rsidR="008E4545" w:rsidRDefault="008E4545">
            <w:pPr>
              <w:bidi w:val="0"/>
              <w:spacing w:before="100" w:beforeAutospacing="1" w:after="100" w:afterAutospacing="1" w:line="240" w:lineRule="auto"/>
              <w:jc w:val="center"/>
              <w:rPr>
                <w:rFonts w:ascii="Times New Roman" w:hAnsi="Times New Roman" w:cs="Times New Roman"/>
                <w:sz w:val="20"/>
                <w:szCs w:val="20"/>
              </w:rPr>
            </w:pPr>
            <w:r>
              <w:rPr>
                <w:rFonts w:ascii="Times New Roman" w:hAnsi="Times New Roman" w:cs="Times New Roman"/>
                <w:sz w:val="20"/>
                <w:szCs w:val="20"/>
              </w:rPr>
              <w:t>This work</w:t>
            </w:r>
          </w:p>
        </w:tc>
      </w:tr>
    </w:tbl>
    <w:p w:rsidR="008E4545" w:rsidRDefault="008E4545" w:rsidP="008E4545">
      <w:pPr>
        <w:autoSpaceDE w:val="0"/>
        <w:autoSpaceDN w:val="0"/>
        <w:bidi w:val="0"/>
        <w:adjustRightInd w:val="0"/>
        <w:spacing w:after="0" w:line="240" w:lineRule="auto"/>
        <w:rPr>
          <w:rFonts w:ascii="Times New Roman" w:hAnsi="Times New Roman" w:cs="Times New Roman"/>
          <w:shd w:val="clear" w:color="auto" w:fill="FFFFFF"/>
        </w:rPr>
      </w:pPr>
      <w:proofErr w:type="spellStart"/>
      <w:r>
        <w:rPr>
          <w:rFonts w:ascii="Times New Roman" w:hAnsi="Times New Roman" w:cs="Times New Roman"/>
          <w:shd w:val="clear" w:color="auto" w:fill="FFFFFF"/>
          <w:vertAlign w:val="superscript"/>
        </w:rPr>
        <w:t>a</w:t>
      </w:r>
      <w:proofErr w:type="spellEnd"/>
      <w:r>
        <w:rPr>
          <w:rFonts w:ascii="Times New Roman" w:hAnsi="Times New Roman" w:cs="Times New Roman"/>
          <w:shd w:val="clear" w:color="auto" w:fill="FFFFFF"/>
          <w:vertAlign w:val="superscript"/>
        </w:rPr>
        <w:t xml:space="preserve"> </w:t>
      </w:r>
      <w:r>
        <w:rPr>
          <w:rFonts w:ascii="Times New Roman" w:hAnsi="Times New Roman" w:cs="Times New Roman"/>
          <w:shd w:val="clear" w:color="auto" w:fill="FFFFFF"/>
        </w:rPr>
        <w:t xml:space="preserve">Isolated yield. </w:t>
      </w:r>
    </w:p>
    <w:p w:rsidR="008E4545" w:rsidRDefault="008E4545">
      <w:pPr>
        <w:rPr>
          <w:rtl/>
        </w:rPr>
      </w:pPr>
      <w:bookmarkStart w:id="0" w:name="_GoBack"/>
      <w:bookmarkEnd w:id="0"/>
    </w:p>
    <w:p w:rsidR="008E4545" w:rsidRDefault="008E4545"/>
    <w:sectPr w:rsidR="008E45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13E10"/>
    <w:multiLevelType w:val="hybridMultilevel"/>
    <w:tmpl w:val="5F1C28FA"/>
    <w:lvl w:ilvl="0" w:tplc="35F2F5A6">
      <w:start w:val="1"/>
      <w:numFmt w:val="decimal"/>
      <w:lvlText w:val="%1"/>
      <w:lvlJc w:val="left"/>
      <w:pPr>
        <w:ind w:left="90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68FD11C7"/>
    <w:multiLevelType w:val="hybridMultilevel"/>
    <w:tmpl w:val="4E3477EE"/>
    <w:lvl w:ilvl="0" w:tplc="35F2F5A6">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545"/>
    <w:rsid w:val="008E4545"/>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08279"/>
  <w15:chartTrackingRefBased/>
  <w15:docId w15:val="{65899340-02F3-4F05-861E-E1307AAD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4545"/>
    <w:pPr>
      <w:bidi/>
      <w:spacing w:line="256" w:lineRule="auto"/>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545"/>
    <w:pPr>
      <w:bidi w:val="0"/>
      <w:spacing w:after="200" w:line="276" w:lineRule="auto"/>
      <w:ind w:left="720"/>
      <w:contextualSpacing/>
    </w:pPr>
    <w:rPr>
      <w:lang w:val="en-GB" w:bidi="ar-SA"/>
    </w:rPr>
  </w:style>
  <w:style w:type="character" w:customStyle="1" w:styleId="08ArticleTextChar">
    <w:name w:val="08 Article Text Char"/>
    <w:link w:val="08ArticleText"/>
    <w:locked/>
    <w:rsid w:val="008E4545"/>
    <w:rPr>
      <w:rFonts w:ascii="Times New Roman" w:eastAsia="Calibri" w:hAnsi="Times New Roman" w:cs="Times New Roman"/>
      <w:w w:val="108"/>
      <w:sz w:val="18"/>
      <w:szCs w:val="18"/>
      <w:lang w:val="en-GB"/>
    </w:rPr>
  </w:style>
  <w:style w:type="paragraph" w:customStyle="1" w:styleId="08ArticleText">
    <w:name w:val="08 Article Text"/>
    <w:basedOn w:val="Normal"/>
    <w:link w:val="08ArticleTextChar"/>
    <w:qFormat/>
    <w:rsid w:val="008E4545"/>
    <w:pPr>
      <w:tabs>
        <w:tab w:val="left" w:pos="284"/>
      </w:tabs>
      <w:bidi w:val="0"/>
      <w:spacing w:after="0" w:line="240" w:lineRule="exact"/>
      <w:jc w:val="both"/>
    </w:pPr>
    <w:rPr>
      <w:rFonts w:ascii="Times New Roman" w:eastAsia="Calibri" w:hAnsi="Times New Roman" w:cs="Times New Roman"/>
      <w:w w:val="108"/>
      <w:sz w:val="18"/>
      <w:szCs w:val="18"/>
      <w:lang w:val="en-GB" w:bidi="ar-SA"/>
    </w:rPr>
  </w:style>
  <w:style w:type="table" w:customStyle="1" w:styleId="PlainTable41">
    <w:name w:val="Plain Table 41"/>
    <w:basedOn w:val="TableNormal"/>
    <w:uiPriority w:val="44"/>
    <w:rsid w:val="008E4545"/>
    <w:pPr>
      <w:spacing w:after="0" w:line="240" w:lineRule="auto"/>
    </w:pPr>
    <w:rPr>
      <w:lang w:bidi="fa-IR"/>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8E4545"/>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355930">
      <w:bodyDiv w:val="1"/>
      <w:marLeft w:val="0"/>
      <w:marRight w:val="0"/>
      <w:marTop w:val="0"/>
      <w:marBottom w:val="0"/>
      <w:divBdr>
        <w:top w:val="none" w:sz="0" w:space="0" w:color="auto"/>
        <w:left w:val="none" w:sz="0" w:space="0" w:color="auto"/>
        <w:bottom w:val="none" w:sz="0" w:space="0" w:color="auto"/>
        <w:right w:val="none" w:sz="0" w:space="0" w:color="auto"/>
      </w:divBdr>
    </w:div>
    <w:div w:id="1247617548">
      <w:bodyDiv w:val="1"/>
      <w:marLeft w:val="0"/>
      <w:marRight w:val="0"/>
      <w:marTop w:val="0"/>
      <w:marBottom w:val="0"/>
      <w:divBdr>
        <w:top w:val="none" w:sz="0" w:space="0" w:color="auto"/>
        <w:left w:val="none" w:sz="0" w:space="0" w:color="auto"/>
        <w:bottom w:val="none" w:sz="0" w:space="0" w:color="auto"/>
        <w:right w:val="none" w:sz="0" w:space="0" w:color="auto"/>
      </w:divBdr>
    </w:div>
    <w:div w:id="1600063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oleObject" Target="embeddings/oleObject7.bin"/><Relationship Id="rId26" Type="http://schemas.openxmlformats.org/officeDocument/2006/relationships/oleObject" Target="embeddings/oleObject9.bin"/><Relationship Id="rId39" Type="http://schemas.openxmlformats.org/officeDocument/2006/relationships/image" Target="media/image20.emf"/><Relationship Id="rId21" Type="http://schemas.openxmlformats.org/officeDocument/2006/relationships/image" Target="media/image9.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4.emf"/><Relationship Id="rId50" Type="http://schemas.openxmlformats.org/officeDocument/2006/relationships/oleObject" Target="embeddings/oleObject21.bin"/><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5.emf"/><Relationship Id="rId11" Type="http://schemas.openxmlformats.org/officeDocument/2006/relationships/image" Target="media/image4.emf"/><Relationship Id="rId24" Type="http://schemas.openxmlformats.org/officeDocument/2006/relationships/image" Target="media/image12.emf"/><Relationship Id="rId32" Type="http://schemas.openxmlformats.org/officeDocument/2006/relationships/oleObject" Target="embeddings/oleObject12.bin"/><Relationship Id="rId37" Type="http://schemas.openxmlformats.org/officeDocument/2006/relationships/image" Target="media/image19.emf"/><Relationship Id="rId40" Type="http://schemas.openxmlformats.org/officeDocument/2006/relationships/oleObject" Target="embeddings/oleObject16.bin"/><Relationship Id="rId45" Type="http://schemas.openxmlformats.org/officeDocument/2006/relationships/image" Target="media/image23.emf"/><Relationship Id="rId53"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oleObject" Target="embeddings/oleObject3.bin"/><Relationship Id="rId19" Type="http://schemas.openxmlformats.org/officeDocument/2006/relationships/image" Target="media/image8.emf"/><Relationship Id="rId31" Type="http://schemas.openxmlformats.org/officeDocument/2006/relationships/image" Target="media/image16.emf"/><Relationship Id="rId44" Type="http://schemas.openxmlformats.org/officeDocument/2006/relationships/oleObject" Target="embeddings/oleObject18.bin"/><Relationship Id="rId52" Type="http://schemas.openxmlformats.org/officeDocument/2006/relationships/oleObject" Target="embeddings/oleObject22.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5.bin"/><Relationship Id="rId22" Type="http://schemas.openxmlformats.org/officeDocument/2006/relationships/image" Target="media/image10.emf"/><Relationship Id="rId27" Type="http://schemas.openxmlformats.org/officeDocument/2006/relationships/image" Target="media/image14.emf"/><Relationship Id="rId30" Type="http://schemas.openxmlformats.org/officeDocument/2006/relationships/oleObject" Target="embeddings/oleObject11.bin"/><Relationship Id="rId35" Type="http://schemas.openxmlformats.org/officeDocument/2006/relationships/image" Target="media/image18.emf"/><Relationship Id="rId43" Type="http://schemas.openxmlformats.org/officeDocument/2006/relationships/image" Target="media/image22.emf"/><Relationship Id="rId48" Type="http://schemas.openxmlformats.org/officeDocument/2006/relationships/oleObject" Target="embeddings/oleObject20.bin"/><Relationship Id="rId8" Type="http://schemas.openxmlformats.org/officeDocument/2006/relationships/oleObject" Target="embeddings/oleObject2.bin"/><Relationship Id="rId51" Type="http://schemas.openxmlformats.org/officeDocument/2006/relationships/image" Target="media/image26.e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emf"/><Relationship Id="rId25" Type="http://schemas.openxmlformats.org/officeDocument/2006/relationships/image" Target="media/image13.emf"/><Relationship Id="rId33" Type="http://schemas.openxmlformats.org/officeDocument/2006/relationships/image" Target="media/image17.emf"/><Relationship Id="rId38" Type="http://schemas.openxmlformats.org/officeDocument/2006/relationships/oleObject" Target="embeddings/oleObject15.bin"/><Relationship Id="rId46" Type="http://schemas.openxmlformats.org/officeDocument/2006/relationships/oleObject" Target="embeddings/oleObject19.bin"/><Relationship Id="rId20" Type="http://schemas.openxmlformats.org/officeDocument/2006/relationships/oleObject" Target="embeddings/oleObject8.bin"/><Relationship Id="rId41" Type="http://schemas.openxmlformats.org/officeDocument/2006/relationships/image" Target="media/image21.emf"/><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emf"/><Relationship Id="rId23" Type="http://schemas.openxmlformats.org/officeDocument/2006/relationships/image" Target="media/image11.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5715</Words>
  <Characters>32579</Characters>
  <Application>Microsoft Office Word</Application>
  <DocSecurity>0</DocSecurity>
  <Lines>271</Lines>
  <Paragraphs>76</Paragraphs>
  <ScaleCrop>false</ScaleCrop>
  <Company>Springer Nature IT</Company>
  <LinksUpToDate>false</LinksUpToDate>
  <CharactersWithSpaces>38218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2021-04-27T03:24:00Z</dcterms:created>
  <dcterms:modified xsi:type="dcterms:W3CDTF">2021-04-27T03:27:00Z</dcterms:modified>
</cp:coreProperties>
</file>