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sz w:val="24"/>
          <w:highlight w:val="none"/>
        </w:rPr>
      </w:pPr>
      <w:r>
        <w:rPr>
          <w:b/>
          <w:bCs/>
          <w:sz w:val="24"/>
          <w:highlight w:val="none"/>
        </w:rPr>
        <w:t>Table</w:t>
      </w:r>
      <w:r>
        <w:rPr>
          <w:rFonts w:hint="eastAsia"/>
          <w:b/>
          <w:bCs/>
          <w:sz w:val="24"/>
          <w:highlight w:val="none"/>
          <w:lang w:val="en-US" w:eastAsia="zh-CN"/>
        </w:rPr>
        <w:t>. S1</w:t>
      </w:r>
      <w:r>
        <w:rPr>
          <w:b/>
          <w:bCs/>
          <w:sz w:val="24"/>
          <w:highlight w:val="none"/>
        </w:rPr>
        <w:t xml:space="preserve"> </w:t>
      </w:r>
      <w:r>
        <w:rPr>
          <w:sz w:val="24"/>
          <w:highlight w:val="none"/>
        </w:rPr>
        <w:t xml:space="preserve">General information of the study subjects </w:t>
      </w:r>
      <w:r>
        <w:rPr>
          <w:bCs/>
          <w:sz w:val="24"/>
          <w:highlight w:val="none"/>
        </w:rPr>
        <w:t>[n=1,813, n(%)]</w:t>
      </w:r>
    </w:p>
    <w:tbl>
      <w:tblPr>
        <w:tblStyle w:val="4"/>
        <w:tblW w:w="6992" w:type="dxa"/>
        <w:jc w:val="center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2423"/>
        <w:gridCol w:w="1923"/>
      </w:tblGrid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64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Item</w:t>
            </w:r>
          </w:p>
        </w:tc>
        <w:tc>
          <w:tcPr>
            <w:tcW w:w="242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Category</w:t>
            </w:r>
          </w:p>
        </w:tc>
        <w:tc>
          <w:tcPr>
            <w:tcW w:w="192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Nurses, n(%)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Gender</w:t>
            </w:r>
          </w:p>
        </w:tc>
        <w:tc>
          <w:tcPr>
            <w:tcW w:w="2423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male</w:t>
            </w:r>
          </w:p>
        </w:tc>
        <w:tc>
          <w:tcPr>
            <w:tcW w:w="1923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111 (6.1)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female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1702 (93.9)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Age 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&lt;30years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627 (34.6)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30~39years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838 (46.2)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40~49years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286 (15.8)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≥50 years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62 (3.4)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Working years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&lt;6years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399 (22.0)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7~10years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600 (33.1)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11~15years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369 (20.4)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≥16 years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445 (24.5)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Education level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Junior college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226 (12.5)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College and above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1587 (87.5)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Hospital type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General hospital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1491 (82.2)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Specialized hospital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322 (17.8)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Work department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Emergency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363 (20.0)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Outpatient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104 (5.7)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  <w:highlight w:val="cyan"/>
              </w:rPr>
            </w:pPr>
            <w:r>
              <w:rPr>
                <w:sz w:val="24"/>
              </w:rPr>
              <w:t xml:space="preserve">Surgery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349 (19.2)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Internal medicine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458 (25.3)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Gynecology and Obstetrics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67 (3.7)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Pediatrics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76 (4.2)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ICU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59 (3.3)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Psychiatry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275 (15.2)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Others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62 (3.4)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Employment form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Staffed employees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777 (42.8)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Contract employees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spacing w:line="480" w:lineRule="auto"/>
              <w:ind w:right="60"/>
              <w:rPr>
                <w:sz w:val="24"/>
              </w:rPr>
            </w:pPr>
            <w:r>
              <w:rPr>
                <w:sz w:val="24"/>
              </w:rPr>
              <w:t>1022 (56.4)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Temporary workers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utoSpaceDE w:val="0"/>
              <w:spacing w:line="480" w:lineRule="auto"/>
              <w:ind w:right="60"/>
              <w:rPr>
                <w:sz w:val="24"/>
              </w:rPr>
            </w:pPr>
            <w:r>
              <w:rPr>
                <w:sz w:val="24"/>
              </w:rPr>
              <w:t>14 (0.8)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Position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Nurse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1662 (91.7)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Head nurse and above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151 (8.3)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Title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nurse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196 (10.8)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Nurse practitioner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616 (34.0)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Nurse supervisor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811 (44.7)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Deputy chief nursing officer and above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190 (10.5)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Night shifts per month 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226 (12.4)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1~4 times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908 (50.1)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5~9 times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505 (27.9)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≥10 times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174 (9.6)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Patients per shift 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≤ 8 persons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414 (22.8)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9~11 persons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485 (26.8)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≥12 persons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914 (50.4)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Marital status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Married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1306 (72.0)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Unmarried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470 (25.9)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Divorcee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36 (2.0)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widowed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 (0.1)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Only child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792 (43.7)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ind w:left="60" w:right="60"/>
              <w:rPr>
                <w:sz w:val="24"/>
              </w:rPr>
            </w:pPr>
            <w:r>
              <w:rPr>
                <w:sz w:val="24"/>
              </w:rPr>
              <w:t>1021 (56.3)</w:t>
            </w:r>
          </w:p>
        </w:tc>
      </w:tr>
    </w:tbl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center"/>
        <w:rPr>
          <w:color w:val="auto"/>
          <w:sz w:val="24"/>
          <w:highlight w:val="yellow"/>
        </w:rPr>
      </w:pPr>
    </w:p>
    <w:p>
      <w:pPr>
        <w:pStyle w:val="6"/>
        <w:spacing w:line="480" w:lineRule="auto"/>
        <w:jc w:val="both"/>
        <w:rPr>
          <w:color w:val="auto"/>
          <w:sz w:val="24"/>
          <w:highlight w:val="yellow"/>
        </w:rPr>
      </w:pPr>
    </w:p>
    <w:p>
      <w:pPr>
        <w:spacing w:line="480" w:lineRule="auto"/>
        <w:jc w:val="center"/>
        <w:rPr>
          <w:b/>
          <w:sz w:val="24"/>
          <w:highlight w:val="none"/>
        </w:rPr>
      </w:pPr>
      <w:r>
        <w:rPr>
          <w:b/>
          <w:sz w:val="24"/>
          <w:highlight w:val="none"/>
        </w:rPr>
        <w:t>Table</w:t>
      </w:r>
      <w:r>
        <w:rPr>
          <w:rFonts w:hint="eastAsia"/>
          <w:b/>
          <w:sz w:val="24"/>
          <w:highlight w:val="none"/>
          <w:lang w:val="en-US" w:eastAsia="zh-CN"/>
        </w:rPr>
        <w:t>. S2</w:t>
      </w:r>
      <w:bookmarkStart w:id="0" w:name="_GoBack"/>
      <w:bookmarkEnd w:id="0"/>
      <w:r>
        <w:rPr>
          <w:rFonts w:hint="eastAsia"/>
          <w:b/>
          <w:sz w:val="24"/>
          <w:highlight w:val="none"/>
        </w:rPr>
        <w:t xml:space="preserve"> </w:t>
      </w:r>
      <w:r>
        <w:rPr>
          <w:sz w:val="24"/>
          <w:highlight w:val="none"/>
        </w:rPr>
        <w:t>Independent variable assignment methods</w:t>
      </w:r>
    </w:p>
    <w:tbl>
      <w:tblPr>
        <w:tblStyle w:val="4"/>
        <w:tblW w:w="5240" w:type="pct"/>
        <w:jc w:val="center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4820"/>
      </w:tblGrid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30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>independent variable</w:t>
            </w:r>
          </w:p>
        </w:tc>
        <w:tc>
          <w:tcPr>
            <w:tcW w:w="269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>assignment method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Gender</w:t>
            </w:r>
          </w:p>
        </w:tc>
        <w:tc>
          <w:tcPr>
            <w:tcW w:w="2698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Male = 1, Female 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Hospital type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Tertiary hospitals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, Secondary hospitals = 2, Primary hospitals = 3, Specialized hospitals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4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Work department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With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Internal Medicine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for reference, set up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Emergency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”, “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Outpatient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”, “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Surgery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, “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gynecology and obstetrics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“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Pediatrics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“ICU”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“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Psychiatry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“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Others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8 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dummy variables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Night shifts per month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~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4 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times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2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~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9 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times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3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≥ 10 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times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4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Personality trait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With"Neuroticism" for reference, set up "Rigor", "Liveliness", "Openness", "Extraversion"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4 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dummy variables  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Levels of work stress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Mildly= 1, Moderate = 2, Severe = 3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Heard of PVV before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PVV not worth the fuss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The state or attitude of the abuser affects reporting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Severity of violence affects reporting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Safety of the work environment affects reporting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Media coverage of violence affects reporting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Training on PVV reporting can facilitate reporting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Establishment of a department to deal with PVV could facilitate reporting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Introduction of a non-punitive reporting system could facilitate reporting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Strengthening hospital security could facilitate reporting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Proper media orientation can facilitate reporting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Encourage reporting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Reporting institution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Reporting system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Specialized department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Reporting training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, No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= 0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Hospital attitude</w:t>
            </w:r>
          </w:p>
        </w:tc>
        <w:tc>
          <w:tcPr>
            <w:tcW w:w="2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With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"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>chastise employees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" 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for reference,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set up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"</w:t>
            </w:r>
            <w:r>
              <w:rPr>
                <w:rFonts w:hint="eastAsia" w:ascii="Times New Roman" w:hAnsi="Times New Roman" w:eastAsia="宋体" w:cs="Times New Roman"/>
                <w:spacing w:val="-6"/>
                <w:kern w:val="0"/>
                <w:sz w:val="18"/>
                <w:szCs w:val="20"/>
                <w:highlight w:val="none"/>
                <w:lang w:val="en-US" w:eastAsia="zh-CN" w:bidi="ar"/>
              </w:rPr>
              <w:t xml:space="preserve">Defending </w:t>
            </w:r>
            <w:r>
              <w:rPr>
                <w:rFonts w:hint="eastAsia" w:ascii="Times New Roman" w:hAnsi="Times New Roman" w:cs="Times New Roman"/>
                <w:spacing w:val="-6"/>
                <w:kern w:val="0"/>
                <w:sz w:val="18"/>
                <w:szCs w:val="20"/>
                <w:highlight w:val="none"/>
                <w:lang w:val="en-US" w:eastAsia="zh-CN" w:bidi="ar"/>
              </w:rPr>
              <w:t>the</w:t>
            </w:r>
            <w:r>
              <w:rPr>
                <w:rFonts w:hint="eastAsia" w:ascii="Times New Roman" w:hAnsi="Times New Roman" w:eastAsia="宋体" w:cs="Times New Roman"/>
                <w:spacing w:val="-6"/>
                <w:kern w:val="0"/>
                <w:sz w:val="18"/>
                <w:szCs w:val="20"/>
                <w:highlight w:val="none"/>
                <w:lang w:val="en-US" w:eastAsia="zh-CN" w:bidi="ar"/>
              </w:rPr>
              <w:t xml:space="preserve"> interests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", "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Deal fairly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", "Ignore it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"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3 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dummy variables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01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Degree of attention</w:t>
            </w:r>
          </w:p>
        </w:tc>
        <w:tc>
          <w:tcPr>
            <w:tcW w:w="2698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With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"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Emphasis doctors more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" 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for reference, set up "Emphasis nurses more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" and "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highlight w:val="none"/>
                <w:lang w:val="en-US" w:eastAsia="zh-CN" w:bidi="ar"/>
              </w:rPr>
              <w:t>Pay attention equally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" 2 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dummy variables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NjFmY2Q2YTQ4OWRhMjVkOTc2Yjg0NTZjMDRhY2EifQ=="/>
  </w:docVars>
  <w:rsids>
    <w:rsidRoot w:val="38534549"/>
    <w:rsid w:val="3853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图表"/>
    <w:basedOn w:val="1"/>
    <w:qFormat/>
    <w:uiPriority w:val="0"/>
    <w:pPr>
      <w:spacing w:line="360" w:lineRule="auto"/>
      <w:jc w:val="center"/>
    </w:pPr>
    <w:rPr>
      <w:b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2024-06-03T04:01:00Z</dcterms:created>
  <dc:creator>outlier</dc:creator>
  <cp:lastModifiedBy>outlier</cp:lastModifiedBy>
  <dcterms:modified xsi:type="dcterms:W3CDTF">2024-06-03T04:07:44Z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E64B5CDF8FCF4DC892C6336D6EA392E0_11</vt:lpwstr>
  </property>
</Properties>
</file>