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E2742" w14:textId="309FB79C" w:rsidR="005C1DFE" w:rsidRPr="00C36757" w:rsidRDefault="0097351C" w:rsidP="003A5C2E">
      <w:pPr>
        <w:rPr>
          <w:rFonts w:ascii="Calibri" w:hAnsi="Calibri" w:cs="Calibri"/>
        </w:rPr>
      </w:pPr>
      <w:r w:rsidRPr="00C36757">
        <w:rPr>
          <w:rFonts w:ascii="Calibri" w:hAnsi="Calibri" w:cs="Calibri"/>
        </w:rPr>
        <w:t xml:space="preserve">Uridine diphosphate (UDP)- glycosyltransferases (UGTs) confer insecticide resistance in the major malaria vectors </w:t>
      </w:r>
      <w:r w:rsidRPr="00C36757">
        <w:rPr>
          <w:rFonts w:ascii="Calibri" w:hAnsi="Calibri" w:cs="Calibri"/>
          <w:i/>
          <w:iCs/>
        </w:rPr>
        <w:t>Anopheles gambiae</w:t>
      </w:r>
      <w:r w:rsidRPr="00C36757">
        <w:rPr>
          <w:rFonts w:ascii="Calibri" w:hAnsi="Calibri" w:cs="Calibri"/>
        </w:rPr>
        <w:t xml:space="preserve"> </w:t>
      </w:r>
      <w:r w:rsidRPr="005521D2">
        <w:rPr>
          <w:rFonts w:ascii="Calibri" w:hAnsi="Calibri" w:cs="Calibri"/>
          <w:i/>
          <w:iCs/>
        </w:rPr>
        <w:t>s.l</w:t>
      </w:r>
      <w:r w:rsidRPr="00C36757">
        <w:rPr>
          <w:rFonts w:ascii="Calibri" w:hAnsi="Calibri" w:cs="Calibri"/>
        </w:rPr>
        <w:t xml:space="preserve"> and </w:t>
      </w:r>
      <w:r w:rsidRPr="00C36757">
        <w:rPr>
          <w:rFonts w:ascii="Calibri" w:hAnsi="Calibri" w:cs="Calibri"/>
          <w:i/>
          <w:iCs/>
        </w:rPr>
        <w:t>Anopheles funestus</w:t>
      </w:r>
    </w:p>
    <w:p w14:paraId="75003B72" w14:textId="30C40227" w:rsidR="0097351C" w:rsidRPr="00C36757" w:rsidRDefault="0097351C" w:rsidP="003A5C2E">
      <w:pPr>
        <w:rPr>
          <w:rFonts w:ascii="Calibri" w:hAnsi="Calibri" w:cs="Calibri"/>
          <w:b/>
          <w:bCs/>
        </w:rPr>
      </w:pPr>
      <w:r w:rsidRPr="00C36757">
        <w:rPr>
          <w:rFonts w:ascii="Calibri" w:hAnsi="Calibri" w:cs="Calibri"/>
          <w:b/>
          <w:bCs/>
        </w:rPr>
        <w:t>Supplementary Figures</w:t>
      </w:r>
    </w:p>
    <w:p w14:paraId="49C582C9" w14:textId="387096D1" w:rsidR="003A5C2E" w:rsidRDefault="003A5C2E" w:rsidP="003A5C2E">
      <w:pPr>
        <w:jc w:val="center"/>
        <w:rPr>
          <w:rFonts w:ascii="Calibri" w:hAnsi="Calibri" w:cs="Calibri"/>
          <w:b/>
          <w:bCs/>
        </w:rPr>
      </w:pPr>
      <w:r w:rsidRPr="00933358">
        <w:rPr>
          <w:noProof/>
        </w:rPr>
        <w:drawing>
          <wp:inline distT="0" distB="0" distL="0" distR="0" wp14:anchorId="62EFC273" wp14:editId="1EDB1D6C">
            <wp:extent cx="6619875" cy="6631001"/>
            <wp:effectExtent l="0" t="0" r="0" b="0"/>
            <wp:docPr id="957916697" name="Picture 1" descr="A computer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16697" name="Picture 1" descr="A computer screen shot of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310" cy="664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80570" w14:textId="39A87A49" w:rsidR="005C1DFE" w:rsidRPr="00793D9D" w:rsidRDefault="005C1DFE" w:rsidP="0082799A">
      <w:pPr>
        <w:jc w:val="both"/>
        <w:rPr>
          <w:rFonts w:ascii="Calibri" w:hAnsi="Calibri" w:cs="Calibri"/>
        </w:rPr>
      </w:pPr>
      <w:r w:rsidRPr="00793D9D">
        <w:rPr>
          <w:rFonts w:ascii="Calibri" w:hAnsi="Calibri" w:cs="Calibri"/>
          <w:b/>
          <w:bCs/>
        </w:rPr>
        <w:t>Figure S1: Phylogeny of UGTs across Diptera.</w:t>
      </w:r>
      <w:r>
        <w:rPr>
          <w:rFonts w:ascii="Calibri" w:hAnsi="Calibri" w:cs="Calibri"/>
        </w:rPr>
        <w:t xml:space="preserve"> </w:t>
      </w:r>
      <w:r w:rsidRPr="005C1DFE">
        <w:rPr>
          <w:rFonts w:ascii="Calibri" w:hAnsi="Calibri" w:cs="Calibri"/>
          <w:i/>
          <w:iCs/>
        </w:rPr>
        <w:t>An</w:t>
      </w:r>
      <w:r>
        <w:rPr>
          <w:rFonts w:ascii="Calibri" w:hAnsi="Calibri" w:cs="Calibri"/>
          <w:i/>
          <w:iCs/>
        </w:rPr>
        <w:t>.</w:t>
      </w:r>
      <w:r w:rsidRPr="005C1DFE">
        <w:rPr>
          <w:rFonts w:ascii="Calibri" w:hAnsi="Calibri" w:cs="Calibri"/>
          <w:i/>
          <w:iCs/>
        </w:rPr>
        <w:t xml:space="preserve"> gambiae</w:t>
      </w:r>
      <w:r>
        <w:rPr>
          <w:rFonts w:ascii="Calibri" w:hAnsi="Calibri" w:cs="Calibri"/>
        </w:rPr>
        <w:t xml:space="preserve"> (AGAP</w:t>
      </w:r>
      <w:r w:rsidR="0008511E">
        <w:rPr>
          <w:rFonts w:ascii="Calibri" w:hAnsi="Calibri" w:cs="Calibri"/>
        </w:rPr>
        <w:t>)</w:t>
      </w:r>
      <w:r>
        <w:rPr>
          <w:rFonts w:ascii="Calibri" w:hAnsi="Calibri" w:cs="Calibri"/>
        </w:rPr>
        <w:t>, blue</w:t>
      </w:r>
      <w:r w:rsidR="0008511E">
        <w:rPr>
          <w:rFonts w:ascii="Calibri" w:hAnsi="Calibri" w:cs="Calibri"/>
        </w:rPr>
        <w:t xml:space="preserve"> text</w:t>
      </w:r>
      <w:r>
        <w:rPr>
          <w:rFonts w:ascii="Calibri" w:hAnsi="Calibri" w:cs="Calibri"/>
        </w:rPr>
        <w:t xml:space="preserve">, those explored in more detail in this paper are highlighted in </w:t>
      </w:r>
      <w:r w:rsidR="0008511E">
        <w:rPr>
          <w:rFonts w:ascii="Calibri" w:hAnsi="Calibri" w:cs="Calibri"/>
        </w:rPr>
        <w:t xml:space="preserve">with </w:t>
      </w:r>
      <w:r>
        <w:rPr>
          <w:rFonts w:ascii="Calibri" w:hAnsi="Calibri" w:cs="Calibri"/>
        </w:rPr>
        <w:t>light blue</w:t>
      </w:r>
      <w:r w:rsidR="0008511E">
        <w:rPr>
          <w:rFonts w:ascii="Calibri" w:hAnsi="Calibri" w:cs="Calibri"/>
        </w:rPr>
        <w:t xml:space="preserve"> box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i/>
          <w:iCs/>
        </w:rPr>
        <w:t xml:space="preserve">An. arabiensis </w:t>
      </w:r>
      <w:r>
        <w:rPr>
          <w:rFonts w:ascii="Calibri" w:hAnsi="Calibri" w:cs="Calibri"/>
        </w:rPr>
        <w:t xml:space="preserve">(AAR), </w:t>
      </w:r>
      <w:r w:rsidR="00B10588">
        <w:rPr>
          <w:rFonts w:ascii="Calibri" w:hAnsi="Calibri" w:cs="Calibri"/>
          <w:i/>
          <w:iCs/>
        </w:rPr>
        <w:t xml:space="preserve">An. sinensis </w:t>
      </w:r>
      <w:r w:rsidR="00B10588">
        <w:rPr>
          <w:rFonts w:ascii="Calibri" w:hAnsi="Calibri" w:cs="Calibri"/>
        </w:rPr>
        <w:t xml:space="preserve">(ASIS), </w:t>
      </w:r>
      <w:r>
        <w:rPr>
          <w:rFonts w:ascii="Calibri" w:hAnsi="Calibri" w:cs="Calibri"/>
          <w:i/>
          <w:iCs/>
        </w:rPr>
        <w:t xml:space="preserve">An. funestus </w:t>
      </w:r>
      <w:r>
        <w:rPr>
          <w:rFonts w:ascii="Calibri" w:hAnsi="Calibri" w:cs="Calibri"/>
        </w:rPr>
        <w:t xml:space="preserve">(AFUN), </w:t>
      </w:r>
      <w:r>
        <w:rPr>
          <w:rFonts w:ascii="Calibri" w:hAnsi="Calibri" w:cs="Calibri"/>
          <w:i/>
          <w:iCs/>
        </w:rPr>
        <w:t xml:space="preserve">Ae. aegypti </w:t>
      </w:r>
      <w:r>
        <w:rPr>
          <w:rFonts w:ascii="Calibri" w:hAnsi="Calibri" w:cs="Calibri"/>
        </w:rPr>
        <w:t xml:space="preserve">(AAEL), </w:t>
      </w:r>
      <w:r>
        <w:rPr>
          <w:rFonts w:ascii="Calibri" w:hAnsi="Calibri" w:cs="Calibri"/>
          <w:i/>
          <w:iCs/>
        </w:rPr>
        <w:t xml:space="preserve">Ae. albopictus </w:t>
      </w:r>
      <w:r>
        <w:rPr>
          <w:rFonts w:ascii="Calibri" w:hAnsi="Calibri" w:cs="Calibri"/>
        </w:rPr>
        <w:t xml:space="preserve">(AALFPA), </w:t>
      </w:r>
      <w:r w:rsidR="00793D9D">
        <w:rPr>
          <w:rFonts w:ascii="Calibri" w:hAnsi="Calibri" w:cs="Calibri"/>
          <w:i/>
          <w:iCs/>
        </w:rPr>
        <w:t xml:space="preserve">Cx. quinquefasciatus </w:t>
      </w:r>
      <w:r w:rsidR="00793D9D">
        <w:rPr>
          <w:rFonts w:ascii="Calibri" w:hAnsi="Calibri" w:cs="Calibri"/>
        </w:rPr>
        <w:t>(CQUJ)</w:t>
      </w:r>
      <w:r w:rsidR="00B10588">
        <w:rPr>
          <w:rFonts w:ascii="Calibri" w:hAnsi="Calibri" w:cs="Calibri"/>
        </w:rPr>
        <w:t xml:space="preserve">, </w:t>
      </w:r>
      <w:r w:rsidR="00793D9D">
        <w:rPr>
          <w:rFonts w:ascii="Calibri" w:hAnsi="Calibri" w:cs="Calibri"/>
          <w:i/>
          <w:iCs/>
        </w:rPr>
        <w:t xml:space="preserve">D. melanogaster </w:t>
      </w:r>
      <w:r w:rsidR="00793D9D">
        <w:rPr>
          <w:rFonts w:ascii="Calibri" w:hAnsi="Calibri" w:cs="Calibri"/>
        </w:rPr>
        <w:t xml:space="preserve">(FB) and </w:t>
      </w:r>
      <w:r w:rsidR="00793D9D">
        <w:rPr>
          <w:rFonts w:ascii="Calibri" w:hAnsi="Calibri" w:cs="Calibri"/>
          <w:i/>
          <w:iCs/>
        </w:rPr>
        <w:t xml:space="preserve">M. domestica </w:t>
      </w:r>
      <w:r w:rsidR="00793D9D">
        <w:rPr>
          <w:rFonts w:ascii="Calibri" w:hAnsi="Calibri" w:cs="Calibri"/>
        </w:rPr>
        <w:t>(MD</w:t>
      </w:r>
      <w:r w:rsidR="00933358">
        <w:rPr>
          <w:rFonts w:ascii="Calibri" w:hAnsi="Calibri" w:cs="Calibri"/>
        </w:rPr>
        <w:t>OA</w:t>
      </w:r>
      <w:r w:rsidR="00793D9D">
        <w:rPr>
          <w:rFonts w:ascii="Calibri" w:hAnsi="Calibri" w:cs="Calibri"/>
        </w:rPr>
        <w:t xml:space="preserve">) UGTs. </w:t>
      </w:r>
      <w:r w:rsidR="00634134">
        <w:rPr>
          <w:rFonts w:ascii="Calibri" w:hAnsi="Calibri" w:cs="Calibri"/>
        </w:rPr>
        <w:t>Green shading represents an expansion of UGTs in mosquitoes, pink shading represents an expansion of UGT</w:t>
      </w:r>
      <w:r w:rsidR="00934863">
        <w:rPr>
          <w:rFonts w:ascii="Calibri" w:hAnsi="Calibri" w:cs="Calibri"/>
        </w:rPr>
        <w:t>s</w:t>
      </w:r>
      <w:r w:rsidR="00634134">
        <w:rPr>
          <w:rFonts w:ascii="Calibri" w:hAnsi="Calibri" w:cs="Calibri"/>
        </w:rPr>
        <w:t xml:space="preserve"> in </w:t>
      </w:r>
      <w:r w:rsidR="00634134">
        <w:rPr>
          <w:rFonts w:ascii="Calibri" w:hAnsi="Calibri" w:cs="Calibri"/>
          <w:i/>
          <w:iCs/>
        </w:rPr>
        <w:t xml:space="preserve">D. melanogaster </w:t>
      </w:r>
      <w:r w:rsidR="00634134">
        <w:rPr>
          <w:rFonts w:ascii="Calibri" w:hAnsi="Calibri" w:cs="Calibri"/>
        </w:rPr>
        <w:t xml:space="preserve">and </w:t>
      </w:r>
      <w:r w:rsidR="00634134">
        <w:rPr>
          <w:rFonts w:ascii="Calibri" w:hAnsi="Calibri" w:cs="Calibri"/>
          <w:i/>
          <w:iCs/>
        </w:rPr>
        <w:t xml:space="preserve">M. </w:t>
      </w:r>
      <w:r w:rsidR="00634134" w:rsidRPr="00634134">
        <w:rPr>
          <w:rFonts w:ascii="Calibri" w:hAnsi="Calibri" w:cs="Calibri"/>
          <w:i/>
          <w:iCs/>
        </w:rPr>
        <w:t>domest</w:t>
      </w:r>
      <w:r w:rsidR="00634134">
        <w:rPr>
          <w:rFonts w:ascii="Calibri" w:hAnsi="Calibri" w:cs="Calibri"/>
          <w:i/>
          <w:iCs/>
        </w:rPr>
        <w:t>i</w:t>
      </w:r>
      <w:r w:rsidR="00634134" w:rsidRPr="00634134">
        <w:rPr>
          <w:rFonts w:ascii="Calibri" w:hAnsi="Calibri" w:cs="Calibri"/>
          <w:i/>
          <w:iCs/>
        </w:rPr>
        <w:t>ca</w:t>
      </w:r>
      <w:r w:rsidR="00634134">
        <w:rPr>
          <w:rFonts w:ascii="Calibri" w:hAnsi="Calibri" w:cs="Calibri"/>
        </w:rPr>
        <w:t xml:space="preserve">. </w:t>
      </w:r>
      <w:r w:rsidR="00793D9D" w:rsidRPr="00634134">
        <w:rPr>
          <w:rFonts w:ascii="Calibri" w:hAnsi="Calibri" w:cs="Calibri"/>
        </w:rPr>
        <w:t>Splice</w:t>
      </w:r>
      <w:r w:rsidR="00793D9D">
        <w:rPr>
          <w:rFonts w:ascii="Calibri" w:hAnsi="Calibri" w:cs="Calibri"/>
        </w:rPr>
        <w:t xml:space="preserve"> variant ‘clades’ are represented by a circle with the following colour codes: AAR: pink; AFUN: grey; AAEL: light blue; AALFPA: dark blue; CQUJ: green; FBG: purple and MOD: </w:t>
      </w:r>
      <w:r w:rsidR="00456413">
        <w:rPr>
          <w:rFonts w:ascii="Calibri" w:hAnsi="Calibri" w:cs="Calibri"/>
        </w:rPr>
        <w:t>o</w:t>
      </w:r>
      <w:r w:rsidR="00793D9D">
        <w:rPr>
          <w:rFonts w:ascii="Calibri" w:hAnsi="Calibri" w:cs="Calibri"/>
        </w:rPr>
        <w:t>range. Bootstraps values from 1000 bootstraps shown on the branches.</w:t>
      </w:r>
      <w:r w:rsidR="0097351C">
        <w:rPr>
          <w:rFonts w:ascii="Calibri" w:hAnsi="Calibri" w:cs="Calibri"/>
        </w:rPr>
        <w:t xml:space="preserve"> </w:t>
      </w:r>
    </w:p>
    <w:p w14:paraId="22180DB5" w14:textId="0DE2BAA0" w:rsidR="00BC6F02" w:rsidRDefault="00EC22BA" w:rsidP="00F829C9">
      <w:pPr>
        <w:jc w:val="center"/>
        <w:rPr>
          <w:rFonts w:ascii="Calibri" w:hAnsi="Calibri" w:cs="Calibri"/>
        </w:rPr>
      </w:pPr>
      <w:r>
        <w:rPr>
          <w:noProof/>
        </w:rPr>
        <w:lastRenderedPageBreak/>
        <w:drawing>
          <wp:inline distT="0" distB="0" distL="0" distR="0" wp14:anchorId="1B6B9189" wp14:editId="5A6EF41B">
            <wp:extent cx="6645910" cy="4191000"/>
            <wp:effectExtent l="0" t="0" r="0" b="0"/>
            <wp:docPr id="1905349783" name="Picture 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49783" name="Picture 2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54DC" w14:textId="408D15AD" w:rsidR="007D751C" w:rsidRDefault="00BC6F02" w:rsidP="007D751C">
      <w:pPr>
        <w:jc w:val="both"/>
        <w:rPr>
          <w:rFonts w:ascii="Calibri" w:hAnsi="Calibri" w:cs="Calibri"/>
        </w:rPr>
      </w:pPr>
      <w:r w:rsidRPr="0082799A">
        <w:rPr>
          <w:rFonts w:ascii="Calibri" w:hAnsi="Calibri" w:cs="Calibri"/>
          <w:b/>
          <w:bCs/>
        </w:rPr>
        <w:t>Figure S</w:t>
      </w:r>
      <w:r w:rsidR="00C5746B" w:rsidRPr="0082799A">
        <w:rPr>
          <w:rFonts w:ascii="Calibri" w:hAnsi="Calibri" w:cs="Calibri"/>
          <w:b/>
          <w:bCs/>
        </w:rPr>
        <w:t>2</w:t>
      </w:r>
      <w:r w:rsidRPr="0082799A">
        <w:rPr>
          <w:rFonts w:ascii="Calibri" w:hAnsi="Calibri" w:cs="Calibri"/>
          <w:b/>
          <w:bCs/>
        </w:rPr>
        <w:t>.</w:t>
      </w:r>
      <w:r w:rsidR="007D751C" w:rsidRPr="0082799A">
        <w:rPr>
          <w:rFonts w:ascii="Calibri" w:hAnsi="Calibri" w:cs="Calibri"/>
          <w:b/>
          <w:bCs/>
        </w:rPr>
        <w:t xml:space="preserve"> Differential UGT transcript expression analysis with RT-qPCR due to circadian rhythm of resistant </w:t>
      </w:r>
      <w:r w:rsidR="007D751C" w:rsidRPr="0082799A">
        <w:rPr>
          <w:rFonts w:ascii="Calibri" w:hAnsi="Calibri" w:cs="Calibri"/>
          <w:b/>
          <w:bCs/>
          <w:i/>
          <w:iCs/>
        </w:rPr>
        <w:t>Anopheles coluzzii</w:t>
      </w:r>
      <w:r w:rsidR="007D751C" w:rsidRPr="0082799A">
        <w:rPr>
          <w:rFonts w:ascii="Calibri" w:hAnsi="Calibri" w:cs="Calibri"/>
          <w:b/>
          <w:bCs/>
        </w:rPr>
        <w:t xml:space="preserve">. </w:t>
      </w:r>
      <w:r w:rsidR="00884481" w:rsidRPr="00E614CF">
        <w:rPr>
          <w:rFonts w:ascii="Calibri" w:hAnsi="Calibri" w:cs="Calibri"/>
        </w:rPr>
        <w:t>Induction of UGT</w:t>
      </w:r>
      <w:r w:rsidR="00181FC2">
        <w:rPr>
          <w:rFonts w:ascii="Calibri" w:hAnsi="Calibri" w:cs="Calibri"/>
        </w:rPr>
        <w:t>s</w:t>
      </w:r>
      <w:r w:rsidR="00884481">
        <w:rPr>
          <w:rFonts w:ascii="Calibri" w:hAnsi="Calibri" w:cs="Calibri"/>
        </w:rPr>
        <w:t xml:space="preserve"> – UGT302A1 (purple), UGT302H2 (pale blue), UGT306A2 (pale turquoise), UGT308G1 (pale peach) –</w:t>
      </w:r>
      <w:r w:rsidR="00884481" w:rsidRPr="00E614CF">
        <w:rPr>
          <w:rFonts w:ascii="Calibri" w:hAnsi="Calibri" w:cs="Calibri"/>
        </w:rPr>
        <w:t xml:space="preserve"> </w:t>
      </w:r>
      <w:r w:rsidR="00884481">
        <w:rPr>
          <w:rFonts w:ascii="Calibri" w:hAnsi="Calibri" w:cs="Calibri"/>
        </w:rPr>
        <w:t xml:space="preserve"> </w:t>
      </w:r>
      <w:r w:rsidR="007D751C">
        <w:rPr>
          <w:rFonts w:ascii="Calibri" w:hAnsi="Calibri" w:cs="Calibri"/>
        </w:rPr>
        <w:t xml:space="preserve">mRNA isolated from mosquitoes 12 hours post-exposure </w:t>
      </w:r>
      <w:r w:rsidR="00884481">
        <w:rPr>
          <w:rFonts w:ascii="Calibri" w:hAnsi="Calibri" w:cs="Calibri"/>
        </w:rPr>
        <w:t xml:space="preserve">‘Exp.12hr’ </w:t>
      </w:r>
      <w:r w:rsidR="007D751C">
        <w:rPr>
          <w:rFonts w:ascii="Calibri" w:hAnsi="Calibri" w:cs="Calibri"/>
        </w:rPr>
        <w:t xml:space="preserve">to 0.05% deltamethrin. ‘Unexp.Imm.’ is mRNA isolated from unexposed mosquitoes in parallel as the 12 hours post-exposure samples. ‘Unexp.Imm’ is mRNA isolated from unexposed mosquitoes in parallel to mosquitoes removed immediately following exposure to 0.05% deltamethrin. </w:t>
      </w:r>
      <w:r w:rsidR="003A4B93">
        <w:rPr>
          <w:rFonts w:ascii="Calibri" w:hAnsi="Calibri" w:cs="Calibri"/>
        </w:rPr>
        <w:t>The</w:t>
      </w:r>
      <w:r w:rsidR="003A4B93" w:rsidRPr="00E614CF">
        <w:rPr>
          <w:rFonts w:ascii="Calibri" w:hAnsi="Calibri" w:cs="Calibri"/>
        </w:rPr>
        <w:t xml:space="preserve"> </w:t>
      </w:r>
      <w:r w:rsidR="003A4B93">
        <w:rPr>
          <w:rFonts w:ascii="Calibri" w:hAnsi="Calibri" w:cs="Calibri"/>
          <w:i/>
          <w:iCs/>
        </w:rPr>
        <w:t xml:space="preserve">y-axis </w:t>
      </w:r>
      <w:r w:rsidR="003A4B93">
        <w:rPr>
          <w:rFonts w:ascii="Calibri" w:hAnsi="Calibri" w:cs="Calibri"/>
        </w:rPr>
        <w:t>is the</w:t>
      </w:r>
      <w:r w:rsidR="00181FC2">
        <w:rPr>
          <w:rFonts w:ascii="Calibri" w:hAnsi="Calibri" w:cs="Calibri"/>
        </w:rPr>
        <w:t xml:space="preserve"> relative</w:t>
      </w:r>
      <w:r w:rsidR="003A4B93">
        <w:rPr>
          <w:rFonts w:ascii="Calibri" w:hAnsi="Calibri" w:cs="Calibri"/>
        </w:rPr>
        <w:t xml:space="preserve"> transcript expression fold change</w:t>
      </w:r>
      <w:r w:rsidR="00181FC2">
        <w:rPr>
          <w:rFonts w:ascii="Calibri" w:hAnsi="Calibri" w:cs="Calibri"/>
        </w:rPr>
        <w:t xml:space="preserve"> compared to control</w:t>
      </w:r>
      <w:r w:rsidR="003A4B93">
        <w:rPr>
          <w:rFonts w:ascii="Calibri" w:hAnsi="Calibri" w:cs="Calibri"/>
        </w:rPr>
        <w:t xml:space="preserve">, and the </w:t>
      </w:r>
      <w:r w:rsidR="003A4B93">
        <w:rPr>
          <w:rFonts w:ascii="Calibri" w:hAnsi="Calibri" w:cs="Calibri"/>
          <w:i/>
          <w:iCs/>
        </w:rPr>
        <w:t xml:space="preserve">x-axis </w:t>
      </w:r>
      <w:r w:rsidR="003A4B93">
        <w:rPr>
          <w:rFonts w:ascii="Calibri" w:hAnsi="Calibri" w:cs="Calibri"/>
        </w:rPr>
        <w:t xml:space="preserve">is each comparison. </w:t>
      </w:r>
      <w:r w:rsidR="003A4B93" w:rsidRPr="00E614CF">
        <w:rPr>
          <w:rFonts w:ascii="Calibri" w:hAnsi="Calibri" w:cs="Calibri"/>
        </w:rPr>
        <w:t xml:space="preserve"> </w:t>
      </w:r>
      <w:r w:rsidR="007D751C" w:rsidRPr="007D751C">
        <w:rPr>
          <w:rFonts w:ascii="Calibri" w:hAnsi="Calibri" w:cs="Calibri"/>
        </w:rPr>
        <w:t>Significance determined by one-way ANOVA and Dunnett’s multiple comparison test, only statistically significant overexpression presented</w:t>
      </w:r>
      <w:r w:rsidR="00D34E56">
        <w:rPr>
          <w:rFonts w:ascii="Calibri" w:hAnsi="Calibri" w:cs="Calibri"/>
        </w:rPr>
        <w:t>, t</w:t>
      </w:r>
      <w:r w:rsidR="00D34E56" w:rsidRPr="00C179DF">
        <w:rPr>
          <w:rFonts w:ascii="Calibri" w:hAnsi="Calibri" w:cs="Calibri"/>
        </w:rPr>
        <w:t xml:space="preserve">he data are mean ± </w:t>
      </w:r>
      <w:r w:rsidR="00D34E56">
        <w:rPr>
          <w:rFonts w:ascii="Calibri" w:hAnsi="Calibri" w:cs="Calibri"/>
        </w:rPr>
        <w:t>SD</w:t>
      </w:r>
      <w:r w:rsidR="00181FC2">
        <w:rPr>
          <w:rFonts w:ascii="Calibri" w:hAnsi="Calibri" w:cs="Calibri"/>
        </w:rPr>
        <w:t>, dotted line represents 1.</w:t>
      </w:r>
    </w:p>
    <w:p w14:paraId="3BA6A645" w14:textId="77777777" w:rsidR="00BD5BC5" w:rsidRDefault="00BD5BC5">
      <w:pPr>
        <w:rPr>
          <w:rFonts w:ascii="Calibri" w:hAnsi="Calibri" w:cs="Calibri"/>
        </w:rPr>
      </w:pPr>
    </w:p>
    <w:p w14:paraId="5CFFC3E4" w14:textId="77777777" w:rsidR="00494D64" w:rsidRDefault="00494D64">
      <w:pPr>
        <w:rPr>
          <w:rFonts w:ascii="Calibri" w:hAnsi="Calibri" w:cs="Calibri"/>
        </w:rPr>
      </w:pPr>
    </w:p>
    <w:p w14:paraId="4D6B8055" w14:textId="77777777" w:rsidR="00494D64" w:rsidRDefault="00494D64">
      <w:pPr>
        <w:rPr>
          <w:rFonts w:ascii="Calibri" w:hAnsi="Calibri" w:cs="Calibri"/>
        </w:rPr>
      </w:pPr>
    </w:p>
    <w:p w14:paraId="66C4C0D5" w14:textId="77777777" w:rsidR="00494D64" w:rsidRDefault="00494D64">
      <w:pPr>
        <w:rPr>
          <w:rFonts w:ascii="Calibri" w:hAnsi="Calibri" w:cs="Calibri"/>
        </w:rPr>
      </w:pPr>
    </w:p>
    <w:p w14:paraId="55387FD4" w14:textId="77777777" w:rsidR="00494D64" w:rsidRDefault="00494D64">
      <w:pPr>
        <w:rPr>
          <w:rFonts w:ascii="Calibri" w:hAnsi="Calibri" w:cs="Calibri"/>
        </w:rPr>
      </w:pPr>
    </w:p>
    <w:p w14:paraId="7C7C8321" w14:textId="77777777" w:rsidR="00494D64" w:rsidRDefault="00494D64">
      <w:pPr>
        <w:rPr>
          <w:rFonts w:ascii="Calibri" w:hAnsi="Calibri" w:cs="Calibri"/>
        </w:rPr>
      </w:pPr>
    </w:p>
    <w:p w14:paraId="00F67A73" w14:textId="77777777" w:rsidR="00494D64" w:rsidRDefault="00494D64">
      <w:pPr>
        <w:rPr>
          <w:rFonts w:ascii="Calibri" w:hAnsi="Calibri" w:cs="Calibri"/>
        </w:rPr>
      </w:pPr>
    </w:p>
    <w:p w14:paraId="2655C8CC" w14:textId="77777777" w:rsidR="00494D64" w:rsidRDefault="00494D64">
      <w:pPr>
        <w:rPr>
          <w:rFonts w:ascii="Calibri" w:hAnsi="Calibri" w:cs="Calibri"/>
        </w:rPr>
      </w:pPr>
    </w:p>
    <w:p w14:paraId="0E55FB7F" w14:textId="77777777" w:rsidR="00494D64" w:rsidRDefault="00494D64">
      <w:pPr>
        <w:rPr>
          <w:rFonts w:ascii="Calibri" w:hAnsi="Calibri" w:cs="Calibri"/>
        </w:rPr>
      </w:pPr>
    </w:p>
    <w:p w14:paraId="2D32AFB7" w14:textId="77777777" w:rsidR="00494D64" w:rsidRDefault="00494D64">
      <w:pPr>
        <w:rPr>
          <w:rFonts w:ascii="Calibri" w:hAnsi="Calibri" w:cs="Calibri"/>
        </w:rPr>
      </w:pPr>
    </w:p>
    <w:p w14:paraId="6B4B19E6" w14:textId="77777777" w:rsidR="00494D64" w:rsidRDefault="00494D64">
      <w:pPr>
        <w:rPr>
          <w:rFonts w:ascii="Calibri" w:hAnsi="Calibri" w:cs="Calibri"/>
        </w:rPr>
      </w:pPr>
    </w:p>
    <w:p w14:paraId="33C8D329" w14:textId="77777777" w:rsidR="00494D64" w:rsidRDefault="00494D64">
      <w:pPr>
        <w:rPr>
          <w:rFonts w:ascii="Calibri" w:hAnsi="Calibri" w:cs="Calibri"/>
        </w:rPr>
      </w:pPr>
    </w:p>
    <w:p w14:paraId="402BF02A" w14:textId="77777777" w:rsidR="00505F76" w:rsidRDefault="00505F76" w:rsidP="00E40F2A">
      <w:pPr>
        <w:jc w:val="both"/>
        <w:rPr>
          <w:rFonts w:ascii="Calibri" w:hAnsi="Calibri" w:cs="Calibri"/>
        </w:rPr>
      </w:pPr>
    </w:p>
    <w:p w14:paraId="37629A2E" w14:textId="7953C865" w:rsidR="001A6F6B" w:rsidRDefault="002364BC" w:rsidP="00C5746B">
      <w:pPr>
        <w:jc w:val="both"/>
        <w:rPr>
          <w:rFonts w:ascii="Calibri" w:hAnsi="Calibri" w:cs="Calibri"/>
          <w:b/>
          <w:bCs/>
        </w:rPr>
      </w:pPr>
      <w:r>
        <w:rPr>
          <w:noProof/>
        </w:rPr>
        <w:lastRenderedPageBreak/>
        <w:drawing>
          <wp:inline distT="0" distB="0" distL="0" distR="0" wp14:anchorId="7A872EA9" wp14:editId="3EA6A278">
            <wp:extent cx="6645910" cy="5353050"/>
            <wp:effectExtent l="0" t="0" r="0" b="0"/>
            <wp:docPr id="715777782" name="Picture 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777782" name="Picture 4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44EC6" w14:textId="05E31E95" w:rsidR="00C5746B" w:rsidRDefault="00C5746B" w:rsidP="00C5746B">
      <w:pPr>
        <w:jc w:val="both"/>
        <w:rPr>
          <w:rFonts w:ascii="Calibri" w:hAnsi="Calibri" w:cs="Calibri"/>
        </w:rPr>
      </w:pPr>
      <w:r w:rsidRPr="0082799A">
        <w:rPr>
          <w:rFonts w:ascii="Calibri" w:hAnsi="Calibri" w:cs="Calibri"/>
          <w:b/>
          <w:bCs/>
        </w:rPr>
        <w:t xml:space="preserve">Figure S3. Increasing sensitivity to 0.05% deltamethrin through the inhibition of UGTs by sulfinpyrazone. </w:t>
      </w:r>
      <w:r>
        <w:rPr>
          <w:rFonts w:ascii="Calibri" w:hAnsi="Calibri" w:cs="Calibri"/>
        </w:rPr>
        <w:t xml:space="preserve">(A) </w:t>
      </w:r>
      <w:r>
        <w:rPr>
          <w:rFonts w:ascii="Calibri" w:hAnsi="Calibri" w:cs="Calibri"/>
          <w:i/>
          <w:iCs/>
        </w:rPr>
        <w:t xml:space="preserve">Anopheles gambiae, </w:t>
      </w:r>
      <w:r>
        <w:rPr>
          <w:rFonts w:ascii="Calibri" w:hAnsi="Calibri" w:cs="Calibri"/>
        </w:rPr>
        <w:t xml:space="preserve">(B) </w:t>
      </w:r>
      <w:r>
        <w:rPr>
          <w:rFonts w:ascii="Calibri" w:hAnsi="Calibri" w:cs="Calibri"/>
          <w:i/>
          <w:iCs/>
        </w:rPr>
        <w:t>Anopheles coluzzii</w:t>
      </w:r>
      <w:r>
        <w:rPr>
          <w:rFonts w:ascii="Calibri" w:hAnsi="Calibri" w:cs="Calibri"/>
        </w:rPr>
        <w:t xml:space="preserve">, (C) </w:t>
      </w:r>
      <w:r>
        <w:rPr>
          <w:rFonts w:ascii="Calibri" w:hAnsi="Calibri" w:cs="Calibri"/>
          <w:i/>
          <w:iCs/>
        </w:rPr>
        <w:t>Anopheles arabiensis</w:t>
      </w:r>
      <w:r>
        <w:rPr>
          <w:rFonts w:ascii="Calibri" w:hAnsi="Calibri" w:cs="Calibri"/>
        </w:rPr>
        <w:t xml:space="preserve">. </w:t>
      </w:r>
      <w:r w:rsidR="00011268">
        <w:rPr>
          <w:rFonts w:ascii="Calibri" w:hAnsi="Calibri" w:cs="Calibri"/>
        </w:rPr>
        <w:t>The</w:t>
      </w:r>
      <w:r w:rsidR="00011268" w:rsidRPr="00E614CF">
        <w:rPr>
          <w:rFonts w:ascii="Calibri" w:hAnsi="Calibri" w:cs="Calibri"/>
        </w:rPr>
        <w:t xml:space="preserve"> </w:t>
      </w:r>
      <w:r w:rsidR="00011268">
        <w:rPr>
          <w:rFonts w:ascii="Calibri" w:hAnsi="Calibri" w:cs="Calibri"/>
          <w:i/>
          <w:iCs/>
        </w:rPr>
        <w:t xml:space="preserve">y-axis </w:t>
      </w:r>
      <w:r w:rsidR="00011268">
        <w:rPr>
          <w:rFonts w:ascii="Calibri" w:hAnsi="Calibri" w:cs="Calibri"/>
        </w:rPr>
        <w:t xml:space="preserve">is the mortality (%) caused by each condition, and the </w:t>
      </w:r>
      <w:r w:rsidR="00011268">
        <w:rPr>
          <w:rFonts w:ascii="Calibri" w:hAnsi="Calibri" w:cs="Calibri"/>
          <w:i/>
          <w:iCs/>
        </w:rPr>
        <w:t xml:space="preserve">x-axis </w:t>
      </w:r>
      <w:r w:rsidR="00011268">
        <w:rPr>
          <w:rFonts w:ascii="Calibri" w:hAnsi="Calibri" w:cs="Calibri"/>
        </w:rPr>
        <w:t>is concentration of sulfinpyrazone</w:t>
      </w:r>
      <w:r w:rsidR="00354A38">
        <w:rPr>
          <w:rFonts w:ascii="Calibri" w:hAnsi="Calibri" w:cs="Calibri"/>
        </w:rPr>
        <w:t xml:space="preserve"> (%)</w:t>
      </w:r>
      <w:r w:rsidR="00011268">
        <w:rPr>
          <w:rFonts w:ascii="Calibri" w:hAnsi="Calibri" w:cs="Calibri"/>
        </w:rPr>
        <w:t xml:space="preserve">. Mortality of sulfinpyrazone alone is blue and the combination of deltamethrin plus sulfinpyrazone is purple. </w:t>
      </w:r>
      <w:r>
        <w:rPr>
          <w:rFonts w:ascii="Calibri" w:hAnsi="Calibri" w:cs="Calibri"/>
        </w:rPr>
        <w:t>Dotted line represents mortality induced by deltamethrin alone</w:t>
      </w:r>
      <w:r w:rsidR="00D34E56">
        <w:rPr>
          <w:rFonts w:ascii="Calibri" w:hAnsi="Calibri" w:cs="Calibri"/>
        </w:rPr>
        <w:t>, t</w:t>
      </w:r>
      <w:r w:rsidR="00D34E56" w:rsidRPr="00C179DF">
        <w:rPr>
          <w:rFonts w:ascii="Calibri" w:hAnsi="Calibri" w:cs="Calibri"/>
        </w:rPr>
        <w:t xml:space="preserve">he data are mean ± </w:t>
      </w:r>
      <w:r w:rsidR="00D34E56">
        <w:rPr>
          <w:rFonts w:ascii="Calibri" w:hAnsi="Calibri" w:cs="Calibri"/>
        </w:rPr>
        <w:t>SD</w:t>
      </w:r>
      <w:r>
        <w:rPr>
          <w:rFonts w:ascii="Calibri" w:hAnsi="Calibri" w:cs="Calibri"/>
        </w:rPr>
        <w:t>.</w:t>
      </w:r>
    </w:p>
    <w:p w14:paraId="1A19F245" w14:textId="77777777" w:rsidR="00297BA5" w:rsidRDefault="00297BA5" w:rsidP="00E40F2A">
      <w:pPr>
        <w:jc w:val="both"/>
        <w:rPr>
          <w:rFonts w:ascii="Calibri" w:hAnsi="Calibri" w:cs="Calibri"/>
        </w:rPr>
      </w:pPr>
    </w:p>
    <w:p w14:paraId="510E0662" w14:textId="3275FA79" w:rsidR="00BC6F02" w:rsidRDefault="002364BC" w:rsidP="00F829C9">
      <w:pPr>
        <w:jc w:val="center"/>
        <w:rPr>
          <w:rFonts w:ascii="Calibri" w:hAnsi="Calibri" w:cs="Calibri"/>
        </w:rPr>
      </w:pPr>
      <w:r>
        <w:rPr>
          <w:noProof/>
        </w:rPr>
        <w:lastRenderedPageBreak/>
        <w:drawing>
          <wp:inline distT="0" distB="0" distL="0" distR="0" wp14:anchorId="6DB00541" wp14:editId="5478F046">
            <wp:extent cx="6645910" cy="5276850"/>
            <wp:effectExtent l="0" t="0" r="0" b="0"/>
            <wp:docPr id="442715681" name="Picture 3" descr="A line drawing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715681" name="Picture 3" descr="A line drawing of different colored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3B65D" w14:textId="75FE631D" w:rsidR="00BC6F02" w:rsidRDefault="00BC6F02" w:rsidP="00604E8B">
      <w:pPr>
        <w:jc w:val="both"/>
        <w:rPr>
          <w:rFonts w:ascii="Calibri" w:hAnsi="Calibri" w:cs="Calibri"/>
        </w:rPr>
      </w:pPr>
      <w:r w:rsidRPr="001A6F6B">
        <w:rPr>
          <w:rFonts w:ascii="Calibri" w:hAnsi="Calibri" w:cs="Calibri"/>
          <w:b/>
          <w:bCs/>
        </w:rPr>
        <w:t>Figure S</w:t>
      </w:r>
      <w:r w:rsidR="00BC1F1C" w:rsidRPr="001A6F6B">
        <w:rPr>
          <w:rFonts w:ascii="Calibri" w:hAnsi="Calibri" w:cs="Calibri"/>
          <w:b/>
          <w:bCs/>
        </w:rPr>
        <w:t>5</w:t>
      </w:r>
      <w:r w:rsidRPr="001A6F6B">
        <w:rPr>
          <w:rFonts w:ascii="Calibri" w:hAnsi="Calibri" w:cs="Calibri"/>
          <w:b/>
          <w:bCs/>
        </w:rPr>
        <w:t xml:space="preserve">. </w:t>
      </w:r>
      <w:r w:rsidR="00AB6090" w:rsidRPr="001A6F6B">
        <w:rPr>
          <w:rFonts w:ascii="Calibri" w:hAnsi="Calibri" w:cs="Calibri"/>
          <w:b/>
          <w:bCs/>
        </w:rPr>
        <w:t xml:space="preserve">Investigation of sulfinpyrazone affinity to </w:t>
      </w:r>
      <w:r w:rsidR="006846FA" w:rsidRPr="001A6F6B">
        <w:rPr>
          <w:rFonts w:ascii="Calibri" w:hAnsi="Calibri" w:cs="Calibri"/>
          <w:b/>
          <w:bCs/>
        </w:rPr>
        <w:t>C</w:t>
      </w:r>
      <w:r w:rsidR="00AB6090" w:rsidRPr="001A6F6B">
        <w:rPr>
          <w:rFonts w:ascii="Calibri" w:hAnsi="Calibri" w:cs="Calibri"/>
          <w:b/>
          <w:bCs/>
        </w:rPr>
        <w:t>ytochrome P450s.</w:t>
      </w:r>
      <w:r w:rsidR="00AB6090">
        <w:rPr>
          <w:rFonts w:ascii="Calibri" w:hAnsi="Calibri" w:cs="Calibri"/>
        </w:rPr>
        <w:t xml:space="preserve"> CYP6M2</w:t>
      </w:r>
      <w:r w:rsidR="00354A38">
        <w:rPr>
          <w:rFonts w:ascii="Calibri" w:hAnsi="Calibri" w:cs="Calibri"/>
        </w:rPr>
        <w:t xml:space="preserve"> (purple)</w:t>
      </w:r>
      <w:r w:rsidR="00AB6090">
        <w:rPr>
          <w:rFonts w:ascii="Calibri" w:hAnsi="Calibri" w:cs="Calibri"/>
        </w:rPr>
        <w:t>, 6P3</w:t>
      </w:r>
      <w:r w:rsidR="00354A38">
        <w:rPr>
          <w:rFonts w:ascii="Calibri" w:hAnsi="Calibri" w:cs="Calibri"/>
        </w:rPr>
        <w:t xml:space="preserve"> (blue)</w:t>
      </w:r>
      <w:r w:rsidR="00AB6090">
        <w:rPr>
          <w:rFonts w:ascii="Calibri" w:hAnsi="Calibri" w:cs="Calibri"/>
        </w:rPr>
        <w:t xml:space="preserve">, 6P4 </w:t>
      </w:r>
      <w:r w:rsidR="00354A38">
        <w:rPr>
          <w:rFonts w:ascii="Calibri" w:hAnsi="Calibri" w:cs="Calibri"/>
        </w:rPr>
        <w:t xml:space="preserve">(teal) </w:t>
      </w:r>
      <w:r w:rsidR="00AB6090">
        <w:rPr>
          <w:rFonts w:ascii="Calibri" w:hAnsi="Calibri" w:cs="Calibri"/>
        </w:rPr>
        <w:t xml:space="preserve">and 9K1 </w:t>
      </w:r>
      <w:r w:rsidR="00354A38">
        <w:rPr>
          <w:rFonts w:ascii="Calibri" w:hAnsi="Calibri" w:cs="Calibri"/>
        </w:rPr>
        <w:t xml:space="preserve">(orange) </w:t>
      </w:r>
      <w:r w:rsidR="00AB6090">
        <w:rPr>
          <w:rFonts w:ascii="Calibri" w:hAnsi="Calibri" w:cs="Calibri"/>
        </w:rPr>
        <w:t xml:space="preserve">showed no changes in production of fluorescence with </w:t>
      </w:r>
      <w:r w:rsidR="00604E8B">
        <w:rPr>
          <w:rFonts w:ascii="Calibri" w:hAnsi="Calibri" w:cs="Calibri"/>
        </w:rPr>
        <w:t>increas</w:t>
      </w:r>
      <w:r w:rsidR="00B70A6E">
        <w:rPr>
          <w:rFonts w:ascii="Calibri" w:hAnsi="Calibri" w:cs="Calibri"/>
        </w:rPr>
        <w:t>ing</w:t>
      </w:r>
      <w:r w:rsidR="00604E8B">
        <w:rPr>
          <w:rFonts w:ascii="Calibri" w:hAnsi="Calibri" w:cs="Calibri"/>
        </w:rPr>
        <w:t xml:space="preserve"> doses </w:t>
      </w:r>
      <w:r w:rsidR="00AB6090">
        <w:rPr>
          <w:rFonts w:ascii="Calibri" w:hAnsi="Calibri" w:cs="Calibri"/>
        </w:rPr>
        <w:t xml:space="preserve">of sulfinpyrazone demonstrating no affinity of CYP450s </w:t>
      </w:r>
      <w:r w:rsidR="00AD5554">
        <w:rPr>
          <w:rFonts w:ascii="Calibri" w:hAnsi="Calibri" w:cs="Calibri"/>
        </w:rPr>
        <w:t xml:space="preserve">towards </w:t>
      </w:r>
      <w:r w:rsidR="00AB6090">
        <w:rPr>
          <w:rFonts w:ascii="Calibri" w:hAnsi="Calibri" w:cs="Calibri"/>
        </w:rPr>
        <w:t>this compound.</w:t>
      </w:r>
      <w:r w:rsidR="00354A38">
        <w:rPr>
          <w:rFonts w:ascii="Calibri" w:hAnsi="Calibri" w:cs="Calibri"/>
        </w:rPr>
        <w:t xml:space="preserve"> The</w:t>
      </w:r>
      <w:r w:rsidR="00354A38" w:rsidRPr="00E614CF">
        <w:rPr>
          <w:rFonts w:ascii="Calibri" w:hAnsi="Calibri" w:cs="Calibri"/>
        </w:rPr>
        <w:t xml:space="preserve"> </w:t>
      </w:r>
      <w:r w:rsidR="00354A38">
        <w:rPr>
          <w:rFonts w:ascii="Calibri" w:hAnsi="Calibri" w:cs="Calibri"/>
          <w:i/>
          <w:iCs/>
        </w:rPr>
        <w:t xml:space="preserve">y-axis </w:t>
      </w:r>
      <w:r w:rsidR="00354A38">
        <w:rPr>
          <w:rFonts w:ascii="Calibri" w:hAnsi="Calibri" w:cs="Calibri"/>
        </w:rPr>
        <w:t xml:space="preserve">is the relative fluorescence units produced per nmol CYP450 per second (RFU/nmol/s) mortality (%), and the </w:t>
      </w:r>
      <w:r w:rsidR="00354A38">
        <w:rPr>
          <w:rFonts w:ascii="Calibri" w:hAnsi="Calibri" w:cs="Calibri"/>
          <w:i/>
          <w:iCs/>
        </w:rPr>
        <w:t xml:space="preserve">x-axis </w:t>
      </w:r>
      <w:r w:rsidR="00354A38">
        <w:rPr>
          <w:rFonts w:ascii="Calibri" w:hAnsi="Calibri" w:cs="Calibri"/>
        </w:rPr>
        <w:t>is concentration of sulfinpyrazone (μM).</w:t>
      </w:r>
    </w:p>
    <w:p w14:paraId="4C1291F3" w14:textId="77777777" w:rsidR="00531038" w:rsidRDefault="00531038" w:rsidP="00604E8B">
      <w:pPr>
        <w:jc w:val="both"/>
        <w:rPr>
          <w:rFonts w:ascii="Calibri" w:hAnsi="Calibri" w:cs="Calibri"/>
        </w:rPr>
      </w:pPr>
    </w:p>
    <w:p w14:paraId="6C310C3D" w14:textId="77777777" w:rsidR="00531038" w:rsidRPr="00BC6F02" w:rsidRDefault="00531038" w:rsidP="00604E8B">
      <w:pPr>
        <w:jc w:val="both"/>
        <w:rPr>
          <w:rFonts w:ascii="Calibri" w:hAnsi="Calibri" w:cs="Calibri"/>
        </w:rPr>
      </w:pPr>
    </w:p>
    <w:sectPr w:rsidR="00531038" w:rsidRPr="00BC6F02" w:rsidSect="00F232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02"/>
    <w:rsid w:val="00011268"/>
    <w:rsid w:val="00020EB3"/>
    <w:rsid w:val="0006716E"/>
    <w:rsid w:val="00076C4B"/>
    <w:rsid w:val="0008511E"/>
    <w:rsid w:val="00181FC2"/>
    <w:rsid w:val="001A6F6B"/>
    <w:rsid w:val="001F7743"/>
    <w:rsid w:val="002364BC"/>
    <w:rsid w:val="00297BA5"/>
    <w:rsid w:val="002B1727"/>
    <w:rsid w:val="00331FB9"/>
    <w:rsid w:val="00354A38"/>
    <w:rsid w:val="003A4B93"/>
    <w:rsid w:val="003A5C2E"/>
    <w:rsid w:val="00456413"/>
    <w:rsid w:val="00494D64"/>
    <w:rsid w:val="004D24A6"/>
    <w:rsid w:val="00505F76"/>
    <w:rsid w:val="00531038"/>
    <w:rsid w:val="005521D2"/>
    <w:rsid w:val="00577811"/>
    <w:rsid w:val="005C1DFE"/>
    <w:rsid w:val="00604E8B"/>
    <w:rsid w:val="00623B45"/>
    <w:rsid w:val="00634134"/>
    <w:rsid w:val="006367B1"/>
    <w:rsid w:val="00636A90"/>
    <w:rsid w:val="0065007E"/>
    <w:rsid w:val="0065083B"/>
    <w:rsid w:val="00670DFF"/>
    <w:rsid w:val="006846FA"/>
    <w:rsid w:val="00684E2F"/>
    <w:rsid w:val="006D65D5"/>
    <w:rsid w:val="006F2B25"/>
    <w:rsid w:val="00780413"/>
    <w:rsid w:val="00793D9D"/>
    <w:rsid w:val="007D751C"/>
    <w:rsid w:val="0082799A"/>
    <w:rsid w:val="00843FA0"/>
    <w:rsid w:val="00884481"/>
    <w:rsid w:val="00933358"/>
    <w:rsid w:val="00934863"/>
    <w:rsid w:val="00940A2A"/>
    <w:rsid w:val="00955658"/>
    <w:rsid w:val="0097351C"/>
    <w:rsid w:val="009F3AF9"/>
    <w:rsid w:val="00A616CC"/>
    <w:rsid w:val="00A66937"/>
    <w:rsid w:val="00A77AD7"/>
    <w:rsid w:val="00AA5534"/>
    <w:rsid w:val="00AB6090"/>
    <w:rsid w:val="00AD5554"/>
    <w:rsid w:val="00B10588"/>
    <w:rsid w:val="00B65F03"/>
    <w:rsid w:val="00B70A6E"/>
    <w:rsid w:val="00BB0D7F"/>
    <w:rsid w:val="00BC1F1C"/>
    <w:rsid w:val="00BC6F02"/>
    <w:rsid w:val="00BD1C51"/>
    <w:rsid w:val="00BD5BC5"/>
    <w:rsid w:val="00BF5EF8"/>
    <w:rsid w:val="00C36757"/>
    <w:rsid w:val="00C44E7C"/>
    <w:rsid w:val="00C52CA5"/>
    <w:rsid w:val="00C5746B"/>
    <w:rsid w:val="00C838C6"/>
    <w:rsid w:val="00D20C6A"/>
    <w:rsid w:val="00D27C81"/>
    <w:rsid w:val="00D34E56"/>
    <w:rsid w:val="00D9400B"/>
    <w:rsid w:val="00E33176"/>
    <w:rsid w:val="00E40F2A"/>
    <w:rsid w:val="00E47B96"/>
    <w:rsid w:val="00E950E0"/>
    <w:rsid w:val="00EC22BA"/>
    <w:rsid w:val="00F1097E"/>
    <w:rsid w:val="00F2329C"/>
    <w:rsid w:val="00F818BB"/>
    <w:rsid w:val="00F8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DF4BF"/>
  <w15:chartTrackingRefBased/>
  <w15:docId w15:val="{DBD713FE-0551-4114-8F4C-212C983B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F0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67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71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71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16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0E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Logan</dc:creator>
  <cp:keywords/>
  <dc:description/>
  <cp:lastModifiedBy>Rhiannon Logan</cp:lastModifiedBy>
  <cp:revision>3</cp:revision>
  <dcterms:created xsi:type="dcterms:W3CDTF">2024-06-03T12:53:00Z</dcterms:created>
  <dcterms:modified xsi:type="dcterms:W3CDTF">2024-06-03T14:09:00Z</dcterms:modified>
</cp:coreProperties>
</file>