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54EC0" w14:textId="77777777" w:rsidR="00523E1F" w:rsidRDefault="00523E1F" w:rsidP="00523E1F">
      <w:pPr>
        <w:pStyle w:val="Heading1"/>
        <w:rPr>
          <w:rFonts w:cs="Times New Roman"/>
        </w:rPr>
      </w:pPr>
      <w:r>
        <w:rPr>
          <w:rFonts w:cs="Times New Roman"/>
        </w:rPr>
        <w:t>Extended Data</w:t>
      </w:r>
      <w:r w:rsidRPr="00EA6FD1">
        <w:rPr>
          <w:rFonts w:cs="Times New Roman"/>
        </w:rPr>
        <w:t xml:space="preserve"> Figures</w:t>
      </w:r>
    </w:p>
    <w:p w14:paraId="0EBAE748" w14:textId="77777777" w:rsidR="00523E1F" w:rsidRPr="00310A58" w:rsidRDefault="00523E1F" w:rsidP="00523E1F"/>
    <w:p w14:paraId="33476C3B" w14:textId="77777777" w:rsidR="00523E1F" w:rsidRPr="009A0127" w:rsidRDefault="00523E1F" w:rsidP="00523E1F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9A0127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drawing>
          <wp:inline distT="0" distB="0" distL="0" distR="0" wp14:anchorId="48EE5A56" wp14:editId="7B0C7A78">
            <wp:extent cx="5943600" cy="1663065"/>
            <wp:effectExtent l="0" t="0" r="0" b="635"/>
            <wp:docPr id="116740705" name="Picture 1" descr="A blue and pink squares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40705" name="Picture 1" descr="A blue and pink squares with black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FDA51" w14:textId="77777777" w:rsidR="00523E1F" w:rsidRPr="00B74BF5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Extended Data Fig. 1 |</w:t>
      </w:r>
      <w:r w:rsidRPr="009A0127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 Percentage of targeted regions overlapping with clinical gene regions and repetitive regions.</w:t>
      </w:r>
    </w:p>
    <w:p w14:paraId="393728D2" w14:textId="77777777" w:rsidR="00523E1F" w:rsidRDefault="00523E1F" w:rsidP="00523E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3F2CA8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lastRenderedPageBreak/>
        <w:drawing>
          <wp:inline distT="0" distB="0" distL="0" distR="0" wp14:anchorId="28C336A5" wp14:editId="641424E4">
            <wp:extent cx="4533698" cy="5319346"/>
            <wp:effectExtent l="0" t="0" r="635" b="2540"/>
            <wp:docPr id="1082289161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289161" name="Picture 1" descr="A close-up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4324" cy="533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5E080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Extended Data Fig. 2 |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 Pre-alignment quality control of sequencing data using FastQC.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Sequence quality histograms show the mean quality value across each base position in the read.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b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Per-sequence GC content indicates the average GC content of reads. Normal random libraries typically have a roughly normal distribution of GC content.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c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Per-base N content represents the percentage of base calls at each position for which an N was called.</w:t>
      </w:r>
    </w:p>
    <w:p w14:paraId="0C224AAC" w14:textId="77777777" w:rsidR="00523E1F" w:rsidRDefault="00523E1F" w:rsidP="00523E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E67EE6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lastRenderedPageBreak/>
        <w:drawing>
          <wp:inline distT="0" distB="0" distL="0" distR="0" wp14:anchorId="73D82D92" wp14:editId="475925B6">
            <wp:extent cx="4562693" cy="5558589"/>
            <wp:effectExtent l="0" t="0" r="0" b="4445"/>
            <wp:docPr id="885214330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214330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718" cy="5570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7567E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3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Issues identified in pre-alignment quality control of sequencing data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, include: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Cumulative percentage count of the proportion of libraries that have each adapter sequence at each position.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b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Proportion of each base position for which each of the four normal DNA bases has been called.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c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Library contamination checked by FastqScreen by mapping reads to genomes of other organisms, including adapter, vector, E.coli, virus, yeast, etc.</w:t>
      </w:r>
    </w:p>
    <w:p w14:paraId="3ADDE77B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noProof/>
          <w:color w:val="000000" w:themeColor="text1"/>
          <w:kern w:val="0"/>
        </w:rPr>
        <w:lastRenderedPageBreak/>
        <w:drawing>
          <wp:inline distT="0" distB="0" distL="0" distR="0" wp14:anchorId="420891B5" wp14:editId="5DCA9762">
            <wp:extent cx="5262113" cy="4201237"/>
            <wp:effectExtent l="0" t="0" r="0" b="0"/>
            <wp:docPr id="13404875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48753" name="Picture 13404875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2" t="5306" r="2856" b="6359"/>
                    <a:stretch/>
                  </pic:blipFill>
                  <pic:spPr bwMode="auto">
                    <a:xfrm>
                      <a:off x="0" y="0"/>
                      <a:ext cx="5275951" cy="4212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62D00" w14:textId="77777777" w:rsidR="00523E1F" w:rsidRPr="00B74BF5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4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Read quality and capture efficiency across high, middle, and low-quality group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14:ligatures w14:val="none"/>
        </w:rPr>
        <w:t>s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.</w:t>
      </w:r>
    </w:p>
    <w:p w14:paraId="7DF95899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61C8F2AC" w14:textId="77777777" w:rsidR="00523E1F" w:rsidRDefault="00523E1F" w:rsidP="00523E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926C8D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drawing>
          <wp:inline distT="0" distB="0" distL="0" distR="0" wp14:anchorId="401E6125" wp14:editId="68819A69">
            <wp:extent cx="3692106" cy="1846053"/>
            <wp:effectExtent l="0" t="0" r="3810" b="0"/>
            <wp:docPr id="1702277445" name="Picture 1" descr="A graph of different levels of qualit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277445" name="Picture 1" descr="A graph of different levels of quality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55758" cy="1877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28B85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5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Read quality groups and their contamination status.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High contamination indicates less than 98% of reads mapped to the human genome, greater than 2% of reads mapped to vectors, and greater than 2% of reads not mapped to any organisms. Low contamination indicates greater than 98% of reads mapped to the human genome, less than 2% 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lastRenderedPageBreak/>
        <w:t>mapped to vectors, and less than 2% with no hit. The middle contamination satisfied two of three conditions.</w:t>
      </w:r>
    </w:p>
    <w:p w14:paraId="637F61C1" w14:textId="77777777" w:rsidR="00523E1F" w:rsidRPr="000C1834" w:rsidRDefault="00523E1F" w:rsidP="00523E1F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28D60D72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674D9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drawing>
          <wp:inline distT="0" distB="0" distL="0" distR="0" wp14:anchorId="4F0DA368" wp14:editId="5942B0E2">
            <wp:extent cx="5943600" cy="4293235"/>
            <wp:effectExtent l="0" t="0" r="0" b="0"/>
            <wp:docPr id="1359521887" name="Picture 1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521887" name="Picture 1" descr="A graph of a graph of a graph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E8A35" w14:textId="77777777" w:rsidR="00523E1F" w:rsidRPr="00B74BF5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6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Number of (a) reported SNVs and Indels from raw VCF files and after filtration, and (b) variants inside the targeted regions versus those outside of the targeted regions.</w:t>
      </w:r>
    </w:p>
    <w:p w14:paraId="2C98EB25" w14:textId="77777777" w:rsidR="00523E1F" w:rsidRDefault="00523E1F" w:rsidP="00523E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noProof/>
          <w:color w:val="000000" w:themeColor="text1"/>
          <w:kern w:val="0"/>
        </w:rPr>
        <w:drawing>
          <wp:inline distT="0" distB="0" distL="0" distR="0" wp14:anchorId="6E88C1B7" wp14:editId="0F7C6DBD">
            <wp:extent cx="3545456" cy="2215910"/>
            <wp:effectExtent l="0" t="0" r="0" b="0"/>
            <wp:docPr id="8982124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212470" name="Picture 89821247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4807" cy="2240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1C6C2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lastRenderedPageBreak/>
        <w:t xml:space="preserve">Extended Data Fig. 7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Mendelian concordance rates of variants detected inside and outside the target regions.</w:t>
      </w:r>
    </w:p>
    <w:p w14:paraId="6AB2AB8F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870E9C">
        <w:rPr>
          <w:rFonts w:ascii="Times New Roman" w:hAnsi="Times New Roman" w:cs="Times New Roman"/>
          <w:b/>
          <w:bCs/>
          <w:noProof/>
          <w:color w:val="000000" w:themeColor="text1"/>
          <w:kern w:val="0"/>
          <w14:ligatures w14:val="none"/>
        </w:rPr>
        <w:drawing>
          <wp:inline distT="0" distB="0" distL="0" distR="0" wp14:anchorId="338AA0A3" wp14:editId="684150CC">
            <wp:extent cx="5943600" cy="5746115"/>
            <wp:effectExtent l="0" t="0" r="0" b="0"/>
            <wp:docPr id="1756676627" name="Picture 1" descr="A graph and diagram of a ge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676627" name="Picture 1" descr="A graph and diagram of a gene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4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C77CC" w14:textId="77777777" w:rsidR="00523E1F" w:rsidRPr="00870E9C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8 | </w:t>
      </w:r>
      <w:r w:rsidRPr="00870E9C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Performance of small variants detection in clinical genes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. (a) 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Precision and recall of small variants calling in clinical gene regions.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(b)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Mean false positives per lab on clinical genes.</w:t>
      </w:r>
    </w:p>
    <w:p w14:paraId="533CB329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5AB214DE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971C5F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lastRenderedPageBreak/>
        <w:drawing>
          <wp:inline distT="0" distB="0" distL="0" distR="0" wp14:anchorId="2CC59C2B" wp14:editId="3404F357">
            <wp:extent cx="6383708" cy="2463457"/>
            <wp:effectExtent l="0" t="0" r="4445" b="635"/>
            <wp:docPr id="591444787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444787" name="Picture 1" descr="A screenshot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07940" cy="247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774D7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9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Consistency of performance across 12 samples sequenced and analyzed in each lab.</w:t>
      </w:r>
    </w:p>
    <w:p w14:paraId="70AA6765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</w:p>
    <w:p w14:paraId="544D814E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noProof/>
          <w:color w:val="000000" w:themeColor="text1"/>
          <w:kern w:val="0"/>
        </w:rPr>
        <w:drawing>
          <wp:inline distT="0" distB="0" distL="0" distR="0" wp14:anchorId="3CF822A7" wp14:editId="1656368A">
            <wp:extent cx="5943600" cy="3302000"/>
            <wp:effectExtent l="0" t="0" r="0" b="0"/>
            <wp:docPr id="173454727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547279" name="Picture 173454727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671AA" w14:textId="77777777" w:rsidR="00523E1F" w:rsidRPr="00B74BF5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10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Precision and recall of SNVs and Indels detected from low-quality sequencing datasets by one or more intersection of multiple callers.</w:t>
      </w:r>
    </w:p>
    <w:p w14:paraId="412368EA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067CB0E7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789B43DD" w14:textId="77777777" w:rsidR="00523E1F" w:rsidRDefault="00523E1F" w:rsidP="00523E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D635A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lastRenderedPageBreak/>
        <w:drawing>
          <wp:inline distT="0" distB="0" distL="0" distR="0" wp14:anchorId="047705C2" wp14:editId="65248ABD">
            <wp:extent cx="5775058" cy="7410091"/>
            <wp:effectExtent l="0" t="0" r="3810" b="0"/>
            <wp:docPr id="1051213464" name="Picture 1" descr="A group of graphs with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213464" name="Picture 1" descr="A group of graphs with different colored dots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07958" cy="745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76D18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11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Performance comparison between unfiltered (Sentieon HaplotypeCaller with BQSR) and filtered (submitted filtered VCF files by labs) variant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lastRenderedPageBreak/>
        <w:t>calling results.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SNV F1 scores,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b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Indel F1 scores,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c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SNV precision,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d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Indel Precision,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e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SNV recall, (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f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) Indel recall.</w:t>
      </w:r>
    </w:p>
    <w:p w14:paraId="21711CA5" w14:textId="77777777" w:rsidR="00523E1F" w:rsidRDefault="00523E1F" w:rsidP="00523E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noProof/>
          <w:color w:val="000000" w:themeColor="text1"/>
          <w:kern w:val="0"/>
        </w:rPr>
        <w:drawing>
          <wp:inline distT="0" distB="0" distL="0" distR="0" wp14:anchorId="45EB5564" wp14:editId="7037CA45">
            <wp:extent cx="4188542" cy="1933173"/>
            <wp:effectExtent l="0" t="0" r="0" b="0"/>
            <wp:docPr id="3665321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532153" name="Picture 366532153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3856" cy="194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4A137" w14:textId="77777777" w:rsidR="00523E1F" w:rsidRPr="00B74BF5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12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Precision and recall of SNVs and Indels filtered by various depth thresholds.</w:t>
      </w:r>
    </w:p>
    <w:p w14:paraId="2E896218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67850583" w14:textId="77777777" w:rsidR="00523E1F" w:rsidRDefault="00523E1F" w:rsidP="00523E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195D94">
        <w:rPr>
          <w:rFonts w:ascii="Times New Roman" w:hAnsi="Times New Roman" w:cs="Times New Roman"/>
          <w:noProof/>
          <w:color w:val="000000" w:themeColor="text1"/>
          <w:kern w:val="0"/>
          <w14:ligatures w14:val="none"/>
        </w:rPr>
        <w:lastRenderedPageBreak/>
        <w:drawing>
          <wp:inline distT="0" distB="0" distL="0" distR="0" wp14:anchorId="2757BD51" wp14:editId="6C0696D4">
            <wp:extent cx="4425437" cy="5004620"/>
            <wp:effectExtent l="0" t="0" r="0" b="0"/>
            <wp:docPr id="900904172" name="Picture 1" descr="A graph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904172" name="Picture 1" descr="A graph of different colored squares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51891" cy="5034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167C6" w14:textId="77777777" w:rsidR="00523E1F" w:rsidRDefault="00523E1F" w:rsidP="00523E1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13 | 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The on-target bases rate, fold-80 penalty, and percentage of coverage greater than 100x in the target region for different capture kits.</w:t>
      </w:r>
    </w:p>
    <w:p w14:paraId="03671A6F" w14:textId="77777777" w:rsidR="00523E1F" w:rsidRDefault="00523E1F" w:rsidP="00523E1F">
      <w:pPr>
        <w:spacing w:line="360" w:lineRule="auto"/>
        <w:rPr>
          <w:rFonts w:asciiTheme="majorHAnsi" w:eastAsiaTheme="majorEastAsia" w:hAnsiTheme="majorHAnsi" w:cs="Times New Roman"/>
          <w:color w:val="0F4761" w:themeColor="accent1" w:themeShade="BF"/>
          <w:sz w:val="40"/>
          <w:szCs w:val="40"/>
        </w:rPr>
      </w:pPr>
      <w:r w:rsidRPr="00A3599A">
        <w:rPr>
          <w:rFonts w:asciiTheme="majorHAnsi" w:eastAsiaTheme="majorEastAsia" w:hAnsiTheme="majorHAnsi" w:cs="Times New Roman"/>
          <w:noProof/>
          <w:color w:val="0F4761" w:themeColor="accent1" w:themeShade="BF"/>
          <w:sz w:val="40"/>
          <w:szCs w:val="40"/>
        </w:rPr>
        <w:lastRenderedPageBreak/>
        <w:drawing>
          <wp:inline distT="0" distB="0" distL="0" distR="0" wp14:anchorId="53D52B04" wp14:editId="33E016CA">
            <wp:extent cx="5943600" cy="4648835"/>
            <wp:effectExtent l="0" t="0" r="0" b="0"/>
            <wp:docPr id="982168366" name="Picture 1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168366" name="Picture 1" descr="A screen shot of a graph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DBF69" w14:textId="77777777" w:rsidR="00523E1F" w:rsidRDefault="00523E1F" w:rsidP="00523E1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Extended Data Fig. 14 |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14:ligatures w14:val="none"/>
        </w:rPr>
        <w:t>Pairwise c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onsistency between submitted targeted bed regions by participating labs.</w:t>
      </w:r>
    </w:p>
    <w:p w14:paraId="7E54E3A0" w14:textId="77777777" w:rsidR="00523E1F" w:rsidRPr="00B74BF5" w:rsidRDefault="00523E1F" w:rsidP="00523E1F">
      <w:pPr>
        <w:spacing w:line="360" w:lineRule="auto"/>
        <w:rPr>
          <w:rFonts w:asciiTheme="majorHAnsi" w:eastAsiaTheme="majorEastAsia" w:hAnsiTheme="majorHAnsi" w:cs="Times New Roman"/>
          <w:color w:val="0F4761" w:themeColor="accent1" w:themeShade="BF"/>
          <w:sz w:val="40"/>
          <w:szCs w:val="40"/>
        </w:rPr>
      </w:pPr>
      <w:r w:rsidRPr="00B74BF5">
        <w:rPr>
          <w:rFonts w:asciiTheme="majorHAnsi" w:eastAsiaTheme="majorEastAsia" w:hAnsiTheme="majorHAnsi" w:cs="Times New Roman"/>
          <w:color w:val="0F4761" w:themeColor="accent1" w:themeShade="BF"/>
          <w:sz w:val="40"/>
          <w:szCs w:val="40"/>
        </w:rPr>
        <w:br w:type="page"/>
      </w:r>
    </w:p>
    <w:p w14:paraId="19AD7214" w14:textId="77777777" w:rsidR="00523E1F" w:rsidRDefault="00523E1F" w:rsidP="00523E1F">
      <w:pPr>
        <w:pStyle w:val="Heading1"/>
        <w:rPr>
          <w:rFonts w:cs="Times New Roman"/>
        </w:rPr>
      </w:pPr>
      <w:r w:rsidRPr="00EA6FD1">
        <w:rPr>
          <w:rFonts w:cs="Times New Roman"/>
        </w:rPr>
        <w:lastRenderedPageBreak/>
        <w:t xml:space="preserve">Supplementary </w:t>
      </w:r>
      <w:r>
        <w:rPr>
          <w:rFonts w:cs="Times New Roman"/>
        </w:rPr>
        <w:t>Tables</w:t>
      </w:r>
    </w:p>
    <w:p w14:paraId="2DFE33F8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</w:p>
    <w:p w14:paraId="0C1C8E9C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12545D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Supplementary Table 1.</w:t>
      </w:r>
      <w:r w:rsidRPr="00B74BF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 Metadata of sequencing datasets returned by participating labs, detailing experimental and analytical methods.</w:t>
      </w:r>
    </w:p>
    <w:p w14:paraId="3E979E29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</w:p>
    <w:p w14:paraId="599B5A2B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Supplementary Table 2. Capture kits used by participating labs.</w:t>
      </w:r>
    </w:p>
    <w:tbl>
      <w:tblPr>
        <w:tblW w:w="923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10"/>
        <w:gridCol w:w="2397"/>
        <w:gridCol w:w="1345"/>
        <w:gridCol w:w="3118"/>
        <w:gridCol w:w="960"/>
      </w:tblGrid>
      <w:tr w:rsidR="00523E1F" w:rsidRPr="004D3058" w14:paraId="0C89131F" w14:textId="77777777" w:rsidTr="00CC0A4B">
        <w:trPr>
          <w:trHeight w:val="241"/>
          <w:jc w:val="center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DF0434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Manufacture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11DE7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Kit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D4E6B0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Targeted Region (Mb)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A29128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Databases Used for Design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A7843E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Year of Release</w:t>
            </w:r>
          </w:p>
        </w:tc>
      </w:tr>
      <w:tr w:rsidR="00523E1F" w:rsidRPr="004D3058" w14:paraId="24176AF4" w14:textId="77777777" w:rsidTr="00CC0A4B">
        <w:trPr>
          <w:trHeight w:val="304"/>
          <w:jc w:val="center"/>
        </w:trPr>
        <w:tc>
          <w:tcPr>
            <w:tcW w:w="1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AF4284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IDT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97628C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xGen Exome Research Panel V1.0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AC6F3A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39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33D0CC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RefSeq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DDFBF4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2015</w:t>
            </w:r>
          </w:p>
        </w:tc>
      </w:tr>
      <w:tr w:rsidR="00523E1F" w:rsidRPr="004D3058" w14:paraId="101DA1B5" w14:textId="77777777" w:rsidTr="00CC0A4B">
        <w:trPr>
          <w:trHeight w:val="286"/>
          <w:jc w:val="center"/>
        </w:trPr>
        <w:tc>
          <w:tcPr>
            <w:tcW w:w="1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6EC5AB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A1FF5A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xGen Exome Research Panel V2.0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CDC516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0EA8F8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RefSeq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751E72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2020</w:t>
            </w:r>
          </w:p>
        </w:tc>
      </w:tr>
      <w:tr w:rsidR="00523E1F" w:rsidRPr="004D3058" w14:paraId="4B024154" w14:textId="77777777" w:rsidTr="00CC0A4B">
        <w:trPr>
          <w:trHeight w:val="250"/>
          <w:jc w:val="center"/>
        </w:trPr>
        <w:tc>
          <w:tcPr>
            <w:tcW w:w="1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D14943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Agilent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F46523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SureSelect Human All Exon V5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D8A25D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D9C1E5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Refseq, GENCODE, UCSC, TCGA, CCDS and miRBase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F04E8D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2012</w:t>
            </w:r>
          </w:p>
        </w:tc>
      </w:tr>
      <w:tr w:rsidR="00523E1F" w:rsidRPr="004D3058" w14:paraId="4737323E" w14:textId="77777777" w:rsidTr="00CC0A4B">
        <w:trPr>
          <w:trHeight w:val="241"/>
          <w:jc w:val="center"/>
        </w:trPr>
        <w:tc>
          <w:tcPr>
            <w:tcW w:w="1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90FFA5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AC2566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SureSelect Human All Exon V6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238654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E54146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Refseq, CCDS, GENCODE, HGMD, and OMIM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05DE8A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2016</w:t>
            </w:r>
          </w:p>
        </w:tc>
      </w:tr>
      <w:tr w:rsidR="00523E1F" w:rsidRPr="004D3058" w14:paraId="2B8C9E5E" w14:textId="77777777" w:rsidTr="00CC0A4B">
        <w:trPr>
          <w:trHeight w:val="205"/>
          <w:jc w:val="center"/>
        </w:trPr>
        <w:tc>
          <w:tcPr>
            <w:tcW w:w="1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8F53C2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8D0E26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SureSelect Human All Exon V8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648506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35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4FFA05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RefSeq, CCDS, GENCODE, and TERT promotors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374630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2021</w:t>
            </w:r>
          </w:p>
        </w:tc>
      </w:tr>
      <w:tr w:rsidR="00523E1F" w:rsidRPr="004D3058" w14:paraId="22171CB6" w14:textId="77777777" w:rsidTr="00CC0A4B">
        <w:trPr>
          <w:trHeight w:val="14"/>
          <w:jc w:val="center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A44A73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NadPrep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C8F07F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Exome Plus Panel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BF265C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47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2F5250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Coding regions, gene fusions, satelliates, HLA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75BE6C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2021</w:t>
            </w:r>
          </w:p>
        </w:tc>
      </w:tr>
      <w:tr w:rsidR="00523E1F" w:rsidRPr="004D3058" w14:paraId="393EDD6A" w14:textId="77777777" w:rsidTr="00CC0A4B">
        <w:trPr>
          <w:trHeight w:val="14"/>
          <w:jc w:val="center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B54609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Roche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4CB1E5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KAPA HyperExome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5163F3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43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743F3D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CCDS, Refseq, Ensembl, GENCODE, and variants from ClinVar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AAD875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2020</w:t>
            </w:r>
          </w:p>
        </w:tc>
      </w:tr>
      <w:tr w:rsidR="00523E1F" w:rsidRPr="004D3058" w14:paraId="08AF0B11" w14:textId="77777777" w:rsidTr="00CC0A4B">
        <w:trPr>
          <w:trHeight w:val="124"/>
          <w:jc w:val="center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C10E57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Twist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4FE97B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Exome Panel 2.0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BD17A2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36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4076BE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RefSeq, CCDS, GENCODE, Clnivar, ACMG, clinicaly relevant non-coding variants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184F82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2021</w:t>
            </w:r>
          </w:p>
        </w:tc>
      </w:tr>
      <w:tr w:rsidR="00523E1F" w:rsidRPr="004D3058" w14:paraId="338BA816" w14:textId="77777777" w:rsidTr="00CC0A4B">
        <w:trPr>
          <w:trHeight w:val="20"/>
          <w:jc w:val="center"/>
        </w:trPr>
        <w:tc>
          <w:tcPr>
            <w:tcW w:w="1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4840AD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IGT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E5FAD8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AIExome V1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D5340B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58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3A6256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Coding regions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DB5D01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2017</w:t>
            </w:r>
          </w:p>
        </w:tc>
      </w:tr>
      <w:tr w:rsidR="00523E1F" w:rsidRPr="004D3058" w14:paraId="3E242A0E" w14:textId="77777777" w:rsidTr="00CC0A4B">
        <w:trPr>
          <w:trHeight w:val="20"/>
          <w:jc w:val="center"/>
        </w:trPr>
        <w:tc>
          <w:tcPr>
            <w:tcW w:w="1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BC1ABA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5A1707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AIExome V2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324FFF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39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33A50F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Coding regions, ACMG, CliniVar, OMIM, HGMD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4FE580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2018</w:t>
            </w:r>
          </w:p>
        </w:tc>
      </w:tr>
      <w:tr w:rsidR="00523E1F" w:rsidRPr="004D3058" w14:paraId="359D323C" w14:textId="77777777" w:rsidTr="00CC0A4B">
        <w:trPr>
          <w:trHeight w:val="14"/>
          <w:jc w:val="center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6E2AAA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Berry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676B7C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OeXome NanoWES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9368F0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2D8074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Coding regions, pathgenic non-coding variants, regulating elements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A59DA2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523E1F" w:rsidRPr="004D3058" w14:paraId="1E3E7C24" w14:textId="77777777" w:rsidTr="00CC0A4B">
        <w:trPr>
          <w:trHeight w:val="14"/>
          <w:jc w:val="center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9CEE3A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MyGenostics</w:t>
            </w:r>
          </w:p>
        </w:tc>
        <w:tc>
          <w:tcPr>
            <w:tcW w:w="2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6C1D62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B00B2C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53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A97745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Coding regions, HGMD, CliniVar, non-coding pathogenic variants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515533" w14:textId="77777777" w:rsidR="00523E1F" w:rsidRPr="004D3058" w:rsidRDefault="00523E1F" w:rsidP="00CC0A4B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4D305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</w:tbl>
    <w:p w14:paraId="5E2D393C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</w:p>
    <w:p w14:paraId="07F98991" w14:textId="77777777" w:rsidR="00523E1F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3D4D65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Supplementary Table 3. Clinical gene list.</w:t>
      </w:r>
    </w:p>
    <w:p w14:paraId="0B1F4031" w14:textId="77777777" w:rsidR="00523E1F" w:rsidRPr="00B74BF5" w:rsidRDefault="00523E1F" w:rsidP="00523E1F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</w:pPr>
    </w:p>
    <w:p w14:paraId="6F9D66B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E1F"/>
    <w:rsid w:val="002E11AC"/>
    <w:rsid w:val="00331A6B"/>
    <w:rsid w:val="00523E1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D7641"/>
  <w15:chartTrackingRefBased/>
  <w15:docId w15:val="{0FE09E24-9FEA-4236-87AC-2DFA2D8D6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E1F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3E1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E1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E1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E1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E1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E1F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E1F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E1F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E1F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523E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E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E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E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E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E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E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E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E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E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23E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E1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23E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E1F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23E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E1F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523E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E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E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E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649</Words>
  <Characters>3702</Characters>
  <Application>Microsoft Office Word</Application>
  <DocSecurity>0</DocSecurity>
  <Lines>30</Lines>
  <Paragraphs>8</Paragraphs>
  <ScaleCrop>false</ScaleCrop>
  <Company>Springer Nature</Company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2024-07-09T06:15:00Z</dcterms:created>
  <dcterms:modified xsi:type="dcterms:W3CDTF">2024-07-09T06:15:00Z</dcterms:modified>
</cp:coreProperties>
</file>