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8"/>
        <w:gridCol w:w="1559"/>
        <w:gridCol w:w="4961"/>
        <w:gridCol w:w="1136"/>
        <w:gridCol w:w="1558"/>
        <w:gridCol w:w="2476"/>
      </w:tblGrid>
      <w:tr w:rsidR="00462C98" w:rsidRPr="00462C98" w14:paraId="07498020" w14:textId="77777777" w:rsidTr="00462C98">
        <w:tc>
          <w:tcPr>
            <w:tcW w:w="0" w:type="auto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82DFCD7" w14:textId="3143A851" w:rsidR="0067299D" w:rsidRPr="00462C98" w:rsidRDefault="00A03D29">
            <w:pPr>
              <w:pStyle w:val="a3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</w:t>
            </w:r>
            <w:r w:rsidR="008073E0"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able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="00A73010">
              <w:rPr>
                <w:rFonts w:ascii="Arial" w:hAnsi="Arial" w:cs="Arial"/>
                <w:b/>
                <w:bCs/>
                <w:sz w:val="20"/>
                <w:szCs w:val="20"/>
              </w:rPr>
              <w:t>3</w:t>
            </w:r>
            <w:r w:rsidR="00180720"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8F7814" w:rsidRPr="00462C98">
              <w:rPr>
                <w:rFonts w:ascii="Arial" w:hAnsi="Arial" w:cs="Arial"/>
                <w:sz w:val="20"/>
                <w:szCs w:val="20"/>
              </w:rPr>
              <w:t>GRADE Summary of Findings Table</w:t>
            </w:r>
            <w:r w:rsidR="00207AB5" w:rsidRPr="00462C98">
              <w:rPr>
                <w:rFonts w:ascii="Arial" w:hAnsi="Arial" w:cs="Arial"/>
                <w:sz w:val="20"/>
                <w:szCs w:val="20"/>
              </w:rPr>
              <w:t>-Primary outcome</w:t>
            </w:r>
            <w:r w:rsidR="008F7814" w:rsidRPr="00462C98">
              <w:rPr>
                <w:rFonts w:ascii="Arial" w:hAnsi="Arial" w:cs="Arial"/>
                <w:sz w:val="20"/>
                <w:szCs w:val="20"/>
              </w:rPr>
              <w:t>.</w:t>
            </w:r>
            <w:r w:rsidR="008F7814" w:rsidRPr="00462C98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a,b</w:t>
            </w:r>
          </w:p>
        </w:tc>
      </w:tr>
      <w:tr w:rsidR="00462C98" w:rsidRPr="00462C98" w14:paraId="77500615" w14:textId="77777777" w:rsidTr="00462C98">
        <w:trPr>
          <w:trHeight w:val="226"/>
        </w:trPr>
        <w:tc>
          <w:tcPr>
            <w:tcW w:w="81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3B0A0" w14:textId="77777777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Outcomes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BCA68" w14:textId="0FEB37FE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No of Participants</w:t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 xml:space="preserve">(studies) </w:t>
            </w:r>
            <w:r w:rsidRPr="00462C98">
              <w:rPr>
                <w:rFonts w:ascii="Arial" w:hAnsi="Arial" w:cs="Arial"/>
                <w:sz w:val="20"/>
                <w:szCs w:val="20"/>
              </w:rPr>
              <w:t>Follow up</w:t>
            </w:r>
          </w:p>
        </w:tc>
        <w:tc>
          <w:tcPr>
            <w:tcW w:w="177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0E147" w14:textId="77777777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Quality of the evidence</w:t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462C98">
              <w:rPr>
                <w:rFonts w:ascii="Arial" w:hAnsi="Arial" w:cs="Arial"/>
                <w:sz w:val="20"/>
                <w:szCs w:val="20"/>
              </w:rPr>
              <w:t>(GRADE)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F5768" w14:textId="77777777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Relative effect</w:t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(95% CI)</w:t>
            </w:r>
          </w:p>
        </w:tc>
        <w:tc>
          <w:tcPr>
            <w:tcW w:w="1445" w:type="pct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58F8DD" w14:textId="77777777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Anticipated absolute effects</w:t>
            </w:r>
          </w:p>
        </w:tc>
      </w:tr>
      <w:tr w:rsidR="00462C98" w:rsidRPr="00462C98" w14:paraId="05A7FB3D" w14:textId="77777777" w:rsidTr="00462C98">
        <w:tc>
          <w:tcPr>
            <w:tcW w:w="812" w:type="pct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6DC56" w14:textId="77777777" w:rsidR="0067299D" w:rsidRPr="00462C98" w:rsidRDefault="0067299D" w:rsidP="0067299D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7F9FA4" w14:textId="77777777" w:rsidR="0067299D" w:rsidRPr="00462C98" w:rsidRDefault="0067299D" w:rsidP="0067299D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777" w:type="pct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1C2C99" w14:textId="77777777" w:rsidR="0067299D" w:rsidRPr="00462C98" w:rsidRDefault="0067299D" w:rsidP="0067299D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407" w:type="pct"/>
            <w:vMerge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E7B124" w14:textId="77777777" w:rsidR="0067299D" w:rsidRPr="00462C98" w:rsidRDefault="0067299D" w:rsidP="0067299D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837777" w14:textId="77777777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Risk with CFT</w:t>
            </w:r>
          </w:p>
        </w:tc>
        <w:tc>
          <w:tcPr>
            <w:tcW w:w="8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8ACB5A" w14:textId="77777777" w:rsidR="0067299D" w:rsidRPr="00462C98" w:rsidRDefault="0067299D" w:rsidP="0067299D">
            <w:pPr>
              <w:pStyle w:val="a3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Risk difference with AFT</w:t>
            </w:r>
            <w:r w:rsidRPr="00462C98">
              <w:rPr>
                <w:rFonts w:ascii="Arial" w:hAnsi="Arial" w:cs="Arial"/>
                <w:sz w:val="20"/>
                <w:szCs w:val="20"/>
              </w:rPr>
              <w:t xml:space="preserve"> (95% CI)</w:t>
            </w:r>
          </w:p>
        </w:tc>
      </w:tr>
      <w:tr w:rsidR="00462C98" w:rsidRPr="00462C98" w14:paraId="6575FC68" w14:textId="77777777" w:rsidTr="00462C98">
        <w:tc>
          <w:tcPr>
            <w:tcW w:w="812" w:type="pct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hideMark/>
          </w:tcPr>
          <w:p w14:paraId="185E07D6" w14:textId="2FEF5EB1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In-hospital mortality </w:t>
            </w:r>
            <w:r w:rsidR="00207AB5"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 </w:t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RCTs</w:t>
            </w:r>
          </w:p>
        </w:tc>
        <w:tc>
          <w:tcPr>
            <w:tcW w:w="558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A5F6AD1" w14:textId="77777777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sz w:val="20"/>
                <w:szCs w:val="20"/>
              </w:rPr>
              <w:t>319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  <w:t>(4 studies)</w:t>
            </w:r>
          </w:p>
        </w:tc>
        <w:tc>
          <w:tcPr>
            <w:tcW w:w="1777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6991B81A" w14:textId="77777777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hint="eastAsia"/>
                <w:sz w:val="20"/>
                <w:szCs w:val="20"/>
              </w:rPr>
              <w:t>⊕⊕⊕⊕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HIGH</w:t>
            </w:r>
            <w:r w:rsidRPr="00462C98">
              <w:rPr>
                <w:rFonts w:ascii="Arial" w:hAnsi="Arial" w:cs="Arial"/>
                <w:sz w:val="20"/>
                <w:szCs w:val="20"/>
                <w:vertAlign w:val="superscript"/>
              </w:rPr>
              <w:t>1,2,3,4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  <w:t>due to risk of bias, imprecision, large effect, plausible counfounding would change the effect, dose-response gradient</w:t>
            </w:r>
          </w:p>
        </w:tc>
        <w:tc>
          <w:tcPr>
            <w:tcW w:w="407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1650B808" w14:textId="77777777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OR 3.2 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  <w:t>(1.54 to 6.63)</w:t>
            </w:r>
          </w:p>
        </w:tc>
        <w:tc>
          <w:tcPr>
            <w:tcW w:w="1445" w:type="pct"/>
            <w:gridSpan w:val="2"/>
            <w:tcBorders>
              <w:top w:val="single" w:sz="4" w:space="0" w:color="auto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1B0C4AD" w14:textId="77777777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Study population</w:t>
            </w:r>
          </w:p>
        </w:tc>
      </w:tr>
      <w:tr w:rsidR="00462C98" w:rsidRPr="00462C98" w14:paraId="5EAEE747" w14:textId="77777777" w:rsidTr="00462C98">
        <w:tc>
          <w:tcPr>
            <w:tcW w:w="812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7A6120A2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vMerge/>
            <w:shd w:val="clear" w:color="auto" w:fill="auto"/>
            <w:vAlign w:val="center"/>
            <w:hideMark/>
          </w:tcPr>
          <w:p w14:paraId="7B2DD48B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777" w:type="pct"/>
            <w:vMerge/>
            <w:shd w:val="clear" w:color="auto" w:fill="auto"/>
            <w:vAlign w:val="center"/>
            <w:hideMark/>
          </w:tcPr>
          <w:p w14:paraId="283FD5B4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  <w:hideMark/>
          </w:tcPr>
          <w:p w14:paraId="33F621F3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center"/>
            <w:hideMark/>
          </w:tcPr>
          <w:p w14:paraId="04812CAA" w14:textId="77777777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79 per 1000</w:t>
            </w:r>
          </w:p>
        </w:tc>
        <w:tc>
          <w:tcPr>
            <w:tcW w:w="887" w:type="pct"/>
            <w:tcBorders>
              <w:right w:val="nil"/>
            </w:tcBorders>
            <w:shd w:val="clear" w:color="auto" w:fill="auto"/>
            <w:vAlign w:val="center"/>
            <w:hideMark/>
          </w:tcPr>
          <w:p w14:paraId="6A9B30E0" w14:textId="7C077062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136 more per 1000 </w:t>
            </w:r>
            <w:r w:rsidRPr="00462C98">
              <w:rPr>
                <w:rFonts w:ascii="Arial" w:hAnsi="Arial" w:cs="Arial"/>
                <w:sz w:val="20"/>
                <w:szCs w:val="20"/>
              </w:rPr>
              <w:t>(from 38 more to 283 more)</w:t>
            </w:r>
          </w:p>
        </w:tc>
      </w:tr>
      <w:tr w:rsidR="00462C98" w:rsidRPr="00462C98" w14:paraId="233B99E4" w14:textId="77777777" w:rsidTr="00462C98">
        <w:tc>
          <w:tcPr>
            <w:tcW w:w="812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76EB69D4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vMerge/>
            <w:shd w:val="clear" w:color="auto" w:fill="auto"/>
            <w:vAlign w:val="center"/>
            <w:hideMark/>
          </w:tcPr>
          <w:p w14:paraId="4047DE74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777" w:type="pct"/>
            <w:vMerge/>
            <w:shd w:val="clear" w:color="auto" w:fill="auto"/>
            <w:vAlign w:val="center"/>
            <w:hideMark/>
          </w:tcPr>
          <w:p w14:paraId="202DEC79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  <w:hideMark/>
          </w:tcPr>
          <w:p w14:paraId="1CD599C1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445" w:type="pct"/>
            <w:gridSpan w:val="2"/>
            <w:tcBorders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7832A4" w14:textId="77777777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Moderate</w:t>
            </w:r>
          </w:p>
        </w:tc>
      </w:tr>
      <w:tr w:rsidR="00462C98" w:rsidRPr="00462C98" w14:paraId="2712E8A6" w14:textId="77777777" w:rsidTr="00462C98">
        <w:trPr>
          <w:trHeight w:val="542"/>
        </w:trPr>
        <w:tc>
          <w:tcPr>
            <w:tcW w:w="812" w:type="pct"/>
            <w:vMerge/>
            <w:tcBorders>
              <w:left w:val="nil"/>
            </w:tcBorders>
            <w:shd w:val="clear" w:color="auto" w:fill="auto"/>
            <w:vAlign w:val="center"/>
            <w:hideMark/>
          </w:tcPr>
          <w:p w14:paraId="408B9147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vMerge/>
            <w:shd w:val="clear" w:color="auto" w:fill="auto"/>
            <w:vAlign w:val="center"/>
            <w:hideMark/>
          </w:tcPr>
          <w:p w14:paraId="45511547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777" w:type="pct"/>
            <w:vMerge/>
            <w:shd w:val="clear" w:color="auto" w:fill="auto"/>
            <w:vAlign w:val="center"/>
            <w:hideMark/>
          </w:tcPr>
          <w:p w14:paraId="52AA1F61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407" w:type="pct"/>
            <w:vMerge/>
            <w:shd w:val="clear" w:color="auto" w:fill="auto"/>
            <w:vAlign w:val="center"/>
            <w:hideMark/>
          </w:tcPr>
          <w:p w14:paraId="6382BD3A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shd w:val="clear" w:color="auto" w:fill="auto"/>
            <w:vAlign w:val="center"/>
            <w:hideMark/>
          </w:tcPr>
          <w:p w14:paraId="29A256FA" w14:textId="77777777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50 per 1000</w:t>
            </w:r>
          </w:p>
        </w:tc>
        <w:tc>
          <w:tcPr>
            <w:tcW w:w="887" w:type="pct"/>
            <w:tcBorders>
              <w:right w:val="nil"/>
            </w:tcBorders>
            <w:shd w:val="clear" w:color="auto" w:fill="auto"/>
            <w:vAlign w:val="center"/>
            <w:hideMark/>
          </w:tcPr>
          <w:p w14:paraId="53EF86CA" w14:textId="69BC68A5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94 more per 1000 </w:t>
            </w:r>
            <w:r w:rsidRPr="00462C98">
              <w:rPr>
                <w:rFonts w:ascii="Arial" w:hAnsi="Arial" w:cs="Arial"/>
                <w:sz w:val="20"/>
                <w:szCs w:val="20"/>
              </w:rPr>
              <w:t>(from 25 more to 209 more)</w:t>
            </w:r>
          </w:p>
        </w:tc>
      </w:tr>
      <w:tr w:rsidR="00462C98" w:rsidRPr="00462C98" w14:paraId="45AF1B58" w14:textId="77777777" w:rsidTr="00462C98">
        <w:tc>
          <w:tcPr>
            <w:tcW w:w="812" w:type="pct"/>
            <w:vMerge w:val="restart"/>
            <w:tcBorders>
              <w:left w:val="nil"/>
              <w:bottom w:val="single" w:sz="6" w:space="0" w:color="000000"/>
            </w:tcBorders>
            <w:shd w:val="clear" w:color="auto" w:fill="auto"/>
            <w:hideMark/>
          </w:tcPr>
          <w:p w14:paraId="1B73E60C" w14:textId="717733B4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In-hospital mortality </w:t>
            </w:r>
            <w:r w:rsidR="00207AB5"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in </w:t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207AB5"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bservational studies</w:t>
            </w:r>
          </w:p>
        </w:tc>
        <w:tc>
          <w:tcPr>
            <w:tcW w:w="558" w:type="pct"/>
            <w:vMerge w:val="restart"/>
            <w:tcBorders>
              <w:bottom w:val="single" w:sz="6" w:space="0" w:color="000000"/>
            </w:tcBorders>
            <w:shd w:val="clear" w:color="auto" w:fill="auto"/>
            <w:hideMark/>
          </w:tcPr>
          <w:p w14:paraId="484D279C" w14:textId="77777777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sz w:val="20"/>
                <w:szCs w:val="20"/>
              </w:rPr>
              <w:t>2748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  <w:t>(8 studies</w:t>
            </w:r>
            <w:r w:rsidRPr="00462C98"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  <w:r w:rsidRPr="00462C9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777" w:type="pct"/>
            <w:vMerge w:val="restart"/>
            <w:tcBorders>
              <w:bottom w:val="single" w:sz="6" w:space="0" w:color="000000"/>
            </w:tcBorders>
            <w:shd w:val="clear" w:color="auto" w:fill="auto"/>
            <w:hideMark/>
          </w:tcPr>
          <w:p w14:paraId="52F56FED" w14:textId="1AA107B2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hint="eastAsia"/>
                <w:sz w:val="20"/>
                <w:szCs w:val="20"/>
              </w:rPr>
              <w:t>⊕⊕</w:t>
            </w:r>
            <w:r w:rsidRPr="00462C98">
              <w:rPr>
                <w:rFonts w:ascii="MS Gothic" w:eastAsia="MS Gothic" w:hAnsi="MS Gothic" w:cs="MS Gothic" w:hint="eastAsia"/>
                <w:sz w:val="20"/>
                <w:szCs w:val="20"/>
              </w:rPr>
              <w:t>⊝⊝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</w: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LOW</w:t>
            </w:r>
            <w:r w:rsidRPr="00462C98">
              <w:rPr>
                <w:rFonts w:ascii="Arial" w:hAnsi="Arial" w:cs="Arial"/>
                <w:sz w:val="20"/>
                <w:szCs w:val="20"/>
                <w:vertAlign w:val="superscript"/>
              </w:rPr>
              <w:t>1,2,4,</w:t>
            </w:r>
            <w:r w:rsidR="00AB4ED5" w:rsidRPr="00462C98">
              <w:rPr>
                <w:rFonts w:ascii="Arial" w:hAnsi="Arial" w:cs="Arial"/>
                <w:sz w:val="20"/>
                <w:szCs w:val="20"/>
                <w:vertAlign w:val="superscript"/>
              </w:rPr>
              <w:t>5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  <w:t>due to risk of bias, imprecision, plausible counfounding would change the effect, dose-response gradient</w:t>
            </w:r>
          </w:p>
        </w:tc>
        <w:tc>
          <w:tcPr>
            <w:tcW w:w="407" w:type="pct"/>
            <w:vMerge w:val="restart"/>
            <w:tcBorders>
              <w:bottom w:val="single" w:sz="6" w:space="0" w:color="000000"/>
            </w:tcBorders>
            <w:shd w:val="clear" w:color="auto" w:fill="auto"/>
            <w:hideMark/>
          </w:tcPr>
          <w:p w14:paraId="2CD3B249" w14:textId="77777777" w:rsidR="0067299D" w:rsidRPr="00462C98" w:rsidRDefault="0067299D">
            <w:pPr>
              <w:pStyle w:val="a3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OR 1.5 </w:t>
            </w:r>
            <w:r w:rsidRPr="00462C98">
              <w:rPr>
                <w:rFonts w:ascii="Arial" w:hAnsi="Arial" w:cs="Arial"/>
                <w:sz w:val="20"/>
                <w:szCs w:val="20"/>
              </w:rPr>
              <w:br/>
              <w:t>(1.13 to 1.99)</w:t>
            </w:r>
          </w:p>
        </w:tc>
        <w:tc>
          <w:tcPr>
            <w:tcW w:w="1445" w:type="pct"/>
            <w:gridSpan w:val="2"/>
            <w:tcBorders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06B7688" w14:textId="77777777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Moderate</w:t>
            </w:r>
          </w:p>
        </w:tc>
      </w:tr>
      <w:tr w:rsidR="00462C98" w:rsidRPr="00462C98" w14:paraId="064E9A6D" w14:textId="77777777" w:rsidTr="00462C98">
        <w:tc>
          <w:tcPr>
            <w:tcW w:w="812" w:type="pct"/>
            <w:vMerge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B8D3EF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vMerge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77746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1777" w:type="pct"/>
            <w:vMerge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97B783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407" w:type="pct"/>
            <w:vMerge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67D276" w14:textId="77777777" w:rsidR="0067299D" w:rsidRPr="00462C98" w:rsidRDefault="0067299D">
            <w:pPr>
              <w:rPr>
                <w:rFonts w:ascii="Arial" w:eastAsia="宋体" w:hAnsi="Arial" w:cs="Arial"/>
                <w:sz w:val="20"/>
                <w:szCs w:val="20"/>
              </w:rPr>
            </w:pPr>
          </w:p>
        </w:tc>
        <w:tc>
          <w:tcPr>
            <w:tcW w:w="558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01E9B6" w14:textId="77777777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>76 per 1000</w:t>
            </w:r>
          </w:p>
        </w:tc>
        <w:tc>
          <w:tcPr>
            <w:tcW w:w="887" w:type="pct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FB3BA" w14:textId="7E3A04E9" w:rsidR="0067299D" w:rsidRPr="00462C98" w:rsidRDefault="0067299D" w:rsidP="00207AB5">
            <w:pPr>
              <w:pStyle w:val="a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62C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34 more per 1000 </w:t>
            </w:r>
            <w:r w:rsidRPr="00462C98">
              <w:rPr>
                <w:rFonts w:ascii="Arial" w:hAnsi="Arial" w:cs="Arial"/>
                <w:sz w:val="20"/>
                <w:szCs w:val="20"/>
              </w:rPr>
              <w:t>(from 9 more to 65 more)</w:t>
            </w:r>
          </w:p>
        </w:tc>
      </w:tr>
    </w:tbl>
    <w:p w14:paraId="497444B2" w14:textId="3E53BE88" w:rsidR="008F7814" w:rsidRPr="00D400D0" w:rsidRDefault="008F7814" w:rsidP="0067299D">
      <w:pPr>
        <w:rPr>
          <w:rFonts w:ascii="Arial" w:hAnsi="Arial" w:cs="Arial"/>
          <w:sz w:val="20"/>
          <w:szCs w:val="20"/>
        </w:rPr>
      </w:pPr>
      <w:r w:rsidRPr="00D400D0">
        <w:rPr>
          <w:rFonts w:ascii="Arial" w:hAnsi="Arial" w:cs="Arial"/>
          <w:sz w:val="20"/>
          <w:szCs w:val="20"/>
        </w:rPr>
        <w:t xml:space="preserve">Abbreviations: </w:t>
      </w:r>
      <w:r w:rsidRPr="00CA036F">
        <w:rPr>
          <w:rFonts w:ascii="Arial" w:hAnsi="Arial" w:cs="Arial"/>
          <w:b/>
          <w:bCs/>
          <w:i/>
          <w:iCs/>
          <w:sz w:val="20"/>
          <w:szCs w:val="20"/>
        </w:rPr>
        <w:t>CI</w:t>
      </w:r>
      <w:r w:rsidRPr="00D400D0">
        <w:rPr>
          <w:rFonts w:ascii="Arial" w:hAnsi="Arial" w:cs="Arial"/>
          <w:sz w:val="20"/>
          <w:szCs w:val="20"/>
        </w:rPr>
        <w:t xml:space="preserve"> Confidence interval</w:t>
      </w:r>
      <w:r w:rsidR="00CA036F">
        <w:rPr>
          <w:rFonts w:ascii="Arial" w:hAnsi="Arial" w:cs="Arial"/>
          <w:sz w:val="20"/>
          <w:szCs w:val="20"/>
        </w:rPr>
        <w:t>,</w:t>
      </w:r>
      <w:r w:rsidRPr="00D400D0">
        <w:rPr>
          <w:rFonts w:ascii="Arial" w:hAnsi="Arial" w:cs="Arial"/>
          <w:sz w:val="20"/>
          <w:szCs w:val="20"/>
        </w:rPr>
        <w:t xml:space="preserve"> </w:t>
      </w:r>
      <w:r w:rsidRPr="00CA036F">
        <w:rPr>
          <w:rFonts w:ascii="Arial" w:hAnsi="Arial" w:cs="Arial"/>
          <w:b/>
          <w:bCs/>
          <w:i/>
          <w:iCs/>
          <w:sz w:val="20"/>
          <w:szCs w:val="20"/>
        </w:rPr>
        <w:t>OR</w:t>
      </w:r>
      <w:r w:rsidRPr="00D400D0">
        <w:rPr>
          <w:rFonts w:ascii="Arial" w:hAnsi="Arial" w:cs="Arial"/>
          <w:sz w:val="20"/>
          <w:szCs w:val="20"/>
        </w:rPr>
        <w:t xml:space="preserve"> Odds ratio</w:t>
      </w:r>
      <w:r w:rsidR="00CA036F">
        <w:rPr>
          <w:rFonts w:ascii="Arial" w:hAnsi="Arial" w:cs="Arial"/>
          <w:sz w:val="20"/>
          <w:szCs w:val="20"/>
        </w:rPr>
        <w:t>,</w:t>
      </w:r>
      <w:r w:rsidRPr="00D400D0">
        <w:rPr>
          <w:rFonts w:ascii="Arial" w:hAnsi="Arial" w:cs="Arial"/>
          <w:sz w:val="20"/>
          <w:szCs w:val="20"/>
        </w:rPr>
        <w:t xml:space="preserve"> </w:t>
      </w:r>
      <w:r w:rsidRPr="00CA036F">
        <w:rPr>
          <w:rFonts w:ascii="Arial" w:hAnsi="Arial" w:cs="Arial"/>
          <w:b/>
          <w:bCs/>
          <w:i/>
          <w:iCs/>
          <w:sz w:val="20"/>
          <w:szCs w:val="20"/>
        </w:rPr>
        <w:t>CFT</w:t>
      </w:r>
      <w:r w:rsidRPr="00D400D0">
        <w:rPr>
          <w:rFonts w:ascii="Arial" w:hAnsi="Arial" w:cs="Arial"/>
          <w:b/>
          <w:bCs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conservative fluid therapy</w:t>
      </w:r>
      <w:r w:rsidR="00CA036F">
        <w:rPr>
          <w:rFonts w:ascii="Arial" w:hAnsi="Arial" w:cs="Arial"/>
          <w:sz w:val="20"/>
          <w:szCs w:val="20"/>
        </w:rPr>
        <w:t>,</w:t>
      </w:r>
      <w:r w:rsidRPr="00D400D0">
        <w:rPr>
          <w:rFonts w:ascii="Arial" w:hAnsi="Arial" w:cs="Arial"/>
          <w:sz w:val="20"/>
          <w:szCs w:val="20"/>
        </w:rPr>
        <w:t xml:space="preserve"> </w:t>
      </w:r>
      <w:r w:rsidRPr="00CA036F">
        <w:rPr>
          <w:rFonts w:ascii="Arial" w:hAnsi="Arial" w:cs="Arial"/>
          <w:b/>
          <w:bCs/>
          <w:i/>
          <w:iCs/>
          <w:sz w:val="20"/>
          <w:szCs w:val="20"/>
        </w:rPr>
        <w:t>AFT</w:t>
      </w:r>
      <w:r w:rsidRPr="00D400D0">
        <w:rPr>
          <w:rFonts w:ascii="Arial" w:hAnsi="Arial" w:cs="Arial"/>
          <w:b/>
          <w:bCs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aggressive fluid therapy</w:t>
      </w:r>
      <w:r w:rsidR="00CA036F">
        <w:rPr>
          <w:rFonts w:ascii="Arial" w:hAnsi="Arial" w:cs="Arial"/>
          <w:sz w:val="20"/>
          <w:szCs w:val="20"/>
        </w:rPr>
        <w:t>,</w:t>
      </w:r>
      <w:r w:rsidRPr="00D400D0">
        <w:rPr>
          <w:rFonts w:ascii="Arial" w:hAnsi="Arial" w:cs="Arial"/>
          <w:sz w:val="20"/>
          <w:szCs w:val="20"/>
        </w:rPr>
        <w:t xml:space="preserve"> </w:t>
      </w:r>
      <w:r w:rsidRPr="00CA036F">
        <w:rPr>
          <w:rFonts w:ascii="Arial" w:hAnsi="Arial" w:cs="Arial"/>
          <w:b/>
          <w:bCs/>
          <w:i/>
          <w:iCs/>
          <w:sz w:val="20"/>
          <w:szCs w:val="20"/>
        </w:rPr>
        <w:t>RCTs</w:t>
      </w:r>
      <w:r w:rsidRPr="00D400D0">
        <w:rPr>
          <w:rFonts w:ascii="Arial" w:hAnsi="Arial" w:cs="Arial"/>
          <w:b/>
          <w:bCs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randomized control trials</w:t>
      </w:r>
      <w:r w:rsidR="00CA036F">
        <w:rPr>
          <w:rFonts w:ascii="Arial" w:hAnsi="Arial" w:cs="Arial"/>
          <w:sz w:val="20"/>
          <w:szCs w:val="20"/>
        </w:rPr>
        <w:t>,</w:t>
      </w:r>
      <w:r w:rsidRPr="00D400D0">
        <w:rPr>
          <w:rFonts w:ascii="Arial" w:hAnsi="Arial" w:cs="Arial"/>
          <w:sz w:val="20"/>
          <w:szCs w:val="20"/>
        </w:rPr>
        <w:t xml:space="preserve"> </w:t>
      </w:r>
      <w:r w:rsidRPr="00CA036F">
        <w:rPr>
          <w:rFonts w:ascii="Arial" w:hAnsi="Arial" w:cs="Arial"/>
          <w:b/>
          <w:bCs/>
          <w:i/>
          <w:iCs/>
          <w:sz w:val="20"/>
          <w:szCs w:val="20"/>
        </w:rPr>
        <w:t>GRADE</w:t>
      </w:r>
      <w:r w:rsidRPr="00D400D0">
        <w:rPr>
          <w:rFonts w:ascii="Arial" w:hAnsi="Arial" w:cs="Arial"/>
          <w:b/>
          <w:bCs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working group grades of evidence</w:t>
      </w:r>
    </w:p>
    <w:p w14:paraId="2192144F" w14:textId="1B89174F" w:rsidR="0067299D" w:rsidRPr="00D400D0" w:rsidRDefault="008F7814" w:rsidP="0067299D">
      <w:pPr>
        <w:rPr>
          <w:rFonts w:ascii="Arial" w:hAnsi="Arial" w:cs="Arial"/>
          <w:sz w:val="20"/>
          <w:szCs w:val="20"/>
        </w:rPr>
      </w:pPr>
      <w:r w:rsidRPr="00D400D0">
        <w:rPr>
          <w:rFonts w:ascii="Arial" w:hAnsi="Arial" w:cs="Arial"/>
          <w:sz w:val="20"/>
          <w:szCs w:val="20"/>
          <w:vertAlign w:val="superscript"/>
        </w:rPr>
        <w:t>a</w:t>
      </w:r>
      <w:r w:rsidR="0067299D" w:rsidRPr="00D400D0">
        <w:rPr>
          <w:rFonts w:ascii="Arial" w:hAnsi="Arial" w:cs="Arial"/>
          <w:sz w:val="20"/>
          <w:szCs w:val="20"/>
        </w:rPr>
        <w:t xml:space="preserve">The basis for the </w:t>
      </w:r>
      <w:r w:rsidR="0067299D" w:rsidRPr="00D400D0">
        <w:rPr>
          <w:rFonts w:ascii="Arial" w:hAnsi="Arial" w:cs="Arial"/>
          <w:b/>
          <w:bCs/>
          <w:sz w:val="20"/>
          <w:szCs w:val="20"/>
        </w:rPr>
        <w:t>assumed risk</w:t>
      </w:r>
      <w:r w:rsidR="0067299D" w:rsidRPr="00D400D0">
        <w:rPr>
          <w:rFonts w:ascii="Arial" w:hAnsi="Arial" w:cs="Arial"/>
          <w:sz w:val="20"/>
          <w:szCs w:val="20"/>
        </w:rPr>
        <w:t xml:space="preserve"> (e.g. the median control group risk across studies) is provided in footnotes. The </w:t>
      </w:r>
      <w:r w:rsidR="0067299D" w:rsidRPr="00D400D0">
        <w:rPr>
          <w:rFonts w:ascii="Arial" w:hAnsi="Arial" w:cs="Arial"/>
          <w:b/>
          <w:bCs/>
          <w:sz w:val="20"/>
          <w:szCs w:val="20"/>
        </w:rPr>
        <w:t>corresponding risk</w:t>
      </w:r>
      <w:r w:rsidR="0067299D" w:rsidRPr="00D400D0">
        <w:rPr>
          <w:rFonts w:ascii="Arial" w:hAnsi="Arial" w:cs="Arial"/>
          <w:sz w:val="20"/>
          <w:szCs w:val="20"/>
        </w:rPr>
        <w:t xml:space="preserve"> (and its 95% confidence interval) is based on the assumed risk in the comparison group and the </w:t>
      </w:r>
      <w:r w:rsidR="0067299D" w:rsidRPr="00D400D0">
        <w:rPr>
          <w:rFonts w:ascii="Arial" w:hAnsi="Arial" w:cs="Arial"/>
          <w:b/>
          <w:bCs/>
          <w:sz w:val="20"/>
          <w:szCs w:val="20"/>
        </w:rPr>
        <w:t>relative effect</w:t>
      </w:r>
      <w:r w:rsidR="0067299D" w:rsidRPr="00D400D0">
        <w:rPr>
          <w:rFonts w:ascii="Arial" w:hAnsi="Arial" w:cs="Arial"/>
          <w:sz w:val="20"/>
          <w:szCs w:val="20"/>
        </w:rPr>
        <w:t xml:space="preserve"> of the intervention (and its 95% CI). </w:t>
      </w:r>
    </w:p>
    <w:p w14:paraId="7C21D763" w14:textId="29D284EA" w:rsidR="0067299D" w:rsidRPr="00D400D0" w:rsidRDefault="008F7814" w:rsidP="0067299D">
      <w:pPr>
        <w:rPr>
          <w:rFonts w:ascii="Arial" w:hAnsi="Arial" w:cs="Arial"/>
          <w:sz w:val="20"/>
          <w:szCs w:val="20"/>
        </w:rPr>
      </w:pPr>
      <w:r w:rsidRPr="00D400D0">
        <w:rPr>
          <w:rFonts w:ascii="Arial" w:hAnsi="Arial" w:cs="Arial"/>
          <w:sz w:val="20"/>
          <w:szCs w:val="20"/>
          <w:vertAlign w:val="superscript"/>
        </w:rPr>
        <w:t>b</w:t>
      </w:r>
      <w:r w:rsidR="0067299D" w:rsidRPr="00D400D0">
        <w:rPr>
          <w:rFonts w:ascii="Arial" w:hAnsi="Arial" w:cs="Arial"/>
          <w:b/>
          <w:bCs/>
          <w:sz w:val="20"/>
          <w:szCs w:val="20"/>
        </w:rPr>
        <w:t>High quality:</w:t>
      </w:r>
      <w:r w:rsidR="0067299D" w:rsidRPr="00D400D0">
        <w:rPr>
          <w:rFonts w:ascii="Arial" w:hAnsi="Arial" w:cs="Arial"/>
          <w:sz w:val="20"/>
          <w:szCs w:val="20"/>
        </w:rPr>
        <w:t xml:space="preserve"> Further research is very unlikely to change our confidence in the estimate of effect. </w:t>
      </w:r>
      <w:r w:rsidR="0067299D" w:rsidRPr="00D400D0">
        <w:rPr>
          <w:rFonts w:ascii="Arial" w:hAnsi="Arial" w:cs="Arial"/>
          <w:b/>
          <w:bCs/>
          <w:sz w:val="20"/>
          <w:szCs w:val="20"/>
        </w:rPr>
        <w:t>Moderate quality:</w:t>
      </w:r>
      <w:r w:rsidR="0067299D" w:rsidRPr="00D400D0">
        <w:rPr>
          <w:rFonts w:ascii="Arial" w:hAnsi="Arial" w:cs="Arial"/>
          <w:sz w:val="20"/>
          <w:szCs w:val="20"/>
        </w:rPr>
        <w:t xml:space="preserve"> Further research is likely to have an important impact on our confidence in the estimate of effect and may change the estimate. </w:t>
      </w:r>
      <w:r w:rsidR="0067299D" w:rsidRPr="00D400D0">
        <w:rPr>
          <w:rFonts w:ascii="Arial" w:hAnsi="Arial" w:cs="Arial"/>
          <w:b/>
          <w:bCs/>
          <w:sz w:val="20"/>
          <w:szCs w:val="20"/>
        </w:rPr>
        <w:t>Low quality:</w:t>
      </w:r>
      <w:r w:rsidR="0067299D" w:rsidRPr="00D400D0">
        <w:rPr>
          <w:rFonts w:ascii="Arial" w:hAnsi="Arial" w:cs="Arial"/>
          <w:sz w:val="20"/>
          <w:szCs w:val="20"/>
        </w:rPr>
        <w:t xml:space="preserve"> Further research is very likely to have an important impact on our confidence in the estimate of effect and is likely to change the estimate.</w:t>
      </w:r>
      <w:r w:rsidR="0067299D" w:rsidRPr="00D400D0">
        <w:rPr>
          <w:rFonts w:ascii="Arial" w:hAnsi="Arial" w:cs="Arial"/>
          <w:sz w:val="20"/>
          <w:szCs w:val="20"/>
        </w:rPr>
        <w:br/>
      </w:r>
      <w:r w:rsidR="0067299D" w:rsidRPr="00D400D0">
        <w:rPr>
          <w:rFonts w:ascii="Arial" w:hAnsi="Arial" w:cs="Arial"/>
          <w:b/>
          <w:bCs/>
          <w:sz w:val="20"/>
          <w:szCs w:val="20"/>
        </w:rPr>
        <w:t>Very low quality:</w:t>
      </w:r>
      <w:r w:rsidR="0067299D" w:rsidRPr="00D400D0">
        <w:rPr>
          <w:rFonts w:ascii="Arial" w:hAnsi="Arial" w:cs="Arial"/>
          <w:sz w:val="20"/>
          <w:szCs w:val="20"/>
        </w:rPr>
        <w:t xml:space="preserve"> We are very uncertain about the estimate.</w:t>
      </w:r>
    </w:p>
    <w:p w14:paraId="1C330798" w14:textId="0EC59707" w:rsidR="0067299D" w:rsidRPr="00D400D0" w:rsidRDefault="0067299D" w:rsidP="0067299D">
      <w:pPr>
        <w:rPr>
          <w:rFonts w:ascii="Arial" w:hAnsi="Arial" w:cs="Arial"/>
          <w:sz w:val="20"/>
          <w:szCs w:val="20"/>
        </w:rPr>
      </w:pPr>
      <w:r w:rsidRPr="00D400D0">
        <w:rPr>
          <w:rFonts w:ascii="Arial" w:hAnsi="Arial" w:cs="Arial"/>
          <w:sz w:val="20"/>
          <w:szCs w:val="20"/>
          <w:vertAlign w:val="superscript"/>
        </w:rPr>
        <w:t>1</w:t>
      </w:r>
      <w:r w:rsidRPr="00D400D0">
        <w:rPr>
          <w:rFonts w:ascii="Arial" w:hAnsi="Arial" w:cs="Arial"/>
          <w:sz w:val="20"/>
          <w:szCs w:val="20"/>
        </w:rPr>
        <w:t xml:space="preserve"> Allocation concealment in three studies were unclear, and most of them </w:t>
      </w:r>
      <w:r w:rsidR="00AB4ED5" w:rsidRPr="00D400D0">
        <w:rPr>
          <w:rFonts w:ascii="Arial" w:hAnsi="Arial" w:cs="Arial"/>
          <w:sz w:val="20"/>
          <w:szCs w:val="20"/>
        </w:rPr>
        <w:t>were lack of specific duration of follow-up, as statistical</w:t>
      </w:r>
      <w:r w:rsidRPr="00D400D0">
        <w:rPr>
          <w:rFonts w:ascii="Arial" w:hAnsi="Arial" w:cs="Arial"/>
          <w:sz w:val="20"/>
          <w:szCs w:val="20"/>
        </w:rPr>
        <w:t xml:space="preserve"> analysis </w:t>
      </w:r>
      <w:r w:rsidR="00AB4ED5" w:rsidRPr="00D400D0">
        <w:rPr>
          <w:rFonts w:ascii="Arial" w:hAnsi="Arial" w:cs="Arial"/>
          <w:sz w:val="20"/>
          <w:szCs w:val="20"/>
        </w:rPr>
        <w:t>as</w:t>
      </w:r>
      <w:r w:rsidRPr="00D400D0">
        <w:rPr>
          <w:rFonts w:ascii="Arial" w:hAnsi="Arial" w:cs="Arial"/>
          <w:sz w:val="20"/>
          <w:szCs w:val="20"/>
        </w:rPr>
        <w:t xml:space="preserve"> intent-to-treat. </w:t>
      </w:r>
      <w:r w:rsidRPr="00D400D0">
        <w:rPr>
          <w:rFonts w:ascii="Arial" w:hAnsi="Arial" w:cs="Arial"/>
          <w:sz w:val="20"/>
          <w:szCs w:val="20"/>
          <w:vertAlign w:val="superscript"/>
        </w:rPr>
        <w:t>2</w:t>
      </w:r>
      <w:r w:rsidRPr="00D400D0">
        <w:rPr>
          <w:rFonts w:ascii="Arial" w:hAnsi="Arial" w:cs="Arial"/>
          <w:sz w:val="20"/>
          <w:szCs w:val="20"/>
        </w:rPr>
        <w:t xml:space="preserve"> </w:t>
      </w:r>
      <w:r w:rsidR="00AB4ED5" w:rsidRPr="00D400D0">
        <w:rPr>
          <w:rFonts w:ascii="Arial" w:hAnsi="Arial" w:cs="Arial"/>
          <w:sz w:val="20"/>
          <w:szCs w:val="20"/>
        </w:rPr>
        <w:t>T</w:t>
      </w:r>
      <w:r w:rsidRPr="00D400D0">
        <w:rPr>
          <w:rFonts w:ascii="Arial" w:hAnsi="Arial" w:cs="Arial"/>
          <w:sz w:val="20"/>
          <w:szCs w:val="20"/>
        </w:rPr>
        <w:t xml:space="preserve">otal number of events is less than 300. </w:t>
      </w:r>
      <w:r w:rsidRPr="00D400D0">
        <w:rPr>
          <w:rFonts w:ascii="Arial" w:hAnsi="Arial" w:cs="Arial"/>
          <w:sz w:val="20"/>
          <w:szCs w:val="20"/>
          <w:vertAlign w:val="superscript"/>
        </w:rPr>
        <w:t>3</w:t>
      </w:r>
      <w:r w:rsidRPr="00D400D0">
        <w:rPr>
          <w:rFonts w:ascii="Arial" w:hAnsi="Arial" w:cs="Arial"/>
          <w:sz w:val="20"/>
          <w:szCs w:val="20"/>
        </w:rPr>
        <w:t xml:space="preserve"> OR</w:t>
      </w:r>
      <w:r w:rsidR="00AA5A1F" w:rsidRPr="00D400D0">
        <w:rPr>
          <w:rFonts w:ascii="Arial" w:hAnsi="Arial" w:cs="Arial"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&gt;</w:t>
      </w:r>
      <w:r w:rsidR="00AA5A1F" w:rsidRPr="00D400D0">
        <w:rPr>
          <w:rFonts w:ascii="Arial" w:hAnsi="Arial" w:cs="Arial"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 xml:space="preserve">2. </w:t>
      </w:r>
      <w:r w:rsidRPr="00D400D0">
        <w:rPr>
          <w:rFonts w:ascii="Arial" w:hAnsi="Arial" w:cs="Arial"/>
          <w:sz w:val="20"/>
          <w:szCs w:val="20"/>
          <w:vertAlign w:val="superscript"/>
        </w:rPr>
        <w:t>4</w:t>
      </w:r>
      <w:r w:rsidRPr="00D400D0">
        <w:rPr>
          <w:rFonts w:ascii="Arial" w:hAnsi="Arial" w:cs="Arial"/>
          <w:sz w:val="20"/>
          <w:szCs w:val="20"/>
        </w:rPr>
        <w:t xml:space="preserve"> Difference in fluid volume might influenced the outcome. </w:t>
      </w:r>
      <w:r w:rsidRPr="00D400D0">
        <w:rPr>
          <w:rFonts w:ascii="Arial" w:hAnsi="Arial" w:cs="Arial"/>
          <w:sz w:val="20"/>
          <w:szCs w:val="20"/>
          <w:vertAlign w:val="superscript"/>
        </w:rPr>
        <w:t>5</w:t>
      </w:r>
      <w:r w:rsidRPr="00D400D0">
        <w:rPr>
          <w:rFonts w:ascii="Arial" w:hAnsi="Arial" w:cs="Arial"/>
          <w:sz w:val="20"/>
          <w:szCs w:val="20"/>
        </w:rPr>
        <w:t xml:space="preserve"> 1</w:t>
      </w:r>
      <w:r w:rsidR="00AA5A1F" w:rsidRPr="00D400D0">
        <w:rPr>
          <w:rFonts w:ascii="Arial" w:hAnsi="Arial" w:cs="Arial"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&lt;</w:t>
      </w:r>
      <w:r w:rsidR="00AA5A1F" w:rsidRPr="00D400D0">
        <w:rPr>
          <w:rFonts w:ascii="Arial" w:hAnsi="Arial" w:cs="Arial"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OR</w:t>
      </w:r>
      <w:r w:rsidR="00AA5A1F" w:rsidRPr="00D400D0">
        <w:rPr>
          <w:rFonts w:ascii="Arial" w:hAnsi="Arial" w:cs="Arial"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&lt;</w:t>
      </w:r>
      <w:r w:rsidR="00AA5A1F" w:rsidRPr="00D400D0">
        <w:rPr>
          <w:rFonts w:ascii="Arial" w:hAnsi="Arial" w:cs="Arial"/>
          <w:sz w:val="20"/>
          <w:szCs w:val="20"/>
        </w:rPr>
        <w:t xml:space="preserve"> </w:t>
      </w:r>
      <w:r w:rsidRPr="00D400D0">
        <w:rPr>
          <w:rFonts w:ascii="Arial" w:hAnsi="Arial" w:cs="Arial"/>
          <w:sz w:val="20"/>
          <w:szCs w:val="20"/>
        </w:rPr>
        <w:t>2</w:t>
      </w:r>
    </w:p>
    <w:sectPr w:rsidR="0067299D" w:rsidRPr="00D400D0" w:rsidSect="006729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B6AFB" w14:textId="77777777" w:rsidR="00E1010B" w:rsidRDefault="00E1010B" w:rsidP="00AA5A1F">
      <w:r>
        <w:separator/>
      </w:r>
    </w:p>
  </w:endnote>
  <w:endnote w:type="continuationSeparator" w:id="0">
    <w:p w14:paraId="042CEEAB" w14:textId="77777777" w:rsidR="00E1010B" w:rsidRDefault="00E1010B" w:rsidP="00AA5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EE68C" w14:textId="77777777" w:rsidR="00E1010B" w:rsidRDefault="00E1010B" w:rsidP="00AA5A1F">
      <w:r>
        <w:separator/>
      </w:r>
    </w:p>
  </w:footnote>
  <w:footnote w:type="continuationSeparator" w:id="0">
    <w:p w14:paraId="45E7C15A" w14:textId="77777777" w:rsidR="00E1010B" w:rsidRDefault="00E1010B" w:rsidP="00AA5A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9D"/>
    <w:rsid w:val="00096D8E"/>
    <w:rsid w:val="00177F0C"/>
    <w:rsid w:val="00180720"/>
    <w:rsid w:val="001E11C5"/>
    <w:rsid w:val="00207AB5"/>
    <w:rsid w:val="00283676"/>
    <w:rsid w:val="003176DE"/>
    <w:rsid w:val="004556B6"/>
    <w:rsid w:val="00462C98"/>
    <w:rsid w:val="005B2F7C"/>
    <w:rsid w:val="00603348"/>
    <w:rsid w:val="0067299D"/>
    <w:rsid w:val="008073E0"/>
    <w:rsid w:val="008F7814"/>
    <w:rsid w:val="00980088"/>
    <w:rsid w:val="00A03D29"/>
    <w:rsid w:val="00A658A8"/>
    <w:rsid w:val="00A73010"/>
    <w:rsid w:val="00AA5A1F"/>
    <w:rsid w:val="00AB4ED5"/>
    <w:rsid w:val="00B10394"/>
    <w:rsid w:val="00CA036F"/>
    <w:rsid w:val="00CF37F4"/>
    <w:rsid w:val="00D400D0"/>
    <w:rsid w:val="00E1010B"/>
    <w:rsid w:val="00E44FD2"/>
    <w:rsid w:val="00E8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0F5F68"/>
  <w15:chartTrackingRefBased/>
  <w15:docId w15:val="{1F05F778-D25A-482A-A8AF-9B69215A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29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AA5A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A5A1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A5A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A5A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7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314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 继旸</dc:creator>
  <cp:keywords/>
  <dc:description/>
  <cp:lastModifiedBy>廖 继旸</cp:lastModifiedBy>
  <cp:revision>18</cp:revision>
  <dcterms:created xsi:type="dcterms:W3CDTF">2021-02-28T11:50:00Z</dcterms:created>
  <dcterms:modified xsi:type="dcterms:W3CDTF">2021-04-22T15:03:00Z</dcterms:modified>
</cp:coreProperties>
</file>