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4"/>
        <w:tblW w:w="14490" w:type="dxa"/>
        <w:tblInd w:w="0" w:type="dxa"/>
        <w:tblLayout w:type="autofit"/>
        <w:tblCellMar>
          <w:top w:w="0" w:type="dxa"/>
          <w:left w:w="108" w:type="dxa"/>
          <w:bottom w:w="0" w:type="dxa"/>
          <w:right w:w="108" w:type="dxa"/>
        </w:tblCellMar>
      </w:tblPr>
      <w:tblGrid>
        <w:gridCol w:w="587"/>
        <w:gridCol w:w="1822"/>
        <w:gridCol w:w="5155"/>
        <w:gridCol w:w="813"/>
        <w:gridCol w:w="6113"/>
      </w:tblGrid>
      <w:tr>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22"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5155"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813"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6113"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22"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5155" w:type="dxa"/>
            <w:tcBorders>
              <w:top w:val="single" w:color="7F7F7F" w:sz="6" w:space="0"/>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813" w:type="dxa"/>
            <w:tcBorders>
              <w:top w:val="single" w:color="7F7F7F" w:sz="6" w:space="0"/>
              <w:bottom w:val="single" w:color="7F7F7F" w:sz="6" w:space="0"/>
            </w:tcBorders>
            <w:shd w:val="clear" w:color="auto" w:fill="EEEEEE"/>
          </w:tcPr>
          <w:p>
            <w:pPr>
              <w:spacing w:before="96" w:beforeLines="40" w:after="96" w:afterLines="40" w:line="24" w:lineRule="atLeast"/>
              <w:ind w:firstLine="180" w:firstLineChars="100"/>
              <w:rPr>
                <w:rFonts w:eastAsia="宋体"/>
                <w:sz w:val="18"/>
                <w:szCs w:val="18"/>
                <w:lang w:val="en-US" w:eastAsia="zh-CN"/>
              </w:rPr>
            </w:pPr>
            <w:r>
              <w:rPr>
                <w:rFonts w:hint="eastAsia" w:eastAsia="宋体"/>
                <w:sz w:val="18"/>
                <w:szCs w:val="18"/>
                <w:lang w:val="en-US" w:eastAsia="zh-CN"/>
              </w:rPr>
              <w:t>1</w:t>
            </w:r>
          </w:p>
        </w:tc>
        <w:tc>
          <w:tcPr>
            <w:tcW w:w="6113"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 Mendelian randomization.</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5155"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813"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6113"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813" w:type="dxa"/>
            <w:shd w:val="clear" w:color="auto" w:fill="EEEEEE"/>
          </w:tcPr>
          <w:p>
            <w:pPr>
              <w:spacing w:before="96" w:beforeLines="40" w:after="96" w:afterLines="40" w:line="24" w:lineRule="atLeast"/>
              <w:ind w:firstLine="180" w:firstLineChars="100"/>
              <w:rPr>
                <w:rFonts w:eastAsia="宋体"/>
                <w:sz w:val="18"/>
                <w:szCs w:val="18"/>
                <w:lang w:val="en-US" w:eastAsia="zh-CN"/>
              </w:rPr>
            </w:pPr>
            <w:r>
              <w:rPr>
                <w:rFonts w:hint="eastAsia" w:eastAsia="宋体"/>
                <w:sz w:val="18"/>
                <w:szCs w:val="18"/>
                <w:lang w:val="en-US" w:eastAsia="zh-CN"/>
              </w:rPr>
              <w:t>2</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Hyperbilirubinemia is a prevalent clinical condition among newborns that is primarily attributed to factors such as excessive bilirubin production, compromised liver uptake and conjugation, and enhanced circulation of bilirubin in the enterohepatic system. Elevated bilirubin levels can lead to severe complications, including acute bilirubin encephalopathy and kernicterus, resulting in irreversible nervous system damage and, in extreme cases, mortality[1,2].</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The etiology of hyperbilirubinemia encompasses various maternal and neonatal factors, with increasing recognition of its genetic components[3]. Biliverdin reductase A (BLVRA) and uridine diphosphate glucuronosyltransferase 1A1 (UGT1A1) play pivotal roles in bilirubin metabolism by converting biliverdin to bilirubin and facilitating the conjugation of unconjugated bilirubin to glucuronic acid molecules, respectively[4]. Emerging evidence suggests a significant link between specific genetic variants of UGT1A1 or BLVRA and the incidence of severe hyperbilirubinemia[5–7]. Mutations in UGT1A1 cause a decrease or deletion of glucuronidase activity, affecting bilirubin synthesis in vivo and leading to hyperunbound bilirubinemia[2,8]. Genetic variants of UGT1A1, including UGT1A1*28 and UGT1A1*6, have been recognized as contributing factors for the risk of neonatal jaundice in Asian populations[9,10].</w:t>
            </w:r>
          </w:p>
        </w:tc>
      </w:tr>
      <w:tr>
        <w:tblPrEx>
          <w:tblCellMar>
            <w:top w:w="0" w:type="dxa"/>
            <w:left w:w="108" w:type="dxa"/>
            <w:bottom w:w="0" w:type="dxa"/>
            <w:right w:w="108" w:type="dxa"/>
          </w:tblCellMar>
        </w:tblPrEx>
        <w:tc>
          <w:tcPr>
            <w:tcW w:w="587" w:type="dxa"/>
            <w:tcBorders>
              <w:bottom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22"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5155"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813" w:type="dxa"/>
            <w:tcBorders>
              <w:bottom w:val="single" w:color="7F7F7F" w:sz="6" w:space="0"/>
            </w:tcBorders>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3</w:t>
            </w:r>
          </w:p>
        </w:tc>
        <w:tc>
          <w:tcPr>
            <w:tcW w:w="6113" w:type="dxa"/>
            <w:tcBorders>
              <w:bottom w:val="single" w:color="7F7F7F" w:sz="6" w:space="0"/>
            </w:tcBorders>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our research sought to explore the allele and genotype frequencies of nine UGT1A1 and five BLVRA variants associated with neonatal hyperbilirubinemia.</w:t>
            </w:r>
          </w:p>
        </w:tc>
      </w:tr>
      <w:tr>
        <w:tblPrEx>
          <w:tblCellMar>
            <w:top w:w="0" w:type="dxa"/>
            <w:left w:w="108" w:type="dxa"/>
            <w:bottom w:w="0" w:type="dxa"/>
            <w:right w:w="108" w:type="dxa"/>
          </w:tblCellMar>
        </w:tblPrEx>
        <w:tc>
          <w:tcPr>
            <w:tcW w:w="587" w:type="dxa"/>
            <w:tcBorders>
              <w:top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5155"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813"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6113" w:type="dxa"/>
            <w:tcBorders>
              <w:top w:val="single" w:color="7F7F7F" w:sz="6" w:space="0"/>
            </w:tcBorders>
            <w:shd w:val="clear" w:color="auto" w:fill="EEEEEE"/>
          </w:tcPr>
          <w:p>
            <w:pPr>
              <w:spacing w:before="96" w:beforeLines="40" w:after="96" w:afterLines="40" w:line="24" w:lineRule="atLeast"/>
              <w:rPr>
                <w:rFonts w:eastAsia="Times New Roman"/>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813" w:type="dxa"/>
            <w:shd w:val="clear" w:color="auto" w:fill="EEEEEE"/>
          </w:tcPr>
          <w:p>
            <w:pPr>
              <w:spacing w:before="96" w:beforeLines="40" w:after="96" w:afterLines="40" w:line="24" w:lineRule="atLeast"/>
              <w:rPr>
                <w:rFonts w:eastAsia="宋体"/>
                <w:sz w:val="18"/>
                <w:szCs w:val="18"/>
                <w:shd w:val="clear" w:color="auto" w:fill="FFFFFF"/>
                <w:lang w:val="en-US" w:eastAsia="zh-CN"/>
              </w:rPr>
            </w:pPr>
            <w:r>
              <w:rPr>
                <w:rFonts w:hint="eastAsia" w:eastAsia="宋体"/>
                <w:sz w:val="18"/>
                <w:szCs w:val="18"/>
                <w:shd w:val="clear" w:color="auto" w:fill="FFFFFF"/>
                <w:lang w:val="en-US" w:eastAsia="zh-CN"/>
              </w:rPr>
              <w:t xml:space="preserve">  8</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A total of 240 neonatal samples were gathered from the Longgang Maternal and Child Health Hospital in Shenzhen from March 2021 to March 2022. </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813" w:type="dxa"/>
          </w:tcPr>
          <w:p>
            <w:pPr>
              <w:spacing w:before="96" w:beforeLines="40" w:after="96" w:afterLines="40" w:line="24" w:lineRule="atLeast"/>
              <w:ind w:firstLine="180" w:firstLineChars="100"/>
              <w:textAlignment w:val="baseline"/>
              <w:rPr>
                <w:rFonts w:eastAsia="宋体"/>
                <w:sz w:val="18"/>
                <w:szCs w:val="18"/>
                <w:shd w:val="clear" w:color="auto" w:fill="FFFFFF"/>
                <w:lang w:val="en-US" w:eastAsia="zh-CN"/>
              </w:rPr>
            </w:pPr>
            <w:r>
              <w:rPr>
                <w:rFonts w:hint="eastAsia" w:eastAsia="宋体"/>
                <w:sz w:val="18"/>
                <w:szCs w:val="18"/>
                <w:shd w:val="clear" w:color="auto" w:fill="FFFFFF"/>
                <w:lang w:val="en-US" w:eastAsia="zh-CN"/>
              </w:rPr>
              <w:t>8</w:t>
            </w: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study included 126 patients diagnosed with hyperbilirubinemia (neonatal hyperbilirubinemia group, NHB group) and 114 healthy newborns (control group). The American Academy of Pediatrics established that hyperbilirubinemia was diagnosed when the serum bilirubin concentrations were at or above the 95th percentile on the neonatal hour-specific bilirubin chart. Individuals with conditions known to affect serum total bilirubin levels, such as premature birth, asphyxia, septicemia, hepatitis, bile duct obstruction, hemolytic thalassemia, and glucose-6-phosphate dehydrogenase (G6PD) deficiency due to ABO and Rh blood group incompatibility, were excluded from both groups.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813" w:type="dxa"/>
            <w:shd w:val="clear" w:color="auto" w:fill="EEEEEE"/>
          </w:tcPr>
          <w:p>
            <w:pPr>
              <w:spacing w:before="96" w:beforeLines="40" w:after="96" w:afterLines="40" w:line="24" w:lineRule="atLeast"/>
              <w:ind w:firstLine="180" w:firstLineChars="100"/>
              <w:rPr>
                <w:rFonts w:eastAsia="Times New Roman"/>
                <w:sz w:val="18"/>
                <w:szCs w:val="18"/>
                <w:lang w:val="en-GB" w:eastAsia="en-GB"/>
              </w:rPr>
            </w:pPr>
            <w:r>
              <w:rPr>
                <w:rFonts w:hint="eastAsia" w:eastAsia="宋体"/>
                <w:sz w:val="18"/>
                <w:szCs w:val="18"/>
                <w:shd w:val="clear" w:color="auto" w:fill="FFFFFF"/>
                <w:lang w:val="en-US" w:eastAsia="zh-CN"/>
              </w:rPr>
              <w:t>8</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remaining blood samples from routine blood tests were subjected to genetic polymorphism analysis using the MassARRAY® MALDI-TOF System (Sequenom, America). Nine single nucleotide polymorphisms (SNPs) of UGT1A1 were investigated: rs1018124, rs1042640, rs11888492, rs12479045, rs17864705, rs3771342, rs4148325, rs4148328, and rs8330. Additionally, five BLVRA SNPs were analyzed: rs10486752, rs1181576, rs2730625, rs699512, and rs7738.</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5155"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813" w:type="dxa"/>
          </w:tcPr>
          <w:p>
            <w:pPr>
              <w:spacing w:before="96" w:beforeLines="40" w:after="96" w:afterLines="40" w:line="24" w:lineRule="atLeast"/>
              <w:ind w:firstLine="180" w:firstLineChars="100"/>
              <w:textAlignment w:val="baseline"/>
              <w:rPr>
                <w:rFonts w:eastAsia="Times New Roman"/>
                <w:sz w:val="18"/>
                <w:szCs w:val="18"/>
                <w:shd w:val="clear" w:color="auto" w:fill="FFFFFF"/>
                <w:lang w:val="en-GB" w:eastAsia="en-GB"/>
              </w:rPr>
            </w:pPr>
            <w:r>
              <w:rPr>
                <w:rFonts w:hint="eastAsia" w:eastAsia="宋体"/>
                <w:sz w:val="18"/>
                <w:szCs w:val="18"/>
                <w:shd w:val="clear" w:color="auto" w:fill="FFFFFF"/>
                <w:lang w:val="en-US" w:eastAsia="zh-CN"/>
              </w:rPr>
              <w:t>8</w:t>
            </w: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Venous blood samples (2–3 mL) were obtained and the serum levels of total protein (TP), albumin (ALB), bilirubin (total and direct), urea nitrogen (BUN), aspartate transaminase (AST), alanine transaminase (ALT), and creatinine (CR) quantified using an automatic biochemical analyzer (Hitachi 7180, Japan).</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5155" w:type="dxa"/>
            <w:shd w:val="clear" w:color="auto" w:fill="EEEEEE"/>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813" w:type="dxa"/>
            <w:shd w:val="clear" w:color="auto" w:fill="EEEEEE"/>
          </w:tcPr>
          <w:p>
            <w:pPr>
              <w:spacing w:before="96" w:beforeLines="40" w:after="96" w:afterLines="40" w:line="24" w:lineRule="atLeast"/>
              <w:textAlignment w:val="baseline"/>
              <w:rPr>
                <w:rFonts w:eastAsia="宋体"/>
                <w:sz w:val="18"/>
                <w:szCs w:val="18"/>
                <w:shd w:val="clear" w:color="auto" w:fill="FFFFFF"/>
                <w:lang w:val="en-US" w:eastAsia="zh-CN"/>
              </w:rPr>
            </w:pPr>
            <w:r>
              <w:rPr>
                <w:rFonts w:hint="eastAsia" w:eastAsia="宋体"/>
                <w:sz w:val="18"/>
                <w:szCs w:val="18"/>
                <w:shd w:val="clear" w:color="auto" w:fill="FFFFFF"/>
                <w:lang w:val="en-US" w:eastAsia="zh-CN"/>
              </w:rPr>
              <w:t xml:space="preserve">  8</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ascii="Arial" w:hAnsi="Arial" w:eastAsia="Times New Roman" w:cs="Arial"/>
                <w:sz w:val="18"/>
                <w:szCs w:val="18"/>
                <w:lang w:val="en-GB" w:eastAsia="en-GB"/>
              </w:rPr>
              <w:t>The study received ethical clearance from the Longgang Maternal and Child Health Hospital Ethics Committee (Shenzhen, China)（</w:t>
            </w:r>
            <w:r>
              <w:rPr>
                <w:rFonts w:hint="eastAsia" w:ascii="Arial" w:hAnsi="Arial" w:eastAsia="Times New Roman" w:cs="Arial"/>
                <w:sz w:val="18"/>
                <w:szCs w:val="18"/>
                <w:lang w:val="en-GB" w:eastAsia="zh-CN"/>
              </w:rPr>
              <w:t>LGFYYXLLQ-2020-023</w:t>
            </w:r>
            <w:r>
              <w:rPr>
                <w:rFonts w:ascii="Arial" w:hAnsi="Arial" w:eastAsia="Times New Roman" w:cs="Arial"/>
                <w:sz w:val="18"/>
                <w:szCs w:val="18"/>
                <w:lang w:val="en-GB" w:eastAsia="en-GB"/>
              </w:rPr>
              <w:t>）, and obtained</w:t>
            </w:r>
            <w:r>
              <w:rPr>
                <w:rFonts w:hint="eastAsia" w:ascii="Arial" w:hAnsi="Arial" w:eastAsia="Times New Roman" w:cs="Arial"/>
                <w:sz w:val="18"/>
                <w:szCs w:val="18"/>
                <w:lang w:val="en-US" w:eastAsia="zh-CN"/>
              </w:rPr>
              <w:t xml:space="preserve"> </w:t>
            </w:r>
            <w:r>
              <w:rPr>
                <w:rFonts w:hint="eastAsia" w:ascii="Arial" w:hAnsi="Arial" w:eastAsia="Times New Roman" w:cs="Arial"/>
                <w:sz w:val="18"/>
                <w:szCs w:val="18"/>
                <w:lang w:val="en-GB" w:eastAsia="en-GB"/>
              </w:rPr>
              <w:t>informed consent</w:t>
            </w:r>
            <w:r>
              <w:rPr>
                <w:rFonts w:hint="eastAsia" w:ascii="Arial" w:hAnsi="Arial" w:eastAsia="Times New Roman" w:cs="Arial"/>
                <w:sz w:val="18"/>
                <w:szCs w:val="18"/>
                <w:lang w:val="en-US" w:eastAsia="zh-CN"/>
              </w:rPr>
              <w:t xml:space="preserve"> from the participants involved in this study.</w:t>
            </w:r>
            <w:r>
              <w:rPr>
                <w:rFonts w:ascii="Arial" w:hAnsi="Arial" w:eastAsia="Times New Roman" w:cs="Arial"/>
                <w:sz w:val="18"/>
                <w:szCs w:val="18"/>
                <w:lang w:val="en-GB" w:eastAsia="en-GB"/>
              </w:rPr>
              <w:t>All the methods in this study were strictly carried out according to the methods approved by the ethics committee.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pPr>
              <w:spacing w:before="96" w:beforeLines="40" w:after="96" w:afterLines="40" w:line="24" w:lineRule="atLeast"/>
              <w:jc w:val="center"/>
              <w:rPr>
                <w:rFonts w:eastAsia="Cambria"/>
                <w:sz w:val="18"/>
                <w:szCs w:val="18"/>
                <w:lang w:val="en-GB" w:eastAsia="en-US"/>
              </w:rPr>
            </w:pPr>
          </w:p>
        </w:tc>
        <w:tc>
          <w:tcPr>
            <w:tcW w:w="515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bookmarkStart w:id="0" w:name="_GoBack"/>
            <w:bookmarkEnd w:id="0"/>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813" w:type="dxa"/>
            <w:shd w:val="clear" w:color="auto" w:fill="EEEEEE"/>
          </w:tcPr>
          <w:p>
            <w:pPr>
              <w:spacing w:before="96" w:beforeLines="40" w:after="96" w:afterLines="40" w:line="24" w:lineRule="atLeast"/>
              <w:rPr>
                <w:rFonts w:eastAsia="宋体"/>
                <w:sz w:val="18"/>
                <w:szCs w:val="18"/>
                <w:lang w:val="en-US" w:eastAsia="zh-CN"/>
              </w:rPr>
            </w:pPr>
          </w:p>
        </w:tc>
        <w:tc>
          <w:tcPr>
            <w:tcW w:w="6113"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813" w:type="dxa"/>
          </w:tcPr>
          <w:p>
            <w:pPr>
              <w:spacing w:before="96" w:beforeLines="40" w:after="96" w:afterLines="40" w:line="24" w:lineRule="atLeast"/>
              <w:rPr>
                <w:rFonts w:eastAsia="Times New Roman"/>
                <w:sz w:val="18"/>
                <w:szCs w:val="18"/>
                <w:lang w:val="en-US" w:eastAsia="zh-CN"/>
              </w:rPr>
            </w:pPr>
            <w:r>
              <w:rPr>
                <w:rFonts w:hint="eastAsia" w:eastAsia="Times New Roman"/>
                <w:sz w:val="18"/>
                <w:szCs w:val="18"/>
                <w:lang w:val="en-US" w:eastAsia="zh-CN"/>
              </w:rPr>
              <w:t xml:space="preserve">  9</w:t>
            </w: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The data for continuous variables are presented as averages accompanied by the standard deviation (SD), with statistical analysis conducted through the application of Student's t-test. </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813" w:type="dxa"/>
            <w:shd w:val="clear" w:color="auto" w:fill="EEEEEE"/>
          </w:tcPr>
          <w:p>
            <w:pPr>
              <w:spacing w:before="96" w:beforeLines="40" w:after="96" w:afterLines="40" w:line="24" w:lineRule="atLeast"/>
              <w:rPr>
                <w:rFonts w:eastAsia="Times New Roman"/>
                <w:sz w:val="18"/>
                <w:szCs w:val="18"/>
                <w:lang w:val="en-US" w:eastAsia="zh-CN"/>
              </w:rPr>
            </w:pPr>
            <w:r>
              <w:rPr>
                <w:rFonts w:hint="eastAsia" w:eastAsia="Times New Roman"/>
                <w:sz w:val="18"/>
                <w:szCs w:val="18"/>
                <w:lang w:val="en-US" w:eastAsia="zh-CN"/>
              </w:rPr>
              <w:t xml:space="preserve">  9</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Allele and genotype frequencies were assessed through direct enumeration. Differences between control groups and neonatal hyperbilirubinemia were analyzed with the chi-squared test. </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813" w:type="dxa"/>
          </w:tcPr>
          <w:p>
            <w:pPr>
              <w:spacing w:before="96" w:beforeLines="40" w:after="96" w:afterLines="40" w:line="24" w:lineRule="atLeast"/>
              <w:rPr>
                <w:rFonts w:eastAsia="Times New Roman"/>
                <w:sz w:val="18"/>
                <w:szCs w:val="18"/>
                <w:lang w:val="en-US" w:eastAsia="zh-CN"/>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 Mendelian randomization.</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813" w:type="dxa"/>
            <w:shd w:val="clear" w:color="auto" w:fill="EEEEEE"/>
          </w:tcPr>
          <w:p>
            <w:pPr>
              <w:spacing w:before="96" w:beforeLines="40" w:after="96" w:afterLines="40" w:line="24" w:lineRule="atLeast"/>
              <w:rPr>
                <w:rFonts w:eastAsia="Times New Roman"/>
                <w:sz w:val="18"/>
                <w:szCs w:val="18"/>
                <w:lang w:val="en-GB" w:eastAsia="en-GB"/>
              </w:rPr>
            </w:pPr>
          </w:p>
        </w:tc>
        <w:tc>
          <w:tcPr>
            <w:tcW w:w="6113" w:type="dxa"/>
            <w:shd w:val="clear" w:color="auto" w:fill="EEEEEE"/>
          </w:tcPr>
          <w:p>
            <w:pPr>
              <w:spacing w:before="96" w:beforeLines="40" w:after="96" w:afterLines="40" w:line="24" w:lineRule="atLeast"/>
              <w:rPr>
                <w:rFonts w:eastAsia="宋体"/>
                <w:sz w:val="18"/>
                <w:szCs w:val="18"/>
                <w:lang w:val="en-US" w:eastAsia="zh-CN"/>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5155" w:type="dxa"/>
            <w:shd w:val="clear" w:color="auto" w:fill="EEEEEE"/>
          </w:tcPr>
          <w:p>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813"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p>
        </w:tc>
        <w:tc>
          <w:tcPr>
            <w:tcW w:w="6113"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5155" w:type="dxa"/>
            <w:shd w:val="clear" w:color="auto" w:fill="EEEEEE"/>
          </w:tcPr>
          <w:p>
            <w:pPr>
              <w:spacing w:before="96" w:beforeLines="40" w:after="96" w:afterLines="40" w:line="24" w:lineRule="atLeast"/>
              <w:rPr>
                <w:rFonts w:eastAsia="Cambria"/>
                <w:sz w:val="18"/>
                <w:szCs w:val="18"/>
                <w:lang w:val="en-GB" w:eastAsia="en-US"/>
              </w:rPr>
            </w:pPr>
          </w:p>
        </w:tc>
        <w:tc>
          <w:tcPr>
            <w:tcW w:w="813" w:type="dxa"/>
            <w:shd w:val="clear" w:color="auto" w:fill="EEEEEE"/>
          </w:tcPr>
          <w:p>
            <w:pPr>
              <w:spacing w:before="96" w:beforeLines="40" w:after="96" w:afterLines="40" w:line="24" w:lineRule="atLeast"/>
              <w:rPr>
                <w:rFonts w:eastAsia="Cambria"/>
                <w:sz w:val="18"/>
                <w:szCs w:val="18"/>
                <w:lang w:val="en-GB" w:eastAsia="en-US"/>
              </w:rPr>
            </w:pPr>
          </w:p>
        </w:tc>
        <w:tc>
          <w:tcPr>
            <w:tcW w:w="6113"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813" w:type="dxa"/>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9</w:t>
            </w:r>
          </w:p>
        </w:tc>
        <w:tc>
          <w:tcPr>
            <w:tcW w:w="6113" w:type="dxa"/>
          </w:tcPr>
          <w:p>
            <w:pPr>
              <w:spacing w:before="96" w:beforeLines="40" w:after="96" w:afterLines="40" w:line="24" w:lineRule="atLeast"/>
              <w:rPr>
                <w:rFonts w:eastAsia="宋体"/>
                <w:sz w:val="18"/>
                <w:szCs w:val="18"/>
                <w:lang w:val="en-US" w:eastAsia="zh-CN"/>
              </w:rPr>
            </w:pPr>
            <w:r>
              <w:rPr>
                <w:rFonts w:eastAsia="宋体"/>
                <w:sz w:val="18"/>
                <w:szCs w:val="18"/>
                <w:lang w:val="en-US" w:eastAsia="zh-CN"/>
              </w:rPr>
              <w:t>graphpad prism</w:t>
            </w:r>
            <w:r>
              <w:rPr>
                <w:rFonts w:hint="eastAsia" w:eastAsia="宋体"/>
                <w:sz w:val="18"/>
                <w:szCs w:val="18"/>
                <w:lang w:val="en-US" w:eastAsia="zh-CN"/>
              </w:rPr>
              <w:t xml:space="preserve"> 8.3.0</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8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US" w:eastAsia="zh-CN"/>
              </w:rPr>
            </w:pPr>
            <w:r>
              <w:rPr>
                <w:rFonts w:hint="eastAsia" w:eastAsia="Times New Roman"/>
                <w:sz w:val="18"/>
                <w:szCs w:val="18"/>
                <w:lang w:val="en-US" w:eastAsia="zh-CN"/>
              </w:rPr>
              <w:t xml:space="preserve">  9</w:t>
            </w:r>
          </w:p>
        </w:tc>
        <w:tc>
          <w:tcPr>
            <w:tcW w:w="61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US" w:eastAsia="zh-CN"/>
              </w:rPr>
            </w:pPr>
            <w:r>
              <w:fldChar w:fldCharType="begin"/>
            </w:r>
            <w:r>
              <w:instrText xml:space="preserve"> HYPERLINK "https://www.medicalresearch.org.cn" </w:instrText>
            </w:r>
            <w:r>
              <w:fldChar w:fldCharType="separate"/>
            </w:r>
            <w:r>
              <w:rPr>
                <w:rFonts w:eastAsia="Times New Roman"/>
                <w:sz w:val="18"/>
                <w:szCs w:val="18"/>
                <w:lang w:val="en-GB" w:eastAsia="en-GB"/>
              </w:rPr>
              <w:t>https://www.medicalresearch.org.cn</w:t>
            </w:r>
            <w:r>
              <w:rPr>
                <w:rFonts w:eastAsia="Times New Roman"/>
                <w:sz w:val="18"/>
                <w:szCs w:val="18"/>
                <w:lang w:val="en-GB" w:eastAsia="en-GB"/>
              </w:rPr>
              <w:fldChar w:fldCharType="end"/>
            </w:r>
            <w:r>
              <w:rPr>
                <w:rFonts w:hint="eastAsia" w:eastAsia="Times New Roman"/>
                <w:sz w:val="18"/>
                <w:szCs w:val="18"/>
                <w:lang w:val="en-US" w:eastAsia="zh-CN"/>
              </w:rPr>
              <w:t xml:space="preserve">   2023.05.06</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5155"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813"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6113"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5155" w:type="dxa"/>
            <w:shd w:val="clear" w:color="auto" w:fill="EEEEEE"/>
          </w:tcPr>
          <w:p>
            <w:pPr>
              <w:spacing w:before="96" w:beforeLines="40" w:after="96" w:afterLines="40" w:line="24" w:lineRule="atLeast"/>
              <w:rPr>
                <w:rFonts w:eastAsia="Cambria"/>
                <w:sz w:val="18"/>
                <w:szCs w:val="18"/>
                <w:lang w:val="en-GB" w:eastAsia="en-US"/>
              </w:rPr>
            </w:pPr>
          </w:p>
        </w:tc>
        <w:tc>
          <w:tcPr>
            <w:tcW w:w="813" w:type="dxa"/>
            <w:shd w:val="clear" w:color="auto" w:fill="EEEEEE"/>
          </w:tcPr>
          <w:p>
            <w:pPr>
              <w:spacing w:before="96" w:beforeLines="40" w:after="96" w:afterLines="40" w:line="24" w:lineRule="atLeast"/>
              <w:rPr>
                <w:rFonts w:eastAsia="Cambria"/>
                <w:sz w:val="18"/>
                <w:szCs w:val="18"/>
                <w:lang w:val="en-GB" w:eastAsia="en-US"/>
              </w:rPr>
            </w:pPr>
          </w:p>
        </w:tc>
        <w:tc>
          <w:tcPr>
            <w:tcW w:w="6113"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813" w:type="dxa"/>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8</w:t>
            </w:r>
          </w:p>
          <w:p>
            <w:pPr>
              <w:spacing w:before="96" w:beforeLines="40" w:after="96" w:afterLines="40" w:line="24" w:lineRule="atLeast"/>
              <w:rPr>
                <w:rFonts w:eastAsia="宋体"/>
                <w:sz w:val="18"/>
                <w:szCs w:val="18"/>
                <w:lang w:val="en-US" w:eastAsia="zh-CN"/>
              </w:rPr>
            </w:pPr>
          </w:p>
          <w:p>
            <w:pPr>
              <w:spacing w:before="96" w:beforeLines="40" w:after="96" w:afterLines="40" w:line="24" w:lineRule="atLeast"/>
              <w:rPr>
                <w:rFonts w:eastAsia="宋体"/>
                <w:sz w:val="18"/>
                <w:szCs w:val="18"/>
                <w:lang w:val="en-US" w:eastAsia="zh-CN"/>
              </w:rPr>
            </w:pPr>
          </w:p>
          <w:p>
            <w:pPr>
              <w:spacing w:before="96" w:beforeLines="40" w:after="96" w:afterLines="40" w:line="24" w:lineRule="atLeast"/>
              <w:rPr>
                <w:rFonts w:eastAsia="宋体"/>
                <w:sz w:val="18"/>
                <w:szCs w:val="18"/>
                <w:lang w:val="en-US" w:eastAsia="zh-CN"/>
              </w:rPr>
            </w:pPr>
          </w:p>
          <w:p>
            <w:pPr>
              <w:spacing w:before="96" w:beforeLines="40" w:after="96" w:afterLines="40" w:line="24" w:lineRule="atLeast"/>
              <w:rPr>
                <w:rFonts w:eastAsia="宋体"/>
                <w:sz w:val="18"/>
                <w:szCs w:val="18"/>
                <w:lang w:val="en-US" w:eastAsia="zh-CN"/>
              </w:rPr>
            </w:pPr>
          </w:p>
          <w:p>
            <w:pPr>
              <w:spacing w:before="96" w:beforeLines="40" w:after="96" w:afterLines="40" w:line="24" w:lineRule="atLeast"/>
              <w:rPr>
                <w:rFonts w:eastAsia="宋体"/>
                <w:sz w:val="18"/>
                <w:szCs w:val="18"/>
                <w:lang w:val="en-US" w:eastAsia="zh-CN"/>
              </w:rPr>
            </w:pPr>
          </w:p>
          <w:p>
            <w:pPr>
              <w:spacing w:before="96" w:beforeLines="40" w:after="96" w:afterLines="40" w:line="24" w:lineRule="atLeast"/>
              <w:rPr>
                <w:rFonts w:eastAsia="宋体"/>
                <w:sz w:val="18"/>
                <w:szCs w:val="18"/>
                <w:lang w:val="en-US" w:eastAsia="zh-CN"/>
              </w:rPr>
            </w:pPr>
          </w:p>
          <w:p>
            <w:pPr>
              <w:spacing w:before="96" w:beforeLines="40" w:after="96" w:afterLines="40" w:line="24" w:lineRule="atLeast"/>
              <w:rPr>
                <w:rFonts w:eastAsia="宋体"/>
                <w:sz w:val="18"/>
                <w:szCs w:val="18"/>
                <w:lang w:val="en-US" w:eastAsia="zh-CN"/>
              </w:rPr>
            </w:pPr>
          </w:p>
          <w:p>
            <w:pPr>
              <w:spacing w:before="96" w:beforeLines="40" w:after="96" w:afterLines="40" w:line="24" w:lineRule="atLeast"/>
              <w:ind w:firstLine="180" w:firstLineChars="100"/>
              <w:rPr>
                <w:rFonts w:eastAsia="宋体"/>
                <w:sz w:val="18"/>
                <w:szCs w:val="18"/>
                <w:lang w:val="en-US" w:eastAsia="zh-CN"/>
              </w:rPr>
            </w:pPr>
            <w:r>
              <w:rPr>
                <w:rFonts w:hint="eastAsia" w:eastAsia="宋体"/>
                <w:sz w:val="18"/>
                <w:szCs w:val="18"/>
                <w:lang w:val="en-US" w:eastAsia="zh-CN"/>
              </w:rPr>
              <w:t>12</w:t>
            </w: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study included 126 patients diagnosed with hyperbilirubinemia (neonatal hyperbilirubinemia group, NHB group) and 114 healthy newborns (control group). The American Academy of Pediatrics established that hyperbilirubinemia was diagnosed when the serum bilirubin concentrations were at or above the 95th percentile on the neonatal hour-specific bilirubin chart. Individuals with conditions known to affect serum total bilirubin levels, such as premature birth, asphyxia, septicemia, hepatitis, bile duct obstruction, hemolytic thalassemia, and glucose-6-phosphate dehydrogenase (G6PD) deficiency due to ABO and Rh blood group incompatibility, were excluded from both groups.</w:t>
            </w:r>
          </w:p>
          <w:p>
            <w:pPr>
              <w:spacing w:before="96" w:beforeLines="40" w:after="96" w:afterLines="40" w:line="24" w:lineRule="atLeast"/>
              <w:rPr>
                <w:rFonts w:eastAsia="Times New Roman"/>
                <w:sz w:val="18"/>
                <w:szCs w:val="18"/>
                <w:lang w:val="en-GB" w:eastAsia="en-GB"/>
              </w:rPr>
            </w:pPr>
          </w:p>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Table 1</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813" w:type="dxa"/>
            <w:shd w:val="clear" w:color="auto" w:fill="EEEEEE"/>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12-15</w:t>
            </w:r>
          </w:p>
        </w:tc>
        <w:tc>
          <w:tcPr>
            <w:tcW w:w="6113" w:type="dxa"/>
            <w:shd w:val="clear" w:color="auto" w:fill="EEEEEE"/>
          </w:tcPr>
          <w:p>
            <w:pPr>
              <w:spacing w:before="96" w:beforeLines="40" w:after="96" w:afterLines="40" w:line="24" w:lineRule="atLeast"/>
              <w:rPr>
                <w:rFonts w:eastAsia="Times New Roman"/>
                <w:sz w:val="18"/>
                <w:szCs w:val="18"/>
                <w:lang w:val="en-US" w:eastAsia="en-GB"/>
              </w:rPr>
            </w:pPr>
            <w:r>
              <w:rPr>
                <w:rFonts w:hint="eastAsia" w:eastAsia="宋体"/>
                <w:sz w:val="18"/>
                <w:szCs w:val="18"/>
                <w:lang w:val="en-US" w:eastAsia="zh-CN"/>
              </w:rPr>
              <w:t>Table 1-5</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宋体"/>
                <w:sz w:val="18"/>
                <w:szCs w:val="18"/>
                <w:lang w:val="en-US" w:eastAsia="zh-CN"/>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813" w:type="dxa"/>
            <w:shd w:val="clear" w:color="auto" w:fill="EEEEEE"/>
          </w:tcPr>
          <w:p>
            <w:pPr>
              <w:spacing w:before="96" w:beforeLines="40" w:after="96" w:afterLines="40" w:line="24" w:lineRule="atLeast"/>
              <w:rPr>
                <w:rFonts w:eastAsia="Times New Roman"/>
                <w:sz w:val="18"/>
                <w:szCs w:val="18"/>
                <w:lang w:val="en-GB" w:eastAsia="en-GB"/>
              </w:rPr>
            </w:pP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5155" w:type="dxa"/>
            <w:shd w:val="clear" w:color="auto" w:fill="auto"/>
          </w:tcPr>
          <w:p>
            <w:pPr>
              <w:spacing w:before="96" w:beforeLines="40" w:after="96" w:afterLines="40" w:line="24" w:lineRule="atLeast"/>
              <w:rPr>
                <w:rFonts w:eastAsia="Cambria"/>
                <w:sz w:val="18"/>
                <w:szCs w:val="18"/>
                <w:lang w:val="en-GB" w:eastAsia="en-US"/>
              </w:rPr>
            </w:pPr>
          </w:p>
        </w:tc>
        <w:tc>
          <w:tcPr>
            <w:tcW w:w="813" w:type="dxa"/>
          </w:tcPr>
          <w:p>
            <w:pPr>
              <w:spacing w:before="96" w:beforeLines="40" w:after="96" w:afterLines="40" w:line="24" w:lineRule="atLeast"/>
              <w:rPr>
                <w:rFonts w:eastAsia="Cambria"/>
                <w:sz w:val="18"/>
                <w:szCs w:val="18"/>
                <w:lang w:val="en-GB" w:eastAsia="en-US"/>
              </w:rPr>
            </w:pPr>
          </w:p>
        </w:tc>
        <w:tc>
          <w:tcPr>
            <w:tcW w:w="6113"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813" w:type="dxa"/>
            <w:shd w:val="clear" w:color="auto" w:fill="EEEEEE"/>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4</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Marked disparities were evident in the allele and genotype frequencies of rs11888492 and rs4148325 within UGT1A1 when comparing the control and NHB groups, whereas other variants did not exhibit such differences. For rs11888492, the genotype frequencies of CC and CG in the NHB group were 114 (90.48%) and 12 (9.52%), respectively, showing a notable disparity (P = 0.001). The C and G alleles frequencies in the NHB group were 240 (95.24%) and 12 (4.76%), respectively, showing a significant difference (P = 0.023). Similarly, for rs4148325, the genotype frequencies of CC, CT, and TT in the NHB group were 114 (90.48%), 11 (8.73%), and 1 (0.79%), respectively (P = 0.001). The C and T allele frequencies in the NHB group were 239 (94.84%) and 13 (5.16%), respectively, demonstrating a significant difference (P = 0.023). Thus, the variants rs11888492 and rs4148325, which showed notable distributional differences between the control and NHB groups, were incorporated into the conditional logistic regression model.</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The logistic regression model for rs11888492 revealed that in contrast to allele C, allele G was correlated with a decreased probability of NHB occurrence (OR = 0.363; 95% CI: 0.169–0.777). Similarly, analysis of rs4148325 indicated that compared to CC, the CT genotype exhibited a lowered likelihood of developing neonatal hyperbilirubinemia (OR = 0.242; 95% CI: 0.102–0.574). Furthermore, compared to allele C, allele T was associated with a reduced likelihood of NHB onset (OR = 0.361; 95% CI: 0.165–0.794). However, after adjusting for clinical factors, allele T exhibited a lower risk of NHB than allele C, with an OR of 0.413 (95% CI: 0.141–1.211; P = 0.107).</w:t>
            </w:r>
          </w:p>
          <w:p>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N</w:t>
            </w:r>
            <w:r>
              <w:rPr>
                <w:rFonts w:eastAsia="Times New Roman"/>
                <w:sz w:val="18"/>
                <w:szCs w:val="18"/>
                <w:lang w:val="en-GB" w:eastAsia="en-GB"/>
              </w:rPr>
              <w:t>ewborns with the CC genotype at rs11888492 had significantly higher total bilirubin levels than those with the GG genotype (P = 0.034). Similarly, neonates carrying the CC genotype of rs4148325 had significantly higher total bilirubin levels than their CT counterparts (P = 0.003).</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813" w:type="dxa"/>
            <w:shd w:val="clear" w:color="auto" w:fill="EEEEEE"/>
          </w:tcPr>
          <w:p>
            <w:pPr>
              <w:spacing w:before="96" w:beforeLines="40" w:after="96" w:afterLines="40" w:line="24" w:lineRule="atLeast"/>
              <w:rPr>
                <w:rFonts w:eastAsia="Times New Roman"/>
                <w:sz w:val="18"/>
                <w:szCs w:val="18"/>
                <w:lang w:val="en-GB" w:eastAsia="en-GB"/>
              </w:rPr>
            </w:pP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813" w:type="dxa"/>
          </w:tcPr>
          <w:p>
            <w:pPr>
              <w:spacing w:before="96" w:beforeLines="40" w:after="96" w:afterLines="40" w:line="24" w:lineRule="atLeast"/>
              <w:ind w:firstLine="180" w:firstLineChars="100"/>
              <w:rPr>
                <w:rFonts w:eastAsia="宋体"/>
                <w:sz w:val="18"/>
                <w:szCs w:val="18"/>
                <w:lang w:val="en-US" w:eastAsia="zh-CN"/>
              </w:rPr>
            </w:pPr>
            <w:r>
              <w:rPr>
                <w:rFonts w:hint="eastAsia" w:eastAsia="宋体"/>
                <w:sz w:val="18"/>
                <w:szCs w:val="18"/>
                <w:lang w:val="en-US" w:eastAsia="zh-CN"/>
              </w:rPr>
              <w:t>17</w:t>
            </w:r>
          </w:p>
        </w:tc>
        <w:tc>
          <w:tcPr>
            <w:tcW w:w="6113" w:type="dxa"/>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Figure 1-2</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5155" w:type="dxa"/>
            <w:shd w:val="clear" w:color="auto" w:fill="EEEEEE"/>
          </w:tcPr>
          <w:p>
            <w:pPr>
              <w:spacing w:before="96" w:beforeLines="40" w:after="96" w:afterLines="40" w:line="24" w:lineRule="atLeast"/>
              <w:rPr>
                <w:rFonts w:eastAsia="Cambria"/>
                <w:sz w:val="18"/>
                <w:szCs w:val="18"/>
                <w:lang w:val="en-GB" w:eastAsia="en-US"/>
              </w:rPr>
            </w:pPr>
          </w:p>
        </w:tc>
        <w:tc>
          <w:tcPr>
            <w:tcW w:w="813" w:type="dxa"/>
            <w:shd w:val="clear" w:color="auto" w:fill="EEEEEE"/>
          </w:tcPr>
          <w:p>
            <w:pPr>
              <w:spacing w:before="96" w:beforeLines="40" w:after="96" w:afterLines="40" w:line="24" w:lineRule="atLeast"/>
              <w:rPr>
                <w:rFonts w:eastAsia="Cambria"/>
                <w:sz w:val="18"/>
                <w:szCs w:val="18"/>
                <w:lang w:val="en-GB" w:eastAsia="en-US"/>
              </w:rPr>
            </w:pPr>
          </w:p>
        </w:tc>
        <w:tc>
          <w:tcPr>
            <w:tcW w:w="6113"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813" w:type="dxa"/>
            <w:shd w:val="clear" w:color="auto" w:fill="EEEEEE"/>
          </w:tcPr>
          <w:p>
            <w:pPr>
              <w:spacing w:before="96" w:beforeLines="40" w:after="96" w:afterLines="40" w:line="24" w:lineRule="atLeast"/>
              <w:rPr>
                <w:rFonts w:eastAsia="Times New Roman"/>
                <w:sz w:val="18"/>
                <w:szCs w:val="18"/>
                <w:lang w:val="en-GB" w:eastAsia="en-GB"/>
              </w:rPr>
            </w:pP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5155" w:type="dxa"/>
            <w:shd w:val="clear" w:color="auto" w:fill="auto"/>
          </w:tcPr>
          <w:p>
            <w:pPr>
              <w:spacing w:before="96" w:beforeLines="40" w:after="96" w:afterLines="40" w:line="24" w:lineRule="atLeast"/>
              <w:rPr>
                <w:rFonts w:eastAsia="Cambria"/>
                <w:sz w:val="18"/>
                <w:szCs w:val="18"/>
                <w:lang w:val="en-GB" w:eastAsia="en-US"/>
              </w:rPr>
            </w:pPr>
          </w:p>
        </w:tc>
        <w:tc>
          <w:tcPr>
            <w:tcW w:w="813" w:type="dxa"/>
          </w:tcPr>
          <w:p>
            <w:pPr>
              <w:spacing w:before="96" w:beforeLines="40" w:after="96" w:afterLines="40" w:line="24" w:lineRule="atLeast"/>
              <w:rPr>
                <w:rFonts w:eastAsia="Cambria"/>
                <w:sz w:val="18"/>
                <w:szCs w:val="18"/>
                <w:lang w:val="en-GB" w:eastAsia="en-US"/>
              </w:rPr>
            </w:pPr>
          </w:p>
        </w:tc>
        <w:tc>
          <w:tcPr>
            <w:tcW w:w="6113"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813" w:type="dxa"/>
            <w:shd w:val="clear" w:color="auto" w:fill="EEEEEE"/>
          </w:tcPr>
          <w:p>
            <w:pPr>
              <w:spacing w:before="96" w:beforeLines="40" w:after="96" w:afterLines="40" w:line="24" w:lineRule="atLeast"/>
              <w:rPr>
                <w:rFonts w:eastAsia="Times New Roman"/>
                <w:sz w:val="18"/>
                <w:szCs w:val="18"/>
                <w:lang w:val="en-GB" w:eastAsia="en-GB"/>
              </w:rPr>
            </w:pP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813" w:type="dxa"/>
            <w:shd w:val="clear" w:color="auto" w:fill="EEEEEE"/>
          </w:tcPr>
          <w:p>
            <w:pPr>
              <w:spacing w:before="96" w:beforeLines="40" w:after="96" w:afterLines="40" w:line="24" w:lineRule="atLeast"/>
              <w:rPr>
                <w:rFonts w:eastAsia="Times New Roman"/>
                <w:sz w:val="18"/>
                <w:szCs w:val="18"/>
                <w:lang w:val="en-GB" w:eastAsia="en-GB"/>
              </w:rPr>
            </w:pP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5155"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8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61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5155"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813"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6113"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813" w:type="dxa"/>
            <w:shd w:val="clear" w:color="auto" w:fill="EEEEEE"/>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5-6</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We noted statistically significant disparities in the distribution of the alleles and genotypes of rs11888492 and rs4148325 of UGT1A1 between the control and NHB groups.</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As far as we are aware, our research is pioneering in examining the interactive influence of UGT1A1 genetic variants rs11888492 and rs4148325 on neonatal hyperbilirubinemia. We found that these variants were protective factors against the development of neonatal hyperbilirubinemia, with total bilirubin levels decreasing with an increase in the number of genetic variations.</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515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813" w:type="dxa"/>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7</w:t>
            </w: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study is subject to certain constraints, including a relatively limited sample size and assessment of only 14 gene loci that potentially affect bilirubin metabolism. Neonatal hyperbilirubinemia is a complex issue influenced by multiple factors, and additional research with larger sample sizes is necessary to investigate gene–gene interactions and offer a more thorough understanding of its pathogenesis.</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5155" w:type="dxa"/>
            <w:shd w:val="clear" w:color="auto" w:fill="EEEEEE"/>
          </w:tcPr>
          <w:p>
            <w:pPr>
              <w:spacing w:before="96" w:beforeLines="40" w:after="96" w:afterLines="40" w:line="24" w:lineRule="atLeast"/>
              <w:rPr>
                <w:rFonts w:eastAsia="Cambria"/>
                <w:sz w:val="18"/>
                <w:szCs w:val="18"/>
                <w:lang w:val="en-GB" w:eastAsia="en-US"/>
              </w:rPr>
            </w:pPr>
          </w:p>
        </w:tc>
        <w:tc>
          <w:tcPr>
            <w:tcW w:w="813" w:type="dxa"/>
            <w:shd w:val="clear" w:color="auto" w:fill="EEEEEE"/>
          </w:tcPr>
          <w:p>
            <w:pPr>
              <w:spacing w:before="96" w:beforeLines="40" w:after="96" w:afterLines="40" w:line="24" w:lineRule="atLeast"/>
              <w:rPr>
                <w:rFonts w:eastAsia="Cambria"/>
                <w:sz w:val="18"/>
                <w:szCs w:val="18"/>
                <w:lang w:val="en-GB" w:eastAsia="en-US"/>
              </w:rPr>
            </w:pPr>
          </w:p>
        </w:tc>
        <w:tc>
          <w:tcPr>
            <w:tcW w:w="6113"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5155"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813" w:type="dxa"/>
            <w:shd w:val="clear" w:color="auto" w:fill="EEEEEE"/>
          </w:tcPr>
          <w:p>
            <w:pPr>
              <w:spacing w:before="96" w:beforeLines="40" w:after="96" w:afterLines="40" w:line="24" w:lineRule="atLeast"/>
              <w:rPr>
                <w:rFonts w:eastAsia="Times New Roman"/>
                <w:sz w:val="18"/>
                <w:szCs w:val="18"/>
                <w:lang w:val="en-GB" w:eastAsia="en-GB"/>
              </w:rPr>
            </w:pP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5155" w:type="dxa"/>
            <w:shd w:val="clear" w:color="auto" w:fill="auto"/>
          </w:tcPr>
          <w:p>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813" w:type="dxa"/>
          </w:tcPr>
          <w:p>
            <w:pPr>
              <w:tabs>
                <w:tab w:val="left" w:pos="1350"/>
              </w:tabs>
              <w:spacing w:before="96" w:beforeLines="40" w:after="96" w:afterLines="40" w:line="24" w:lineRule="atLeast"/>
              <w:rPr>
                <w:rFonts w:eastAsia="Times New Roman"/>
                <w:sz w:val="18"/>
                <w:szCs w:val="18"/>
                <w:lang w:val="en-GB" w:eastAsia="en-GB"/>
              </w:rPr>
            </w:pPr>
          </w:p>
        </w:tc>
        <w:tc>
          <w:tcPr>
            <w:tcW w:w="6113" w:type="dxa"/>
          </w:tcPr>
          <w:p>
            <w:pPr>
              <w:tabs>
                <w:tab w:val="left" w:pos="1350"/>
              </w:tabs>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5155"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8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61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This article does not involve</w:t>
            </w:r>
            <w:r>
              <w:rPr>
                <w:rFonts w:hint="eastAsia" w:eastAsia="宋体"/>
                <w:sz w:val="18"/>
                <w:szCs w:val="18"/>
                <w:lang w:val="en-US" w:eastAsia="zh-CN"/>
              </w:rPr>
              <w:t xml:space="preserve"> these.</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5155"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813"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6113"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515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813" w:type="dxa"/>
            <w:shd w:val="clear" w:color="auto" w:fill="EEEEEE"/>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12</w:t>
            </w:r>
          </w:p>
        </w:tc>
        <w:tc>
          <w:tcPr>
            <w:tcW w:w="611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This study was funded by the Longgang District medical scientific research project (joint project of Shenzhen Longgang District Science and Technology Innovation Bureau) (LGKCYLWS2020107). </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515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813" w:type="dxa"/>
          </w:tcPr>
          <w:p>
            <w:pPr>
              <w:spacing w:before="96" w:beforeLines="40" w:after="96" w:afterLines="40" w:line="24" w:lineRule="atLeast"/>
              <w:rPr>
                <w:rFonts w:eastAsia="Times New Roman"/>
                <w:sz w:val="18"/>
                <w:szCs w:val="18"/>
                <w:lang w:val="en-GB" w:eastAsia="en-GB"/>
              </w:rPr>
            </w:pPr>
          </w:p>
        </w:tc>
        <w:tc>
          <w:tcPr>
            <w:tcW w:w="6113"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Data is provided within the manuscript or supplementary information files.The data used in this study are available on reasonable request to the corresponding author.</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5155"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813" w:type="dxa"/>
            <w:tcBorders>
              <w:bottom w:val="single" w:color="7F7F7F" w:sz="6" w:space="0"/>
            </w:tcBorders>
            <w:shd w:val="clear" w:color="auto" w:fill="EEEEEE"/>
          </w:tcPr>
          <w:p>
            <w:pPr>
              <w:spacing w:before="96" w:beforeLines="40" w:after="96" w:afterLines="40" w:line="24" w:lineRule="atLeast"/>
              <w:rPr>
                <w:rFonts w:eastAsia="宋体"/>
                <w:sz w:val="18"/>
                <w:szCs w:val="18"/>
                <w:lang w:val="en-US" w:eastAsia="zh-CN"/>
              </w:rPr>
            </w:pPr>
            <w:r>
              <w:rPr>
                <w:rFonts w:hint="eastAsia" w:eastAsia="宋体"/>
                <w:sz w:val="18"/>
                <w:szCs w:val="18"/>
                <w:lang w:val="en-US" w:eastAsia="zh-CN"/>
              </w:rPr>
              <w:t xml:space="preserve">  12</w:t>
            </w:r>
          </w:p>
        </w:tc>
        <w:tc>
          <w:tcPr>
            <w:tcW w:w="611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The authors a declare that they have no competing interests.</w:t>
            </w:r>
          </w:p>
          <w:p>
            <w:pPr>
              <w:spacing w:before="96" w:beforeLines="40" w:after="96" w:afterLines="40" w:line="24" w:lineRule="atLeast"/>
              <w:rPr>
                <w:rFonts w:eastAsia="Times New Roman"/>
                <w:sz w:val="18"/>
                <w:szCs w:val="18"/>
                <w:lang w:val="en-GB" w:eastAsia="en-GB"/>
              </w:rPr>
            </w:pPr>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6"/>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56"/>
    <w:rsid w:val="000A4CE8"/>
    <w:rsid w:val="001646FC"/>
    <w:rsid w:val="002663E6"/>
    <w:rsid w:val="002A4642"/>
    <w:rsid w:val="003B3625"/>
    <w:rsid w:val="003D447D"/>
    <w:rsid w:val="003D47DD"/>
    <w:rsid w:val="004B5CBB"/>
    <w:rsid w:val="004E11D4"/>
    <w:rsid w:val="00514462"/>
    <w:rsid w:val="005520ED"/>
    <w:rsid w:val="005A0D0D"/>
    <w:rsid w:val="00684128"/>
    <w:rsid w:val="00685D31"/>
    <w:rsid w:val="006912BF"/>
    <w:rsid w:val="006A41D0"/>
    <w:rsid w:val="006B08D5"/>
    <w:rsid w:val="007C71F8"/>
    <w:rsid w:val="00804498"/>
    <w:rsid w:val="00914C56"/>
    <w:rsid w:val="00950729"/>
    <w:rsid w:val="009854A9"/>
    <w:rsid w:val="00995237"/>
    <w:rsid w:val="009B4D2D"/>
    <w:rsid w:val="009E033F"/>
    <w:rsid w:val="00A6726F"/>
    <w:rsid w:val="00BB6328"/>
    <w:rsid w:val="00BC7DF2"/>
    <w:rsid w:val="00C274D7"/>
    <w:rsid w:val="00CD7B3C"/>
    <w:rsid w:val="00D65199"/>
    <w:rsid w:val="00D8098C"/>
    <w:rsid w:val="00DA274C"/>
    <w:rsid w:val="00ED48A3"/>
    <w:rsid w:val="00EF4B94"/>
    <w:rsid w:val="03C21E34"/>
    <w:rsid w:val="056A0D59"/>
    <w:rsid w:val="14881728"/>
    <w:rsid w:val="1C0A3092"/>
    <w:rsid w:val="1E4406A9"/>
    <w:rsid w:val="1F8340BC"/>
    <w:rsid w:val="217A6C7B"/>
    <w:rsid w:val="283104DE"/>
    <w:rsid w:val="39573D9E"/>
    <w:rsid w:val="39C421D4"/>
    <w:rsid w:val="3C535BB6"/>
    <w:rsid w:val="4B2D2BE6"/>
    <w:rsid w:val="52DB37FC"/>
    <w:rsid w:val="56BC4794"/>
    <w:rsid w:val="59DB1177"/>
    <w:rsid w:val="5DB24068"/>
    <w:rsid w:val="5DE36D9A"/>
    <w:rsid w:val="605D5F6F"/>
    <w:rsid w:val="62E76112"/>
    <w:rsid w:val="64E17B3F"/>
    <w:rsid w:val="6EFC1923"/>
    <w:rsid w:val="6F3E7E0E"/>
    <w:rsid w:val="6FD3610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6" w:lineRule="auto"/>
    </w:pPr>
    <w:rPr>
      <w:rFonts w:ascii="Arial" w:hAnsi="Arial" w:eastAsia="Arial" w:cs="Arial"/>
      <w:sz w:val="22"/>
      <w:szCs w:val="22"/>
      <w:lang w:val="en" w:eastAsia="de-CH"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680"/>
        <w:tab w:val="right" w:pos="9360"/>
      </w:tabs>
      <w:spacing w:line="240" w:lineRule="auto"/>
    </w:pPr>
  </w:style>
  <w:style w:type="paragraph" w:styleId="3">
    <w:name w:val="header"/>
    <w:basedOn w:val="1"/>
    <w:link w:val="10"/>
    <w:unhideWhenUsed/>
    <w:qFormat/>
    <w:uiPriority w:val="99"/>
    <w:pPr>
      <w:tabs>
        <w:tab w:val="center" w:pos="4153"/>
        <w:tab w:val="right" w:pos="8306"/>
      </w:tabs>
      <w:snapToGrid w:val="0"/>
      <w:spacing w:line="240" w:lineRule="auto"/>
      <w:jc w:val="center"/>
    </w:pPr>
    <w:rPr>
      <w:sz w:val="18"/>
      <w:szCs w:val="18"/>
    </w:rPr>
  </w:style>
  <w:style w:type="character" w:styleId="6">
    <w:name w:val="page number"/>
    <w:basedOn w:val="5"/>
    <w:semiHidden/>
    <w:unhideWhenUsed/>
    <w:qFormat/>
    <w:uiPriority w:val="99"/>
  </w:style>
  <w:style w:type="character" w:styleId="7">
    <w:name w:val="line number"/>
    <w:basedOn w:val="5"/>
    <w:semiHidden/>
    <w:unhideWhenUsed/>
    <w:qFormat/>
    <w:uiPriority w:val="99"/>
  </w:style>
  <w:style w:type="character" w:styleId="8">
    <w:name w:val="Hyperlink"/>
    <w:basedOn w:val="5"/>
    <w:semiHidden/>
    <w:unhideWhenUsed/>
    <w:qFormat/>
    <w:uiPriority w:val="99"/>
    <w:rPr>
      <w:color w:val="0000FF"/>
      <w:u w:val="single"/>
    </w:rPr>
  </w:style>
  <w:style w:type="character" w:customStyle="1" w:styleId="9">
    <w:name w:val="页脚 字符"/>
    <w:basedOn w:val="5"/>
    <w:link w:val="2"/>
    <w:qFormat/>
    <w:uiPriority w:val="99"/>
    <w:rPr>
      <w:rFonts w:ascii="Arial" w:hAnsi="Arial" w:eastAsia="Arial" w:cs="Arial"/>
      <w:lang w:val="en" w:eastAsia="de-CH"/>
    </w:rPr>
  </w:style>
  <w:style w:type="character" w:customStyle="1" w:styleId="10">
    <w:name w:val="页眉 字符"/>
    <w:basedOn w:val="5"/>
    <w:link w:val="3"/>
    <w:qFormat/>
    <w:uiPriority w:val="99"/>
    <w:rPr>
      <w:rFonts w:ascii="Arial" w:hAnsi="Arial" w:eastAsia="Arial" w:cs="Arial"/>
      <w:sz w:val="18"/>
      <w:szCs w:val="18"/>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F20111-77FD-4F18-8E31-D737874646AB}">
  <ds:schemaRefs/>
</ds:datastoreItem>
</file>

<file path=customXml/itemProps2.xml><?xml version="1.0" encoding="utf-8"?>
<ds:datastoreItem xmlns:ds="http://schemas.openxmlformats.org/officeDocument/2006/customXml" ds:itemID="{A9898B61-61B7-44F1-9388-8B27875B1EDA}">
  <ds:schemaRefs/>
</ds:datastoreItem>
</file>

<file path=customXml/itemProps3.xml><?xml version="1.0" encoding="utf-8"?>
<ds:datastoreItem xmlns:ds="http://schemas.openxmlformats.org/officeDocument/2006/customXml" ds:itemID="{B7DA32DB-E5B8-4E32-AD11-08F2E668867B}">
  <ds:schemaRefs/>
</ds:datastoreItem>
</file>

<file path=customXml/itemProps4.xml><?xml version="1.0" encoding="utf-8"?>
<ds:datastoreItem xmlns:ds="http://schemas.openxmlformats.org/officeDocument/2006/customXml" ds:itemID="{9FB0931C-FCE2-4CC4-80DE-15614B41F1F9}">
  <ds:schemaRefs/>
</ds:datastoreItem>
</file>

<file path=docProps/app.xml><?xml version="1.0" encoding="utf-8"?>
<Properties xmlns="http://schemas.openxmlformats.org/officeDocument/2006/extended-properties" xmlns:vt="http://schemas.openxmlformats.org/officeDocument/2006/docPropsVTypes">
  <Template>Normal</Template>
  <Company>University of Bern</Company>
  <Pages>1</Pages>
  <Words>3276</Words>
  <Characters>18677</Characters>
  <Lines>155</Lines>
  <Paragraphs>43</Paragraphs>
  <TotalTime>0</TotalTime>
  <ScaleCrop>false</ScaleCrop>
  <LinksUpToDate>false</LinksUpToDate>
  <CharactersWithSpaces>21910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Administrator</cp:lastModifiedBy>
  <cp:lastPrinted>2021-09-28T07:08:00Z</cp:lastPrinted>
  <dcterms:modified xsi:type="dcterms:W3CDTF">2024-06-19T01:43:21Z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2052-11.8.2.11718</vt:lpwstr>
  </property>
  <property fmtid="{D5CDD505-2E9C-101B-9397-08002B2CF9AE}" pid="27" name="ICV">
    <vt:lpwstr>531086CA48AF4059A6A76C3B4C8F8B67</vt:lpwstr>
  </property>
</Properties>
</file>