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10435" w14:textId="77777777" w:rsidR="006732F1" w:rsidRDefault="006732F1" w:rsidP="006732F1">
      <w:pPr>
        <w:spacing w:line="360" w:lineRule="auto"/>
        <w:jc w:val="both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Immunotherapy Response and Resistance in Patients with Advanced Uveal Melanoma </w:t>
      </w:r>
    </w:p>
    <w:p w14:paraId="31DB0DB7" w14:textId="77777777" w:rsidR="006732F1" w:rsidRDefault="006732F1" w:rsidP="006732F1">
      <w:pPr>
        <w:spacing w:line="360" w:lineRule="auto"/>
        <w:jc w:val="both"/>
        <w:rPr>
          <w:rFonts w:ascii="Arial" w:eastAsia="Arial" w:hAnsi="Arial" w:cs="Arial"/>
          <w:b/>
          <w:sz w:val="28"/>
          <w:szCs w:val="28"/>
        </w:rPr>
      </w:pPr>
    </w:p>
    <w:p w14:paraId="3BAA029E" w14:textId="77777777" w:rsidR="006732F1" w:rsidRDefault="006732F1" w:rsidP="006732F1">
      <w:pPr>
        <w:spacing w:line="360" w:lineRule="auto"/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Alexander Maurer</w:t>
      </w:r>
      <w:r>
        <w:rPr>
          <w:rFonts w:ascii="Arial" w:eastAsia="Arial" w:hAnsi="Arial" w:cs="Arial"/>
          <w:szCs w:val="22"/>
          <w:vertAlign w:val="superscript"/>
        </w:rPr>
        <w:t>1*</w:t>
      </w:r>
      <w:r>
        <w:rPr>
          <w:rFonts w:ascii="Arial" w:eastAsia="Arial" w:hAnsi="Arial" w:cs="Arial"/>
          <w:szCs w:val="22"/>
        </w:rPr>
        <w:t xml:space="preserve">, </w:t>
      </w:r>
      <w:r>
        <w:rPr>
          <w:rFonts w:ascii="Arial" w:eastAsia="Arial" w:hAnsi="Arial" w:cs="Arial"/>
        </w:rPr>
        <w:t>Giulio Clerici</w:t>
      </w:r>
      <w:r>
        <w:rPr>
          <w:rFonts w:ascii="Arial" w:eastAsia="Arial" w:hAnsi="Arial" w:cs="Arial"/>
          <w:vertAlign w:val="superscript"/>
        </w:rPr>
        <w:t>2*</w:t>
      </w:r>
      <w:r>
        <w:rPr>
          <w:rFonts w:ascii="Arial" w:eastAsia="Arial" w:hAnsi="Arial" w:cs="Arial"/>
        </w:rPr>
        <w:t xml:space="preserve">, </w:t>
      </w:r>
      <w:r>
        <w:rPr>
          <w:rFonts w:ascii="Arial" w:hAnsi="Arial" w:cs="Arial"/>
        </w:rPr>
        <w:t>Jan A. Schaab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, </w:t>
      </w:r>
      <w:r>
        <w:rPr>
          <w:rFonts w:ascii="Arial" w:eastAsia="Arial" w:hAnsi="Arial" w:cs="Arial"/>
        </w:rPr>
        <w:t>Phil</w:t>
      </w:r>
      <w:r>
        <w:rPr>
          <w:rFonts w:ascii="Arial" w:eastAsia="Arial" w:hAnsi="Arial" w:cs="Arial"/>
          <w:szCs w:val="22"/>
        </w:rPr>
        <w:t xml:space="preserve"> F. Cheng</w:t>
      </w:r>
      <w:r>
        <w:rPr>
          <w:rFonts w:ascii="Arial" w:eastAsia="Arial" w:hAnsi="Arial" w:cs="Arial"/>
          <w:szCs w:val="22"/>
          <w:vertAlign w:val="superscript"/>
        </w:rPr>
        <w:t>3</w:t>
      </w:r>
      <w:r>
        <w:rPr>
          <w:rFonts w:ascii="Arial" w:eastAsia="Arial" w:hAnsi="Arial" w:cs="Arial"/>
          <w:szCs w:val="22"/>
        </w:rPr>
        <w:t>, Daniela Mihic-Probst</w:t>
      </w:r>
      <w:r>
        <w:rPr>
          <w:rFonts w:ascii="Arial" w:eastAsia="Arial" w:hAnsi="Arial" w:cs="Arial"/>
          <w:szCs w:val="22"/>
          <w:vertAlign w:val="superscript"/>
        </w:rPr>
        <w:t>4</w:t>
      </w:r>
      <w:r>
        <w:rPr>
          <w:rFonts w:ascii="Arial" w:eastAsia="Arial" w:hAnsi="Arial" w:cs="Arial"/>
          <w:szCs w:val="22"/>
        </w:rPr>
        <w:t xml:space="preserve">, </w:t>
      </w:r>
      <w:proofErr w:type="spellStart"/>
      <w:r>
        <w:rPr>
          <w:rFonts w:ascii="Arial" w:eastAsia="Arial" w:hAnsi="Arial" w:cs="Arial"/>
          <w:szCs w:val="22"/>
        </w:rPr>
        <w:t>Cäcilia</w:t>
      </w:r>
      <w:proofErr w:type="spellEnd"/>
      <w:r>
        <w:rPr>
          <w:rFonts w:ascii="Arial" w:eastAsia="Arial" w:hAnsi="Arial" w:cs="Arial"/>
          <w:szCs w:val="22"/>
        </w:rPr>
        <w:t xml:space="preserve"> Mader</w:t>
      </w:r>
      <w:r>
        <w:rPr>
          <w:rFonts w:ascii="Arial" w:eastAsia="Arial" w:hAnsi="Arial" w:cs="Arial"/>
          <w:szCs w:val="22"/>
          <w:vertAlign w:val="superscript"/>
        </w:rPr>
        <w:t>1</w:t>
      </w:r>
      <w:r>
        <w:rPr>
          <w:rFonts w:ascii="Arial" w:eastAsia="Arial" w:hAnsi="Arial" w:cs="Arial"/>
          <w:szCs w:val="22"/>
        </w:rPr>
        <w:t>, Michael Messerli</w:t>
      </w:r>
      <w:r>
        <w:rPr>
          <w:rFonts w:ascii="Arial" w:eastAsia="Arial" w:hAnsi="Arial" w:cs="Arial"/>
          <w:szCs w:val="22"/>
          <w:vertAlign w:val="superscript"/>
        </w:rPr>
        <w:t>1</w:t>
      </w:r>
      <w:r>
        <w:rPr>
          <w:rFonts w:ascii="Arial" w:eastAsia="Arial" w:hAnsi="Arial" w:cs="Arial"/>
          <w:szCs w:val="22"/>
        </w:rPr>
        <w:t>, Martin W Huellner</w:t>
      </w:r>
      <w:r>
        <w:rPr>
          <w:rFonts w:ascii="Arial" w:eastAsia="Arial" w:hAnsi="Arial" w:cs="Arial"/>
          <w:szCs w:val="22"/>
          <w:vertAlign w:val="superscript"/>
        </w:rPr>
        <w:t>1</w:t>
      </w:r>
      <w:r>
        <w:rPr>
          <w:rFonts w:ascii="Arial" w:eastAsia="Arial" w:hAnsi="Arial" w:cs="Arial"/>
          <w:szCs w:val="22"/>
        </w:rPr>
        <w:t>, Reinhard Dummer</w:t>
      </w:r>
      <w:r>
        <w:rPr>
          <w:rFonts w:ascii="Arial" w:eastAsia="Arial" w:hAnsi="Arial" w:cs="Arial"/>
          <w:szCs w:val="22"/>
          <w:vertAlign w:val="superscript"/>
        </w:rPr>
        <w:t>2</w:t>
      </w:r>
      <w:r>
        <w:rPr>
          <w:rFonts w:ascii="Arial" w:eastAsia="Arial" w:hAnsi="Arial" w:cs="Arial"/>
          <w:szCs w:val="22"/>
        </w:rPr>
        <w:t xml:space="preserve">, </w:t>
      </w:r>
      <w:proofErr w:type="spellStart"/>
      <w:r>
        <w:rPr>
          <w:rFonts w:ascii="Arial" w:eastAsia="Arial" w:hAnsi="Arial" w:cs="Arial"/>
          <w:szCs w:val="22"/>
        </w:rPr>
        <w:t>Florentia</w:t>
      </w:r>
      <w:proofErr w:type="spellEnd"/>
      <w:r>
        <w:rPr>
          <w:rFonts w:ascii="Arial" w:eastAsia="Arial" w:hAnsi="Arial" w:cs="Arial"/>
          <w:szCs w:val="22"/>
        </w:rPr>
        <w:t xml:space="preserve"> Dimitriou</w:t>
      </w:r>
      <w:r>
        <w:rPr>
          <w:rFonts w:ascii="Arial" w:eastAsia="Arial" w:hAnsi="Arial" w:cs="Arial"/>
          <w:szCs w:val="22"/>
          <w:vertAlign w:val="superscript"/>
        </w:rPr>
        <w:t>2</w:t>
      </w:r>
    </w:p>
    <w:p w14:paraId="043338C6" w14:textId="77777777" w:rsidR="006732F1" w:rsidRDefault="006732F1" w:rsidP="006732F1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3C15C172" w14:textId="77777777" w:rsidR="006732F1" w:rsidRDefault="006732F1" w:rsidP="006732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Department of Nuclear Medicine, University Hospital of Zurich, University of Zurich, Zurich, Switzerland</w:t>
      </w:r>
    </w:p>
    <w:p w14:paraId="29AB1120" w14:textId="77777777" w:rsidR="006732F1" w:rsidRDefault="006732F1" w:rsidP="006732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Department of Dermatology, University Hospital of Zurich, University of Zurich, Zurich, Switzerland</w:t>
      </w:r>
    </w:p>
    <w:p w14:paraId="22BCC2E2" w14:textId="77777777" w:rsidR="006732F1" w:rsidRDefault="006732F1" w:rsidP="006732F1">
      <w:pPr>
        <w:pStyle w:val="ListParagraph"/>
        <w:numPr>
          <w:ilvl w:val="0"/>
          <w:numId w:val="1"/>
        </w:numP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Department of Oncology, Geneva University Hospital, Geneva, Switzerland</w:t>
      </w:r>
    </w:p>
    <w:p w14:paraId="3E8D0BCD" w14:textId="77777777" w:rsidR="006732F1" w:rsidRDefault="006732F1" w:rsidP="006732F1">
      <w:pPr>
        <w:pStyle w:val="ListParagraph"/>
        <w:numPr>
          <w:ilvl w:val="0"/>
          <w:numId w:val="1"/>
        </w:numP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Institute for Pathology and Molecular Pathology, University Hospital Zurich, University of Zurich, Zurich, Switzerland</w:t>
      </w:r>
    </w:p>
    <w:p w14:paraId="440A9E0D" w14:textId="77777777" w:rsidR="006732F1" w:rsidRDefault="006732F1" w:rsidP="006732F1">
      <w:pP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665E25BF" w14:textId="77777777" w:rsidR="006732F1" w:rsidRDefault="006732F1" w:rsidP="006732F1">
      <w:pP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* Equal contribution as joint first authors</w:t>
      </w:r>
    </w:p>
    <w:p w14:paraId="1A98F851" w14:textId="77777777" w:rsidR="006732F1" w:rsidRDefault="006732F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br w:type="page"/>
      </w:r>
    </w:p>
    <w:p w14:paraId="0C4F55E2" w14:textId="616FD706" w:rsidR="006732F1" w:rsidRDefault="006732F1" w:rsidP="006732F1">
      <w:pPr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noProof/>
          <w:sz w:val="22"/>
          <w:szCs w:val="22"/>
          <w:lang w:eastAsia="en-US"/>
        </w:rPr>
        <w:lastRenderedPageBreak/>
        <w:drawing>
          <wp:inline distT="0" distB="0" distL="0" distR="0" wp14:anchorId="1E872D7A" wp14:editId="42E86E1F">
            <wp:extent cx="4644850" cy="6564923"/>
            <wp:effectExtent l="0" t="0" r="3810" b="1270"/>
            <wp:docPr id="2" name="Grafik 2" descr="A graph of survival and survival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A graph of survival and survival&#10;&#10;Description automatically generated with medium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0628" cy="6601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9E7B1E" w14:textId="77777777" w:rsidR="006732F1" w:rsidRDefault="006732F1" w:rsidP="006732F1">
      <w:pPr>
        <w:rPr>
          <w:rFonts w:ascii="Arial" w:eastAsia="Arial" w:hAnsi="Arial" w:cs="Arial"/>
          <w:sz w:val="22"/>
          <w:szCs w:val="22"/>
        </w:rPr>
      </w:pPr>
    </w:p>
    <w:p w14:paraId="0CE61AB3" w14:textId="77777777" w:rsidR="006732F1" w:rsidRDefault="006732F1" w:rsidP="006732F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Supplementary Figure 1. </w:t>
      </w:r>
      <w:r>
        <w:rPr>
          <w:rFonts w:ascii="Arial" w:eastAsia="Arial" w:hAnsi="Arial" w:cs="Arial"/>
          <w:bCs/>
          <w:sz w:val="22"/>
          <w:szCs w:val="22"/>
        </w:rPr>
        <w:t xml:space="preserve">Kaplan-Meier curve for progression free survival (PFS) (A) and overall survival (OS) (B) of patients treated with the immune checkpoint inhibitors (ICI) ipilimumab/nivolumab. </w:t>
      </w:r>
    </w:p>
    <w:p w14:paraId="729AEE9C" w14:textId="77777777" w:rsidR="006732F1" w:rsidRDefault="006732F1" w:rsidP="006732F1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3CC0CF9B" w14:textId="77777777" w:rsidR="006732F1" w:rsidRDefault="006732F1" w:rsidP="006732F1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br w:type="column"/>
      </w:r>
    </w:p>
    <w:p w14:paraId="4BE94D97" w14:textId="77777777" w:rsidR="006732F1" w:rsidRDefault="006732F1" w:rsidP="006732F1">
      <w:pPr>
        <w:rPr>
          <w:rFonts w:ascii="Arial" w:eastAsia="Arial" w:hAnsi="Arial" w:cs="Arial"/>
          <w:b/>
          <w:sz w:val="22"/>
          <w:szCs w:val="22"/>
        </w:rPr>
      </w:pPr>
    </w:p>
    <w:p w14:paraId="5052835B" w14:textId="77777777" w:rsidR="006732F1" w:rsidRDefault="006732F1" w:rsidP="006732F1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noProof/>
          <w:sz w:val="22"/>
          <w:szCs w:val="22"/>
          <w:lang w:eastAsia="en-US"/>
        </w:rPr>
        <w:drawing>
          <wp:inline distT="0" distB="0" distL="0" distR="0" wp14:anchorId="69D57C11" wp14:editId="3E058C17">
            <wp:extent cx="5420397" cy="3729122"/>
            <wp:effectExtent l="0" t="0" r="0" b="5080"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Grafik 18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384"/>
                    <a:stretch/>
                  </pic:blipFill>
                  <pic:spPr bwMode="auto">
                    <a:xfrm>
                      <a:off x="0" y="0"/>
                      <a:ext cx="5463954" cy="37590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860A4F" w14:textId="77777777" w:rsidR="006732F1" w:rsidRDefault="006732F1" w:rsidP="006732F1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194640C8" w14:textId="77777777" w:rsidR="006732F1" w:rsidRDefault="006732F1" w:rsidP="006732F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Supplementary Figure 2.</w:t>
      </w:r>
      <w:r>
        <w:rPr>
          <w:rFonts w:ascii="Arial" w:eastAsia="Arial" w:hAnsi="Arial" w:cs="Arial"/>
          <w:sz w:val="22"/>
          <w:szCs w:val="22"/>
        </w:rPr>
        <w:t xml:space="preserve"> Kaplan-Meier curve for </w:t>
      </w:r>
      <w:r>
        <w:rPr>
          <w:rFonts w:ascii="Arial" w:eastAsia="Arial" w:hAnsi="Arial" w:cs="Arial"/>
          <w:bCs/>
          <w:sz w:val="22"/>
          <w:szCs w:val="22"/>
        </w:rPr>
        <w:t xml:space="preserve">progression-free survival (PFS) </w:t>
      </w:r>
      <w:r>
        <w:rPr>
          <w:rFonts w:ascii="Arial" w:eastAsia="Arial" w:hAnsi="Arial" w:cs="Arial"/>
          <w:sz w:val="22"/>
          <w:szCs w:val="22"/>
        </w:rPr>
        <w:t xml:space="preserve">by </w:t>
      </w:r>
      <w:r>
        <w:rPr>
          <w:rFonts w:ascii="Arial" w:eastAsia="Arial" w:hAnsi="Arial" w:cs="Arial"/>
          <w:sz w:val="22"/>
        </w:rPr>
        <w:t>lactate dehydrogenase (LDH) level at treatment start</w:t>
      </w:r>
      <w:r>
        <w:rPr>
          <w:rFonts w:ascii="Arial" w:eastAsia="Arial" w:hAnsi="Arial" w:cs="Arial"/>
          <w:sz w:val="22"/>
          <w:szCs w:val="22"/>
        </w:rPr>
        <w:t xml:space="preserve"> with ipilimumab/nivolumab.</w:t>
      </w:r>
    </w:p>
    <w:p w14:paraId="37300875" w14:textId="77777777" w:rsidR="006732F1" w:rsidRDefault="006732F1" w:rsidP="006732F1">
      <w:pPr>
        <w:rPr>
          <w:rFonts w:ascii="Arial" w:eastAsia="Arial" w:hAnsi="Arial" w:cs="Arial"/>
          <w:b/>
          <w:sz w:val="22"/>
          <w:szCs w:val="22"/>
        </w:rPr>
      </w:pPr>
    </w:p>
    <w:p w14:paraId="48C13523" w14:textId="77777777" w:rsidR="006732F1" w:rsidRDefault="006732F1" w:rsidP="006732F1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br w:type="column"/>
      </w:r>
      <w:r>
        <w:rPr>
          <w:rFonts w:ascii="Arial" w:eastAsia="Arial" w:hAnsi="Arial" w:cs="Arial"/>
          <w:b/>
          <w:noProof/>
          <w:sz w:val="22"/>
          <w:szCs w:val="22"/>
          <w:lang w:eastAsia="en-US"/>
        </w:rPr>
        <w:lastRenderedPageBreak/>
        <w:drawing>
          <wp:inline distT="0" distB="0" distL="0" distR="0" wp14:anchorId="75DC281E" wp14:editId="19FBF7F8">
            <wp:extent cx="5211894" cy="3259015"/>
            <wp:effectExtent l="0" t="0" r="0" b="5080"/>
            <wp:docPr id="15" name="Grafik 15" descr="A graph of a long li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rafik 15" descr="A graph of a long line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5049" cy="3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0683E" w14:textId="77777777" w:rsidR="006732F1" w:rsidRDefault="006732F1" w:rsidP="006732F1">
      <w:pPr>
        <w:rPr>
          <w:rFonts w:ascii="Arial" w:eastAsia="Arial" w:hAnsi="Arial" w:cs="Arial"/>
          <w:b/>
          <w:sz w:val="22"/>
          <w:szCs w:val="22"/>
        </w:rPr>
      </w:pPr>
    </w:p>
    <w:p w14:paraId="714BD4E8" w14:textId="77777777" w:rsidR="006732F1" w:rsidRDefault="006732F1" w:rsidP="006732F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Supplementary Figure 3.</w:t>
      </w:r>
      <w:r>
        <w:rPr>
          <w:rFonts w:ascii="Arial" w:eastAsia="Arial" w:hAnsi="Arial" w:cs="Arial"/>
          <w:sz w:val="22"/>
          <w:szCs w:val="22"/>
        </w:rPr>
        <w:t xml:space="preserve"> Kaplan-Meier curve for overall survival (OS) by </w:t>
      </w:r>
      <w:r>
        <w:rPr>
          <w:rFonts w:ascii="Arial" w:eastAsia="Arial" w:hAnsi="Arial" w:cs="Arial"/>
          <w:sz w:val="22"/>
        </w:rPr>
        <w:t>lactate dehydrogenase (LDH) level at treatment start</w:t>
      </w:r>
      <w:r>
        <w:rPr>
          <w:rFonts w:ascii="Arial" w:eastAsia="Arial" w:hAnsi="Arial" w:cs="Arial"/>
          <w:sz w:val="22"/>
          <w:szCs w:val="22"/>
        </w:rPr>
        <w:t xml:space="preserve"> with ipilimumab/nivolumab.</w:t>
      </w:r>
    </w:p>
    <w:p w14:paraId="0533C5F1" w14:textId="77777777" w:rsidR="006732F1" w:rsidRDefault="006732F1" w:rsidP="006732F1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br w:type="column"/>
      </w:r>
      <w:r>
        <w:rPr>
          <w:rFonts w:ascii="Arial" w:eastAsia="Arial" w:hAnsi="Arial" w:cs="Arial"/>
          <w:b/>
          <w:noProof/>
          <w:sz w:val="22"/>
          <w:szCs w:val="22"/>
          <w:lang w:eastAsia="en-US"/>
        </w:rPr>
        <w:lastRenderedPageBreak/>
        <w:drawing>
          <wp:inline distT="0" distB="0" distL="0" distR="0" wp14:anchorId="72649C50" wp14:editId="18CDA43F">
            <wp:extent cx="4678028" cy="6611815"/>
            <wp:effectExtent l="0" t="0" r="0" b="5080"/>
            <wp:docPr id="5" name="Grafik 5" descr="A graph of survival and survival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A graph of survival and survival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5494" cy="6664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3D5331" w14:textId="77777777" w:rsidR="006732F1" w:rsidRDefault="006732F1" w:rsidP="006732F1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01AD51D3" w14:textId="77777777" w:rsidR="006732F1" w:rsidRDefault="006732F1" w:rsidP="006732F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Supplementary Figure 4. </w:t>
      </w:r>
      <w:r>
        <w:rPr>
          <w:rFonts w:ascii="Arial" w:eastAsia="Arial" w:hAnsi="Arial" w:cs="Arial"/>
          <w:bCs/>
          <w:sz w:val="22"/>
          <w:szCs w:val="22"/>
        </w:rPr>
        <w:t xml:space="preserve">Kaplan-Meier curve for progression-free survival (PFS) (A) and overall survival (OS) (B) of patients treated with </w:t>
      </w:r>
      <w:proofErr w:type="spellStart"/>
      <w:r>
        <w:rPr>
          <w:rFonts w:ascii="Arial" w:eastAsia="Arial" w:hAnsi="Arial" w:cs="Arial"/>
          <w:bCs/>
          <w:sz w:val="22"/>
          <w:szCs w:val="22"/>
        </w:rPr>
        <w:t>tebentafusp</w:t>
      </w:r>
      <w:proofErr w:type="spellEnd"/>
      <w:r>
        <w:rPr>
          <w:rFonts w:ascii="Arial" w:eastAsia="Arial" w:hAnsi="Arial" w:cs="Arial"/>
          <w:bCs/>
          <w:sz w:val="22"/>
          <w:szCs w:val="22"/>
        </w:rPr>
        <w:t xml:space="preserve">. </w:t>
      </w:r>
    </w:p>
    <w:p w14:paraId="7128C904" w14:textId="77777777" w:rsidR="006732F1" w:rsidRDefault="006732F1" w:rsidP="006732F1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br w:type="column"/>
      </w:r>
    </w:p>
    <w:p w14:paraId="44B49597" w14:textId="77777777" w:rsidR="006732F1" w:rsidRDefault="006732F1" w:rsidP="006732F1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noProof/>
          <w:sz w:val="22"/>
          <w:szCs w:val="22"/>
          <w:lang w:eastAsia="en-US"/>
        </w:rPr>
        <w:drawing>
          <wp:inline distT="0" distB="0" distL="0" distR="0" wp14:anchorId="2422D00B" wp14:editId="6693F097">
            <wp:extent cx="5211895" cy="3259015"/>
            <wp:effectExtent l="0" t="0" r="0" b="5080"/>
            <wp:docPr id="16" name="Grafik 16" descr="A graph with a blue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A graph with a blue line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8511" cy="326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DBAB47" w14:textId="77777777" w:rsidR="006732F1" w:rsidRDefault="006732F1" w:rsidP="006732F1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2C46B270" w14:textId="77777777" w:rsidR="006732F1" w:rsidRDefault="006732F1" w:rsidP="006732F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Supplementary Figure 5. </w:t>
      </w:r>
      <w:r>
        <w:rPr>
          <w:rFonts w:ascii="Arial" w:eastAsia="Arial" w:hAnsi="Arial" w:cs="Arial"/>
          <w:sz w:val="22"/>
          <w:szCs w:val="22"/>
        </w:rPr>
        <w:t xml:space="preserve">Kaplan-Meier curve for progression-free survival (PFS) by </w:t>
      </w:r>
      <w:r>
        <w:rPr>
          <w:rFonts w:ascii="Arial" w:eastAsia="Arial" w:hAnsi="Arial" w:cs="Arial"/>
          <w:sz w:val="22"/>
        </w:rPr>
        <w:t>lactate dehydrogenase (LDH) level at treatment start</w:t>
      </w:r>
      <w:r>
        <w:rPr>
          <w:rFonts w:ascii="Arial" w:eastAsia="Arial" w:hAnsi="Arial" w:cs="Arial"/>
          <w:sz w:val="22"/>
          <w:szCs w:val="22"/>
        </w:rPr>
        <w:t xml:space="preserve"> with </w:t>
      </w:r>
      <w:proofErr w:type="spellStart"/>
      <w:r>
        <w:rPr>
          <w:rFonts w:ascii="Arial" w:eastAsia="Arial" w:hAnsi="Arial" w:cs="Arial"/>
          <w:sz w:val="22"/>
          <w:szCs w:val="22"/>
        </w:rPr>
        <w:t>tebentafusp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</w:p>
    <w:p w14:paraId="2F383EE4" w14:textId="77777777" w:rsidR="006732F1" w:rsidRDefault="006732F1" w:rsidP="006732F1">
      <w:pPr>
        <w:rPr>
          <w:rFonts w:ascii="Arial" w:eastAsia="Arial" w:hAnsi="Arial" w:cs="Arial"/>
          <w:b/>
          <w:sz w:val="22"/>
          <w:szCs w:val="22"/>
        </w:rPr>
      </w:pPr>
    </w:p>
    <w:p w14:paraId="1BD18041" w14:textId="77777777" w:rsidR="006732F1" w:rsidRDefault="006732F1" w:rsidP="006732F1">
      <w:pPr>
        <w:rPr>
          <w:rFonts w:ascii="Arial" w:eastAsia="Arial" w:hAnsi="Arial" w:cs="Arial"/>
          <w:b/>
          <w:sz w:val="22"/>
          <w:szCs w:val="22"/>
        </w:rPr>
      </w:pPr>
    </w:p>
    <w:p w14:paraId="4F3205C5" w14:textId="77777777" w:rsidR="006732F1" w:rsidRDefault="006732F1" w:rsidP="006732F1">
      <w:pPr>
        <w:rPr>
          <w:rFonts w:ascii="Arial" w:eastAsia="Arial" w:hAnsi="Arial" w:cs="Arial"/>
          <w:sz w:val="22"/>
          <w:szCs w:val="22"/>
        </w:rPr>
      </w:pPr>
    </w:p>
    <w:p w14:paraId="4D142D55" w14:textId="77777777" w:rsidR="006732F1" w:rsidRDefault="006732F1" w:rsidP="006732F1">
      <w:pPr>
        <w:rPr>
          <w:rFonts w:ascii="Arial" w:eastAsia="Arial" w:hAnsi="Arial" w:cs="Arial"/>
          <w:b/>
          <w:sz w:val="22"/>
          <w:szCs w:val="22"/>
        </w:rPr>
      </w:pPr>
    </w:p>
    <w:p w14:paraId="1A1BFCC2" w14:textId="77777777" w:rsidR="006732F1" w:rsidRDefault="006732F1" w:rsidP="006732F1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noProof/>
          <w:sz w:val="22"/>
          <w:szCs w:val="22"/>
          <w:lang w:eastAsia="en-US"/>
        </w:rPr>
        <w:drawing>
          <wp:inline distT="0" distB="0" distL="0" distR="0" wp14:anchorId="5481AC58" wp14:editId="0DBD7D7E">
            <wp:extent cx="5230643" cy="3270738"/>
            <wp:effectExtent l="0" t="0" r="1905" b="6350"/>
            <wp:docPr id="17" name="Grafik 17" descr="A graph of a number of tim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Grafik 17" descr="A graph of a number of times&#10;&#10;Description automatically generated with medium confidenc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9793" cy="3288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C6103" w14:textId="77777777" w:rsidR="006732F1" w:rsidRDefault="006732F1" w:rsidP="006732F1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5BE29551" w14:textId="77777777" w:rsidR="006732F1" w:rsidRDefault="006732F1" w:rsidP="006732F1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lastRenderedPageBreak/>
        <w:t xml:space="preserve">Supplementary Figure 6. </w:t>
      </w:r>
      <w:r>
        <w:rPr>
          <w:rFonts w:ascii="Arial" w:eastAsia="Arial" w:hAnsi="Arial" w:cs="Arial"/>
          <w:sz w:val="22"/>
          <w:szCs w:val="22"/>
        </w:rPr>
        <w:t xml:space="preserve">Kaplan-Meier curve for overall survival (OS) by </w:t>
      </w:r>
      <w:r>
        <w:rPr>
          <w:rFonts w:ascii="Arial" w:eastAsia="Arial" w:hAnsi="Arial" w:cs="Arial"/>
          <w:sz w:val="22"/>
        </w:rPr>
        <w:t>lactate dehydrogenase (LDH) level at treatment start</w:t>
      </w:r>
      <w:r>
        <w:rPr>
          <w:rFonts w:ascii="Arial" w:eastAsia="Arial" w:hAnsi="Arial" w:cs="Arial"/>
          <w:sz w:val="22"/>
          <w:szCs w:val="22"/>
        </w:rPr>
        <w:t xml:space="preserve"> with </w:t>
      </w:r>
      <w:proofErr w:type="spellStart"/>
      <w:r>
        <w:rPr>
          <w:rFonts w:ascii="Arial" w:eastAsia="Arial" w:hAnsi="Arial" w:cs="Arial"/>
          <w:sz w:val="22"/>
          <w:szCs w:val="22"/>
        </w:rPr>
        <w:t>tebentafusp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</w:p>
    <w:p w14:paraId="19D5E32F" w14:textId="77777777" w:rsidR="00860ABF" w:rsidRDefault="00860ABF"/>
    <w:sectPr w:rsidR="00860A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55BA0"/>
    <w:multiLevelType w:val="multilevel"/>
    <w:tmpl w:val="A3C64A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1858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2F1"/>
    <w:rsid w:val="005E5D73"/>
    <w:rsid w:val="006732F1"/>
    <w:rsid w:val="00860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F35DB9"/>
  <w15:chartTrackingRefBased/>
  <w15:docId w15:val="{F98DD7D1-8D32-AE45-B6B4-D4BCA689F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32F1"/>
    <w:rPr>
      <w:rFonts w:ascii="Calibri" w:eastAsia="Calibri" w:hAnsi="Calibri" w:cs="Calibri"/>
      <w:kern w:val="0"/>
      <w:lang w:eastAsia="nl-NL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732F1"/>
    <w:pPr>
      <w:ind w:left="720"/>
      <w:contextualSpacing/>
    </w:pPr>
    <w:rPr>
      <w:rFonts w:ascii="Times New Roman" w:eastAsia="Times New Roman" w:hAnsi="Times New Roman" w:cs="Times New Roman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732F1"/>
    <w:rPr>
      <w:rFonts w:ascii="Times New Roman" w:eastAsia="Times New Roman" w:hAnsi="Times New Roman" w:cs="Times New Roman"/>
      <w:kern w:val="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254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Dimitriou,Florentia</dc:creator>
  <cp:keywords/>
  <dc:description/>
  <cp:lastModifiedBy>Dimitriou,Florentia</cp:lastModifiedBy>
  <cp:revision>1</cp:revision>
  <dcterms:created xsi:type="dcterms:W3CDTF">2024-01-12T15:47:00Z</dcterms:created>
  <dcterms:modified xsi:type="dcterms:W3CDTF">2024-01-12T15:52:00Z</dcterms:modified>
</cp:coreProperties>
</file>