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49AA5" w14:textId="12C3E992" w:rsidR="00A36CB9" w:rsidRDefault="00CE6600" w:rsidP="00A36CB9">
      <w:pPr>
        <w:spacing w:line="48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0E44E46" wp14:editId="33EEEDEC">
            <wp:extent cx="5274310" cy="2955290"/>
            <wp:effectExtent l="0" t="0" r="2540" b="0"/>
            <wp:docPr id="11603491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349151" name="图片 116034915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DA311" w14:textId="68817A10" w:rsidR="00A05026" w:rsidRPr="00A36CB9" w:rsidRDefault="00A05026" w:rsidP="00A36CB9">
      <w:pPr>
        <w:spacing w:line="480" w:lineRule="auto"/>
        <w:rPr>
          <w:b/>
          <w:bCs/>
          <w:sz w:val="18"/>
          <w:szCs w:val="18"/>
        </w:rPr>
      </w:pPr>
      <w:r w:rsidRPr="00A36CB9">
        <w:rPr>
          <w:b/>
          <w:bCs/>
          <w:sz w:val="18"/>
          <w:szCs w:val="18"/>
        </w:rPr>
        <w:t>Figure S1: circRACK1 modulation and its effects on native RACK1 expression in GC cells.</w:t>
      </w:r>
    </w:p>
    <w:p w14:paraId="1AE57C46" w14:textId="77777777" w:rsidR="00A05026" w:rsidRPr="00A36CB9" w:rsidRDefault="00A05026" w:rsidP="00A36CB9">
      <w:pPr>
        <w:spacing w:line="480" w:lineRule="auto"/>
        <w:rPr>
          <w:sz w:val="18"/>
          <w:szCs w:val="18"/>
        </w:rPr>
      </w:pPr>
      <w:r w:rsidRPr="00A36CB9">
        <w:rPr>
          <w:sz w:val="18"/>
          <w:szCs w:val="18"/>
        </w:rPr>
        <w:t>A-F. siRNA-mediated knockdown and plasmid-driven overexpression of circRACK1 in HGC27 and AGS cells showing targeted effects on circRACK1 levels without significantly altering RACK1 mRNA and protein levels.</w:t>
      </w:r>
    </w:p>
    <w:p w14:paraId="70DD4CA3" w14:textId="31266CE5" w:rsidR="00A05026" w:rsidRDefault="00CE6600" w:rsidP="00A36CB9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7AB3FB40" wp14:editId="402A5AEC">
            <wp:extent cx="5274310" cy="7458075"/>
            <wp:effectExtent l="0" t="0" r="2540" b="9525"/>
            <wp:docPr id="2174749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474952" name="图片 21747495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206CB" w14:textId="77777777" w:rsidR="00A05026" w:rsidRPr="00A36CB9" w:rsidRDefault="00A05026" w:rsidP="00A36CB9">
      <w:pPr>
        <w:spacing w:line="480" w:lineRule="auto"/>
        <w:rPr>
          <w:b/>
          <w:bCs/>
          <w:sz w:val="18"/>
          <w:szCs w:val="18"/>
        </w:rPr>
      </w:pPr>
      <w:r w:rsidRPr="00A36CB9">
        <w:rPr>
          <w:b/>
          <w:bCs/>
          <w:sz w:val="18"/>
          <w:szCs w:val="18"/>
        </w:rPr>
        <w:t>Figure S2: Supplementary experiments for circRACK1 function assessment in GC cells.</w:t>
      </w:r>
    </w:p>
    <w:p w14:paraId="385B8412" w14:textId="77777777" w:rsidR="00A05026" w:rsidRPr="00A36CB9" w:rsidRDefault="00A05026" w:rsidP="00A36CB9">
      <w:pPr>
        <w:spacing w:line="480" w:lineRule="auto"/>
        <w:rPr>
          <w:sz w:val="18"/>
          <w:szCs w:val="18"/>
        </w:rPr>
      </w:pPr>
      <w:r w:rsidRPr="00A36CB9">
        <w:rPr>
          <w:sz w:val="18"/>
          <w:szCs w:val="18"/>
        </w:rPr>
        <w:t>A-B. Additional EdU incorporation analysis supporting the inverse relationship between circRACK1 expression and GC cell proliferation.</w:t>
      </w:r>
    </w:p>
    <w:p w14:paraId="29E676CA" w14:textId="77777777" w:rsidR="00A05026" w:rsidRPr="00A36CB9" w:rsidRDefault="00A05026" w:rsidP="00A36CB9">
      <w:pPr>
        <w:spacing w:line="480" w:lineRule="auto"/>
        <w:rPr>
          <w:sz w:val="18"/>
          <w:szCs w:val="18"/>
        </w:rPr>
      </w:pPr>
      <w:r w:rsidRPr="00A36CB9">
        <w:rPr>
          <w:sz w:val="18"/>
          <w:szCs w:val="18"/>
        </w:rPr>
        <w:lastRenderedPageBreak/>
        <w:t>C-D. Extended apoptosis detection via flow cytometry further confirming the pro-apoptotic effect of circRACK1 overexpression and anti-apoptotic effect of its knockdown.</w:t>
      </w:r>
    </w:p>
    <w:p w14:paraId="0967EB78" w14:textId="74481C77" w:rsidR="00A05026" w:rsidRDefault="00A05026" w:rsidP="00A36CB9">
      <w:pPr>
        <w:spacing w:line="480" w:lineRule="auto"/>
        <w:rPr>
          <w:sz w:val="18"/>
          <w:szCs w:val="18"/>
        </w:rPr>
      </w:pPr>
      <w:r w:rsidRPr="00A36CB9">
        <w:rPr>
          <w:sz w:val="18"/>
          <w:szCs w:val="18"/>
        </w:rPr>
        <w:t xml:space="preserve">E-F. </w:t>
      </w:r>
      <w:r w:rsidR="00CE6600" w:rsidRPr="00CE6600">
        <w:rPr>
          <w:sz w:val="18"/>
          <w:szCs w:val="18"/>
        </w:rPr>
        <w:t>Flow cytometry analysis (ANEXIN V-PI staining) showing increased apoptosis in cells with circRACK1 overexpression and decreased apoptosis upon circRACK1 knockdown</w:t>
      </w:r>
      <w:r w:rsidR="00CE6600">
        <w:rPr>
          <w:rFonts w:hint="eastAsia"/>
          <w:sz w:val="18"/>
          <w:szCs w:val="18"/>
        </w:rPr>
        <w:t>.</w:t>
      </w:r>
    </w:p>
    <w:p w14:paraId="6055AECA" w14:textId="0AA2A7F4" w:rsidR="00CE6600" w:rsidRPr="00A36CB9" w:rsidRDefault="00CE6600" w:rsidP="00A36CB9">
      <w:pPr>
        <w:spacing w:line="480" w:lineRule="auto"/>
        <w:rPr>
          <w:sz w:val="18"/>
          <w:szCs w:val="18"/>
        </w:rPr>
      </w:pPr>
      <w:r>
        <w:rPr>
          <w:rFonts w:hint="eastAsia"/>
          <w:noProof/>
          <w:sz w:val="18"/>
          <w:szCs w:val="18"/>
        </w:rPr>
        <w:drawing>
          <wp:inline distT="0" distB="0" distL="0" distR="0" wp14:anchorId="1D11F809" wp14:editId="307CD5FF">
            <wp:extent cx="5274310" cy="6719570"/>
            <wp:effectExtent l="0" t="0" r="2540" b="5080"/>
            <wp:docPr id="11410106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010635" name="图片 114101063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1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10407" w14:textId="78A2BDC8" w:rsidR="00A05026" w:rsidRDefault="00A05026" w:rsidP="00A36CB9">
      <w:pPr>
        <w:spacing w:line="480" w:lineRule="auto"/>
      </w:pPr>
    </w:p>
    <w:p w14:paraId="71C46B8A" w14:textId="71A15752" w:rsidR="00A05026" w:rsidRPr="00A36CB9" w:rsidRDefault="00A05026" w:rsidP="00A36CB9">
      <w:pPr>
        <w:spacing w:line="480" w:lineRule="auto"/>
        <w:rPr>
          <w:b/>
          <w:bCs/>
          <w:sz w:val="18"/>
          <w:szCs w:val="18"/>
        </w:rPr>
      </w:pPr>
      <w:r w:rsidRPr="00A36CB9">
        <w:rPr>
          <w:b/>
          <w:bCs/>
          <w:sz w:val="18"/>
          <w:szCs w:val="18"/>
        </w:rPr>
        <w:lastRenderedPageBreak/>
        <w:t>Figure S3: Functional effects of circRACK1 on GC cell phenotypes.</w:t>
      </w:r>
    </w:p>
    <w:p w14:paraId="175E75A9" w14:textId="77777777" w:rsidR="00A05026" w:rsidRPr="00A36CB9" w:rsidRDefault="00A05026" w:rsidP="00A36CB9">
      <w:pPr>
        <w:spacing w:line="480" w:lineRule="auto"/>
        <w:rPr>
          <w:sz w:val="18"/>
          <w:szCs w:val="18"/>
        </w:rPr>
      </w:pPr>
      <w:r w:rsidRPr="00A36CB9">
        <w:rPr>
          <w:sz w:val="18"/>
          <w:szCs w:val="18"/>
        </w:rPr>
        <w:t>A. Colony formation assays demonstrating the suppressive effect of circRACK1 overexpression on colony number and size, and the opposite effect following circRACK1 silencing.</w:t>
      </w:r>
    </w:p>
    <w:p w14:paraId="1DD496DC" w14:textId="77777777" w:rsidR="00A05026" w:rsidRPr="00A36CB9" w:rsidRDefault="00A05026" w:rsidP="00A36CB9">
      <w:pPr>
        <w:spacing w:line="480" w:lineRule="auto"/>
        <w:rPr>
          <w:sz w:val="18"/>
          <w:szCs w:val="18"/>
        </w:rPr>
      </w:pPr>
      <w:r w:rsidRPr="00A36CB9">
        <w:rPr>
          <w:sz w:val="18"/>
          <w:szCs w:val="18"/>
        </w:rPr>
        <w:t>B-C. Scratch assays showing delayed wound closure in cells with high levels of circRACK1 and expedited closure with circRACK1 knockdown.</w:t>
      </w:r>
    </w:p>
    <w:p w14:paraId="7FAC2DD1" w14:textId="429AB77A" w:rsidR="00A05026" w:rsidRDefault="00607B09" w:rsidP="00A36CB9">
      <w:pPr>
        <w:spacing w:line="480" w:lineRule="auto"/>
      </w:pPr>
      <w:r>
        <w:rPr>
          <w:noProof/>
        </w:rPr>
        <w:drawing>
          <wp:inline distT="0" distB="0" distL="0" distR="0" wp14:anchorId="447D930B" wp14:editId="2C5FA4ED">
            <wp:extent cx="5274310" cy="2803525"/>
            <wp:effectExtent l="0" t="0" r="2540" b="0"/>
            <wp:docPr id="3302030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20307" name="图片 3302030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6981A" w14:textId="77777777" w:rsidR="00A05026" w:rsidRPr="00A36CB9" w:rsidRDefault="00A05026" w:rsidP="00A36CB9">
      <w:pPr>
        <w:spacing w:line="480" w:lineRule="auto"/>
        <w:rPr>
          <w:b/>
          <w:bCs/>
          <w:sz w:val="18"/>
          <w:szCs w:val="18"/>
        </w:rPr>
      </w:pPr>
      <w:r w:rsidRPr="00A36CB9">
        <w:rPr>
          <w:b/>
          <w:bCs/>
          <w:sz w:val="18"/>
          <w:szCs w:val="18"/>
        </w:rPr>
        <w:t>Figure S4: Functional effects of circRACK1 and its translation product on GC cell phenotypes.</w:t>
      </w:r>
    </w:p>
    <w:p w14:paraId="79E5C395" w14:textId="20112976" w:rsidR="00A05026" w:rsidRPr="00A36CB9" w:rsidRDefault="00A05026" w:rsidP="00A36CB9">
      <w:pPr>
        <w:spacing w:line="480" w:lineRule="auto"/>
        <w:rPr>
          <w:sz w:val="18"/>
          <w:szCs w:val="18"/>
        </w:rPr>
      </w:pPr>
      <w:r w:rsidRPr="00A36CB9">
        <w:rPr>
          <w:sz w:val="18"/>
          <w:szCs w:val="18"/>
        </w:rPr>
        <w:t>A-</w:t>
      </w:r>
      <w:r w:rsidR="00607B09">
        <w:rPr>
          <w:rFonts w:hint="eastAsia"/>
          <w:sz w:val="18"/>
          <w:szCs w:val="18"/>
        </w:rPr>
        <w:t>D</w:t>
      </w:r>
      <w:r w:rsidRPr="00A36CB9">
        <w:rPr>
          <w:sz w:val="18"/>
          <w:szCs w:val="18"/>
        </w:rPr>
        <w:t>. Comparative phenotypic assays of gastric cancer cells transfected with circRACK1 overexpression plasmids, circRACK1-mut, and control vectors. Assays include proliferation, migration, and wound healing capabilities, illustrating that the mutated form does not significantly affect these cellular behaviors, whereas the overexpression of wild-type circRACK1 inhibits these cancer cell properties.</w:t>
      </w:r>
    </w:p>
    <w:p w14:paraId="7E8D166C" w14:textId="4988CF58" w:rsidR="00A05026" w:rsidRDefault="00CE6600" w:rsidP="00A0502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087323F" wp14:editId="1A527639">
            <wp:extent cx="5274310" cy="4457065"/>
            <wp:effectExtent l="0" t="0" r="2540" b="635"/>
            <wp:docPr id="194103490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034909" name="图片 194103490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306E8" w14:textId="77777777" w:rsidR="00CE6600" w:rsidRPr="001D6933" w:rsidRDefault="00CE6600" w:rsidP="00A05026"/>
    <w:p w14:paraId="05A231A3" w14:textId="77777777" w:rsidR="00A05026" w:rsidRPr="00A36CB9" w:rsidRDefault="00A05026" w:rsidP="00A05026">
      <w:pPr>
        <w:rPr>
          <w:b/>
          <w:bCs/>
          <w:sz w:val="18"/>
          <w:szCs w:val="18"/>
        </w:rPr>
      </w:pPr>
      <w:r w:rsidRPr="00A36CB9">
        <w:rPr>
          <w:b/>
          <w:bCs/>
          <w:sz w:val="18"/>
          <w:szCs w:val="18"/>
        </w:rPr>
        <w:t>Fig. S5. Identification and validation of circR-127aa interacting proteins.</w:t>
      </w:r>
    </w:p>
    <w:p w14:paraId="3A56EC31" w14:textId="09F8A645" w:rsidR="00A05026" w:rsidRPr="00A36CB9" w:rsidRDefault="00A05026" w:rsidP="00A05026">
      <w:pPr>
        <w:rPr>
          <w:sz w:val="18"/>
          <w:szCs w:val="18"/>
        </w:rPr>
      </w:pPr>
      <w:r w:rsidRPr="00A36CB9">
        <w:rPr>
          <w:sz w:val="18"/>
          <w:szCs w:val="18"/>
        </w:rPr>
        <w:t>A</w:t>
      </w:r>
      <w:r w:rsidR="00CE6600">
        <w:rPr>
          <w:rFonts w:hint="eastAsia"/>
          <w:sz w:val="18"/>
          <w:szCs w:val="18"/>
        </w:rPr>
        <w:t xml:space="preserve">. </w:t>
      </w:r>
      <w:r w:rsidRPr="00A36CB9">
        <w:rPr>
          <w:sz w:val="18"/>
          <w:szCs w:val="18"/>
        </w:rPr>
        <w:t>Mass spectrometry suggests potential Vimentin and ACTIN interaction.</w:t>
      </w:r>
    </w:p>
    <w:p w14:paraId="33AFF38F" w14:textId="0AF9D7C0" w:rsidR="00A05026" w:rsidRPr="00A36CB9" w:rsidRDefault="00A05026" w:rsidP="00A05026">
      <w:pPr>
        <w:rPr>
          <w:sz w:val="18"/>
          <w:szCs w:val="18"/>
        </w:rPr>
      </w:pPr>
      <w:r w:rsidRPr="00A36CB9">
        <w:rPr>
          <w:sz w:val="18"/>
          <w:szCs w:val="18"/>
        </w:rPr>
        <w:t>B</w:t>
      </w:r>
      <w:r w:rsidR="00CE6600">
        <w:rPr>
          <w:rFonts w:hint="eastAsia"/>
          <w:sz w:val="18"/>
          <w:szCs w:val="18"/>
        </w:rPr>
        <w:t xml:space="preserve">. </w:t>
      </w:r>
      <w:r w:rsidRPr="00A36CB9">
        <w:rPr>
          <w:sz w:val="18"/>
          <w:szCs w:val="18"/>
        </w:rPr>
        <w:t>Confirmation of circR-127aa binding to Vimentin.</w:t>
      </w:r>
    </w:p>
    <w:p w14:paraId="001F940A" w14:textId="6A9D67E4" w:rsidR="00A05026" w:rsidRPr="00A36CB9" w:rsidRDefault="00CE6600" w:rsidP="00A05026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C</w:t>
      </w:r>
      <w:r w:rsidR="00A05026" w:rsidRPr="00A36CB9">
        <w:rPr>
          <w:sz w:val="18"/>
          <w:szCs w:val="18"/>
        </w:rPr>
        <w:t>-</w:t>
      </w:r>
      <w:r>
        <w:rPr>
          <w:rFonts w:hint="eastAsia"/>
          <w:sz w:val="18"/>
          <w:szCs w:val="18"/>
        </w:rPr>
        <w:t xml:space="preserve">D. </w:t>
      </w:r>
      <w:r w:rsidR="00A05026" w:rsidRPr="00A36CB9">
        <w:rPr>
          <w:sz w:val="18"/>
          <w:szCs w:val="18"/>
        </w:rPr>
        <w:t>Co-localization of circR-127aa with Vimentin and ACTIN on the cell membrane.</w:t>
      </w:r>
    </w:p>
    <w:p w14:paraId="567EE400" w14:textId="78F5C45A" w:rsidR="00A05026" w:rsidRDefault="00CE6600" w:rsidP="00A05026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77ABB2B" wp14:editId="2D7C72F2">
            <wp:extent cx="5274310" cy="7575550"/>
            <wp:effectExtent l="0" t="0" r="2540" b="6350"/>
            <wp:docPr id="2323684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368468" name="图片 23236846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470BA" w14:textId="77777777" w:rsidR="00CE6600" w:rsidRPr="005C5B85" w:rsidRDefault="00A05026" w:rsidP="00CE6600">
      <w:pPr>
        <w:spacing w:line="480" w:lineRule="auto"/>
        <w:rPr>
          <w:b/>
          <w:bCs/>
          <w:sz w:val="18"/>
          <w:szCs w:val="18"/>
        </w:rPr>
      </w:pPr>
      <w:r w:rsidRPr="00A36CB9">
        <w:rPr>
          <w:b/>
          <w:bCs/>
          <w:sz w:val="18"/>
          <w:szCs w:val="18"/>
        </w:rPr>
        <w:t xml:space="preserve">Fig. S6. </w:t>
      </w:r>
      <w:r w:rsidR="00CE6600" w:rsidRPr="0066666E">
        <w:rPr>
          <w:b/>
          <w:bCs/>
          <w:sz w:val="18"/>
          <w:szCs w:val="18"/>
        </w:rPr>
        <w:t>Impact of circR-127aa on the cytoskeletal architecture and EMT-related protein expression.</w:t>
      </w:r>
    </w:p>
    <w:p w14:paraId="13353291" w14:textId="26162200" w:rsidR="00CE6600" w:rsidRPr="00CE6600" w:rsidRDefault="00CE6600" w:rsidP="00CE6600">
      <w:pPr>
        <w:pStyle w:val="a8"/>
        <w:numPr>
          <w:ilvl w:val="0"/>
          <w:numId w:val="2"/>
        </w:numPr>
        <w:spacing w:line="480" w:lineRule="auto"/>
        <w:ind w:firstLineChars="0"/>
        <w:rPr>
          <w:sz w:val="18"/>
          <w:szCs w:val="18"/>
        </w:rPr>
      </w:pPr>
      <w:r w:rsidRPr="00CE6600">
        <w:rPr>
          <w:sz w:val="18"/>
          <w:szCs w:val="18"/>
        </w:rPr>
        <w:t>Overexpression of circRACK1 curtails EMT protein markers, an effect reversed by HIF-1α co-expression, highlighting HIF-1α's regulatory influence over circRACK1-modulated EMT in gastric cancer cells.</w:t>
      </w:r>
    </w:p>
    <w:p w14:paraId="7AE1917B" w14:textId="77777777" w:rsidR="00CE6600" w:rsidRPr="00AF6B9D" w:rsidRDefault="00CE6600" w:rsidP="00CE6600">
      <w:pPr>
        <w:spacing w:line="48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B-C.</w:t>
      </w:r>
      <w:r w:rsidRPr="00AF6B9D">
        <w:t xml:space="preserve"> </w:t>
      </w:r>
      <w:r w:rsidRPr="00AF6B9D">
        <w:rPr>
          <w:sz w:val="18"/>
          <w:szCs w:val="18"/>
        </w:rPr>
        <w:t>circRACK1 overexpression reduces proliferation and migration, effects reversed by Vimentin co-expression, highlighting Vimentin's role in modulating these cellular functions.</w:t>
      </w:r>
    </w:p>
    <w:p w14:paraId="3A970D5A" w14:textId="0426ECEF" w:rsidR="00CE6600" w:rsidRPr="0066666E" w:rsidRDefault="00CE6600" w:rsidP="00CE6600">
      <w:pPr>
        <w:spacing w:line="48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D. </w:t>
      </w:r>
      <w:r w:rsidRPr="0066666E">
        <w:rPr>
          <w:sz w:val="18"/>
          <w:szCs w:val="18"/>
        </w:rPr>
        <w:t>Phalloidin staining of F-ACTIN in AGS cell lines, showing alterations in fluorescence intensity and filament density corresponding to changes in circRACK1 expression levels, with knockdown leading to increased, and overexpression leading to decreased F-ACTIN representation.</w:t>
      </w:r>
    </w:p>
    <w:p w14:paraId="4FE7FE4D" w14:textId="77777777" w:rsidR="00CE6600" w:rsidRPr="00F2776E" w:rsidRDefault="00CE6600" w:rsidP="00CE6600">
      <w:pPr>
        <w:spacing w:line="48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E. </w:t>
      </w:r>
      <w:r w:rsidRPr="0066666E">
        <w:rPr>
          <w:sz w:val="18"/>
          <w:szCs w:val="18"/>
        </w:rPr>
        <w:t xml:space="preserve">Western blot analysis of EMT marker proteins in gastric cancer cell lines with transient or stable circRACK1 expression modulation. </w:t>
      </w:r>
    </w:p>
    <w:p w14:paraId="0DB4D221" w14:textId="1213AA30" w:rsidR="00A05026" w:rsidRPr="00CE6600" w:rsidRDefault="00A05026" w:rsidP="00CE6600">
      <w:pPr>
        <w:rPr>
          <w:sz w:val="18"/>
          <w:szCs w:val="18"/>
        </w:rPr>
      </w:pPr>
    </w:p>
    <w:p w14:paraId="6CEDF29C" w14:textId="62C2638A" w:rsidR="00A05026" w:rsidRDefault="009C02F0" w:rsidP="00A05026">
      <w:r>
        <w:rPr>
          <w:noProof/>
        </w:rPr>
        <w:lastRenderedPageBreak/>
        <w:drawing>
          <wp:inline distT="0" distB="0" distL="0" distR="0" wp14:anchorId="5671899C" wp14:editId="237D40F5">
            <wp:extent cx="5274310" cy="7371080"/>
            <wp:effectExtent l="0" t="0" r="2540" b="1270"/>
            <wp:docPr id="980055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055211" name="图片 98005521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13478" w14:textId="77777777" w:rsidR="00A05026" w:rsidRPr="00A36CB9" w:rsidRDefault="00A05026" w:rsidP="00A05026">
      <w:pPr>
        <w:rPr>
          <w:b/>
          <w:bCs/>
          <w:sz w:val="18"/>
          <w:szCs w:val="18"/>
        </w:rPr>
      </w:pPr>
      <w:r w:rsidRPr="00A36CB9">
        <w:rPr>
          <w:b/>
          <w:bCs/>
          <w:sz w:val="18"/>
          <w:szCs w:val="18"/>
        </w:rPr>
        <w:t>Figure S7: Metastatic and Tumor Growth Characteristics in circRACK1 Knockdown Mice.</w:t>
      </w:r>
    </w:p>
    <w:p w14:paraId="31167D49" w14:textId="5314BA9D" w:rsidR="0094601C" w:rsidRDefault="0094601C" w:rsidP="00CE6600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A-B.</w:t>
      </w:r>
      <w:r w:rsidRPr="0094601C">
        <w:rPr>
          <w:sz w:val="18"/>
          <w:szCs w:val="18"/>
        </w:rPr>
        <w:t xml:space="preserve"> Vimentin mRNA levels remain unchanged in circRACK1-modulated GC cells.</w:t>
      </w:r>
    </w:p>
    <w:p w14:paraId="1AC6CBB8" w14:textId="47DDFFD2" w:rsidR="00A05026" w:rsidRPr="009C02F0" w:rsidRDefault="009C02F0" w:rsidP="009C02F0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C.</w:t>
      </w:r>
      <w:r w:rsidR="00A05026" w:rsidRPr="009C02F0">
        <w:rPr>
          <w:sz w:val="18"/>
          <w:szCs w:val="18"/>
        </w:rPr>
        <w:t>Comparative tumor growth in circRACK1 knockdown mice, highlighting enhanced proliferation.</w:t>
      </w:r>
    </w:p>
    <w:p w14:paraId="18ACCCDE" w14:textId="400E94D3" w:rsidR="009C02F0" w:rsidRPr="009C02F0" w:rsidRDefault="009C02F0" w:rsidP="009C02F0"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D.</w:t>
      </w:r>
      <w:r w:rsidRPr="009C02F0">
        <w:rPr>
          <w:sz w:val="18"/>
          <w:szCs w:val="18"/>
        </w:rPr>
        <w:t xml:space="preserve"> Longitudinal imaging revealing a higher frequency distant metastases in the knockdown group.</w:t>
      </w:r>
    </w:p>
    <w:p w14:paraId="57820984" w14:textId="70CBA413" w:rsidR="00A05026" w:rsidRDefault="009C02F0" w:rsidP="00CE6600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E</w:t>
      </w:r>
      <w:r w:rsidR="00CE6600">
        <w:rPr>
          <w:rFonts w:hint="eastAsia"/>
          <w:sz w:val="18"/>
          <w:szCs w:val="18"/>
        </w:rPr>
        <w:t>.</w:t>
      </w:r>
      <w:r w:rsidR="00A05026" w:rsidRPr="00CE6600">
        <w:rPr>
          <w:sz w:val="18"/>
          <w:szCs w:val="18"/>
        </w:rPr>
        <w:t>Observed intrathoracic and abdominal metastases in the knockdown group.</w:t>
      </w:r>
    </w:p>
    <w:p w14:paraId="14DB786F" w14:textId="15101622" w:rsidR="00CE6600" w:rsidRPr="00CE6600" w:rsidRDefault="009C02F0" w:rsidP="00CE6600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F</w:t>
      </w:r>
      <w:r w:rsidR="00CE6600">
        <w:rPr>
          <w:rFonts w:hint="eastAsia"/>
          <w:sz w:val="18"/>
          <w:szCs w:val="18"/>
        </w:rPr>
        <w:t>.</w:t>
      </w:r>
      <w:r w:rsidR="00CE6600">
        <w:rPr>
          <w:sz w:val="18"/>
          <w:szCs w:val="18"/>
        </w:rPr>
        <w:t xml:space="preserve"> </w:t>
      </w:r>
      <w:r w:rsidR="00CE6600" w:rsidRPr="0066666E">
        <w:rPr>
          <w:sz w:val="18"/>
          <w:szCs w:val="18"/>
        </w:rPr>
        <w:t xml:space="preserve">Immunohistochemical analyses of resected tumors displaying elevated levels of proliferation and invasion </w:t>
      </w:r>
      <w:r w:rsidR="00CE6600" w:rsidRPr="0066666E">
        <w:rPr>
          <w:sz w:val="18"/>
          <w:szCs w:val="18"/>
        </w:rPr>
        <w:lastRenderedPageBreak/>
        <w:t>markers (Ki-67, Vimentin, MMP9) and microvascular density (CD31) alongside reduced apoptosis (Caspase 3) in the knockdown group.</w:t>
      </w:r>
    </w:p>
    <w:p w14:paraId="32B3E538" w14:textId="3D1696E1" w:rsidR="00A05026" w:rsidRPr="00A36CB9" w:rsidRDefault="009C02F0" w:rsidP="00A05026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G</w:t>
      </w:r>
      <w:r w:rsidR="00CE6600">
        <w:rPr>
          <w:rFonts w:hint="eastAsia"/>
          <w:sz w:val="18"/>
          <w:szCs w:val="18"/>
        </w:rPr>
        <w:t>.</w:t>
      </w:r>
      <w:r w:rsidR="00A05026" w:rsidRPr="00A36CB9">
        <w:rPr>
          <w:sz w:val="18"/>
          <w:szCs w:val="18"/>
        </w:rPr>
        <w:t>Sequential images showing the progression of distant metastases in knockdown mice.</w:t>
      </w:r>
    </w:p>
    <w:p w14:paraId="3A6D6E22" w14:textId="3ED6FC81" w:rsidR="00A05026" w:rsidRPr="00A36CB9" w:rsidRDefault="009C02F0" w:rsidP="00A05026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H</w:t>
      </w:r>
      <w:r w:rsidR="00CE6600">
        <w:rPr>
          <w:rFonts w:hint="eastAsia"/>
          <w:sz w:val="18"/>
          <w:szCs w:val="18"/>
        </w:rPr>
        <w:t>.</w:t>
      </w:r>
      <w:r w:rsidR="00A05026" w:rsidRPr="00A36CB9">
        <w:rPr>
          <w:sz w:val="18"/>
          <w:szCs w:val="18"/>
        </w:rPr>
        <w:t>Representative hepatic metastasis images in circRACK1 knockdown mice.</w:t>
      </w:r>
    </w:p>
    <w:p w14:paraId="0D796F33" w14:textId="77777777" w:rsidR="00166EFF" w:rsidRPr="00A05026" w:rsidRDefault="00166EFF"/>
    <w:sectPr w:rsidR="00166EFF" w:rsidRPr="00A05026" w:rsidSect="00C86A6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E76128" w14:textId="77777777" w:rsidR="00C86A6C" w:rsidRDefault="00C86A6C" w:rsidP="00A05026">
      <w:r>
        <w:separator/>
      </w:r>
    </w:p>
  </w:endnote>
  <w:endnote w:type="continuationSeparator" w:id="0">
    <w:p w14:paraId="77938BF3" w14:textId="77777777" w:rsidR="00C86A6C" w:rsidRDefault="00C86A6C" w:rsidP="00A05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C6E9B1" w14:textId="77777777" w:rsidR="00C86A6C" w:rsidRDefault="00C86A6C" w:rsidP="00A05026">
      <w:r>
        <w:separator/>
      </w:r>
    </w:p>
  </w:footnote>
  <w:footnote w:type="continuationSeparator" w:id="0">
    <w:p w14:paraId="47E82D2A" w14:textId="77777777" w:rsidR="00C86A6C" w:rsidRDefault="00C86A6C" w:rsidP="00A050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32045B"/>
    <w:multiLevelType w:val="hybridMultilevel"/>
    <w:tmpl w:val="C2AE226A"/>
    <w:lvl w:ilvl="0" w:tplc="6B00670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58B3048"/>
    <w:multiLevelType w:val="hybridMultilevel"/>
    <w:tmpl w:val="7A0EF8FA"/>
    <w:lvl w:ilvl="0" w:tplc="AB182DE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78984033">
    <w:abstractNumId w:val="1"/>
  </w:num>
  <w:num w:numId="2" w16cid:durableId="460267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16A"/>
    <w:rsid w:val="000A3968"/>
    <w:rsid w:val="00166EFF"/>
    <w:rsid w:val="00607B09"/>
    <w:rsid w:val="0094601C"/>
    <w:rsid w:val="009C02F0"/>
    <w:rsid w:val="00A05026"/>
    <w:rsid w:val="00A0752B"/>
    <w:rsid w:val="00A36CB9"/>
    <w:rsid w:val="00AB016A"/>
    <w:rsid w:val="00C86A6C"/>
    <w:rsid w:val="00CE6600"/>
    <w:rsid w:val="00DD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32703D"/>
  <w15:chartTrackingRefBased/>
  <w15:docId w15:val="{A0D56B96-EA30-4632-8797-00196CBEB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50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0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0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02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A36CB9"/>
  </w:style>
  <w:style w:type="paragraph" w:styleId="a8">
    <w:name w:val="List Paragraph"/>
    <w:basedOn w:val="a"/>
    <w:uiPriority w:val="34"/>
    <w:qFormat/>
    <w:rsid w:val="00CE66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557</Words>
  <Characters>3176</Characters>
  <Application>Microsoft Office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乔</dc:creator>
  <cp:keywords/>
  <dc:description/>
  <cp:lastModifiedBy>磊 乔</cp:lastModifiedBy>
  <cp:revision>7</cp:revision>
  <dcterms:created xsi:type="dcterms:W3CDTF">2024-01-10T14:45:00Z</dcterms:created>
  <dcterms:modified xsi:type="dcterms:W3CDTF">2024-04-09T13:53:00Z</dcterms:modified>
</cp:coreProperties>
</file>