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S1</w:t>
      </w:r>
      <w:r>
        <w:rPr>
          <w:rFonts w:hint="default" w:ascii="Times New Roman" w:hAnsi="Times New Roman" w:eastAsia="宋体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 Regular" w:hAnsi="Times New Roman Regular" w:cs="Times New Roman Regular"/>
          <w:b/>
          <w:bCs/>
          <w:sz w:val="24"/>
          <w:szCs w:val="24"/>
          <w:lang w:val="en-US" w:eastAsia="zh-CN"/>
        </w:rPr>
        <w:t xml:space="preserve">ILAs and the </w:t>
      </w:r>
      <w:r>
        <w:rPr>
          <w:rFonts w:hint="eastAsia" w:ascii="Times New Roman Regular" w:hAnsi="Times New Roman Regular" w:cs="Times New Roman Regular"/>
          <w:b/>
          <w:bCs/>
          <w:sz w:val="24"/>
          <w:szCs w:val="24"/>
          <w:lang w:val="en-US" w:eastAsia="zh-CN"/>
        </w:rPr>
        <w:t xml:space="preserve">disease </w:t>
      </w:r>
      <w:r>
        <w:rPr>
          <w:rFonts w:hint="default" w:ascii="Times New Roman Regular" w:hAnsi="Times New Roman Regular" w:cs="Times New Roman Regular"/>
          <w:b/>
          <w:bCs/>
          <w:sz w:val="24"/>
          <w:szCs w:val="24"/>
          <w:lang w:val="en-US" w:eastAsia="zh-CN"/>
        </w:rPr>
        <w:t>severity of cirrhosis</w:t>
      </w:r>
      <w:r>
        <w:rPr>
          <w:rFonts w:hint="eastAsia" w:ascii="Times New Roman Regular" w:hAnsi="Times New Roman Regular" w:cs="Times New Roman Regular"/>
          <w:b/>
          <w:bCs/>
          <w:sz w:val="24"/>
          <w:szCs w:val="24"/>
          <w:lang w:val="en-US" w:eastAsia="zh-CN"/>
        </w:rPr>
        <w:t xml:space="preserve"> assessed by </w:t>
      </w:r>
      <w:r>
        <w:rPr>
          <w:rFonts w:hint="default" w:ascii="Times New Roman" w:hAnsi="Times New Roman" w:eastAsia="宋体" w:cs="Times New Roman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Child-pugh </w:t>
      </w:r>
      <w:r>
        <w:rPr>
          <w:rFonts w:hint="eastAsia" w:ascii="Times New Roman" w:hAnsi="Times New Roman" w:eastAsia="宋体" w:cs="Times New Roman"/>
          <w:b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stage.</w:t>
      </w:r>
      <w:bookmarkStart w:id="3" w:name="_GoBack"/>
      <w:bookmarkEnd w:id="3"/>
    </w:p>
    <w:tbl>
      <w:tblPr>
        <w:tblStyle w:val="2"/>
        <w:tblW w:w="132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1712"/>
        <w:gridCol w:w="1681"/>
        <w:gridCol w:w="1639"/>
        <w:gridCol w:w="1786"/>
        <w:gridCol w:w="1673"/>
        <w:gridCol w:w="1540"/>
        <w:gridCol w:w="11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105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Variable</w:t>
            </w:r>
          </w:p>
        </w:tc>
        <w:tc>
          <w:tcPr>
            <w:tcW w:w="1712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Total</w:t>
            </w:r>
          </w:p>
        </w:tc>
        <w:tc>
          <w:tcPr>
            <w:tcW w:w="1681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Non-ILAs</w:t>
            </w:r>
          </w:p>
        </w:tc>
        <w:tc>
          <w:tcPr>
            <w:tcW w:w="1639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ILAs</w:t>
            </w:r>
          </w:p>
        </w:tc>
        <w:tc>
          <w:tcPr>
            <w:tcW w:w="4999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ILAs</w:t>
            </w:r>
          </w:p>
        </w:tc>
        <w:tc>
          <w:tcPr>
            <w:tcW w:w="112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1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8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3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t>Nonsubpleural</w:t>
            </w:r>
          </w:p>
        </w:tc>
        <w:tc>
          <w:tcPr>
            <w:tcW w:w="167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AdvOTda51268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Subpleural nonfibrotic</w:t>
            </w:r>
          </w:p>
        </w:tc>
        <w:tc>
          <w:tcPr>
            <w:tcW w:w="15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2"/>
            <w:r>
              <w:rPr>
                <w:rFonts w:hint="default" w:ascii="Times New Roman" w:hAnsi="Times New Roman" w:eastAsia="AdvOTda51268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Subpleural fibrotic </w:t>
            </w:r>
            <w:bookmarkEnd w:id="0"/>
          </w:p>
        </w:tc>
        <w:tc>
          <w:tcPr>
            <w:tcW w:w="112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P value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17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bookmarkStart w:id="1" w:name="OLE_LINK2" w:colFirst="0" w:colLast="3"/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Child-pugh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stage</w:t>
            </w:r>
          </w:p>
        </w:tc>
        <w:tc>
          <w:tcPr>
            <w:tcW w:w="168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 level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1582(39.3%)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1330(40.6%）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252(33.6%)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61(38.4%)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148(34.8%)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43(28.4%)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 level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1610(40.0%)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1276(39.0%)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334(44.6%)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77(44.0%)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182(43.0%)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75(49.6%)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 level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830(20.6%)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667(20.4%)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163(21.8%)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37(21.1%)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93(21.9%)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33(21.8%)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Ascities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Non-ascites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2939(73.0%)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2402(73.6%)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531(70.9%)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130(74.2%)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290(68.5%)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111(73.5%)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Mild ascites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313(7.7%)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249(7.6%)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64(8.5%)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14(8.0%)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41(9.6%)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9(5.9%)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Severe ascites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770(19.1%)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616(18.8%)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154(20.6%)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31(17.7%)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92(21.7%)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31(20.5%)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Hepatic encephalopathy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None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3842(95.5%)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3141(96.0%)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701(93.6%)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162(92.5%)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392(92.6%)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147(97.3%)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tage 1-2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83(2.0%)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63(1.9%)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20(2.7%)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7(4.0%)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11(2.6%)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2(1.3%)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tage 3-4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97(2.4%)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69(2.1%)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28(3.7%)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6(3.4%)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20(4.7%)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2(1.3%)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Albumin (g/L)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&gt;35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1644(40.8%)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1382(42.2%)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262(35.0%)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61(34.8%)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155(36.6%)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46(30.4%)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28-35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1461(36.3%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1163(35.5%)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298(39.8%)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70(40.0%)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163(38.5%)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65(43.0%)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&lt;28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917(22.7%)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728(22.2%)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189(25.2%)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44(25.1%)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105(24.8%)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40(26.4%)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bilirubin (umo/L)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&lt;34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2491(61.9%)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2054(62.8%)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437(58.3%)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101(57.7%)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244(57.6%)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92(60.9%)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34-51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543(13.5%)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432(13.2%)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111(14.8%)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22(12.5%)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67(15.8%)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22(15.4%)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&gt;51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988(24.5%)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787(24.0%)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201(26.8%)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52(29.7%)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112(26.4%)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39(24.5%)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3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prolonged prothrombin time(s)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3235(80.4%)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2643(80.8%)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592(79.0%)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141(80.5%)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333(78.7%)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118(78.1%)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393(9.7%)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314(9.6%)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79(10.5%)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18(10.2%)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46(10.8%)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15(9.9%)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394(9.7%)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316(9.7%)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78(10.4%)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16(9.1%)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44(10.4%)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18(11.9%)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Peritonitis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No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3121(77.6%)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2554(78.0%)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567(75.7%)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132(75.4%)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317(74.9%)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118(78.1%)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Yes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901(22.4%)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719(22.0%)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182(24.3%)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43(24.5%)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106(25.0%)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33(21.8%)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 w:firstLine="480" w:firstLineChars="200"/>
        <w:jc w:val="left"/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 w:firstLine="480" w:firstLineChars="20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*P value for chi-square test between Non-ILAs group and ILAs group.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sectPr>
          <w:pgSz w:w="16838" w:h="11906" w:orient="landscape"/>
          <w:pgMar w:top="1080" w:right="1440" w:bottom="108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ab/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Table S2:Cox regression models were performed to analyze the association between ILAs an</w:t>
      </w: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d mortality in different types of cirrhosis</w:t>
      </w:r>
    </w:p>
    <w:tbl>
      <w:tblPr>
        <w:tblStyle w:val="2"/>
        <w:tblpPr w:leftFromText="180" w:rightFromText="180" w:vertAnchor="text" w:horzAnchor="page" w:tblpXSpec="center" w:tblpY="8"/>
        <w:tblOverlap w:val="never"/>
        <w:tblW w:w="14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9"/>
        <w:gridCol w:w="2196"/>
        <w:gridCol w:w="2208"/>
        <w:gridCol w:w="900"/>
        <w:gridCol w:w="2316"/>
        <w:gridCol w:w="912"/>
        <w:gridCol w:w="2376"/>
        <w:gridCol w:w="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69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Causes of Liver cirrhosis</w:t>
            </w:r>
          </w:p>
        </w:tc>
        <w:tc>
          <w:tcPr>
            <w:tcW w:w="2196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Case/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Total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(%)</w:t>
            </w:r>
          </w:p>
        </w:tc>
        <w:tc>
          <w:tcPr>
            <w:tcW w:w="3108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Model 1</w:t>
            </w:r>
          </w:p>
        </w:tc>
        <w:tc>
          <w:tcPr>
            <w:tcW w:w="3228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M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odel 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324" w:type="dxa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Mode 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69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196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20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  <w:tc>
          <w:tcPr>
            <w:tcW w:w="231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91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  <w:tc>
          <w:tcPr>
            <w:tcW w:w="237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94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19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20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1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1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7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4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Viral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cirrhosis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One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-year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488/2952 (16.5%)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378/2442 (15.4%)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110/510 (21.5%)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1.467 (1.186-1.814)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1.391 (1.120-1.727)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1.319 (1.060-1.641)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Long-term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1231/2952 (41.7%)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966/2442 (39.5%)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265/510 (51.9%)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1.545 (1.348-1.770)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1.415 (1.232-1.625)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1.381 (1.201-1.587)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Alcoholic cirrhosis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1-year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142/628 (22.6%)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104/500 (20.8%)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38/128 (29.6%)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1.538(1.061-2.230)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0.023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1.451(0.993-2.121)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0.055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1.398（0.947-2.064）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Long-term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329/628 (52.3%)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253/500 (50.6%)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76/128 (59.3%)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1.425(1.102-`1.843)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0.007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1.398(1.007-1.814)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1.377（1.055-1.797）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Primary biliary cirrhosis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1-year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73/426 (17.1%)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51/334 (15.2%)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22/92 (23.9%)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1.659(1.006-2.736)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0.047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1.519(0.905-2.552)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1.343（0.774-2.331）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183/426 (42.9%)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134/334 (40.1%)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49/92 (53.5%)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1.659(1.195-2.303)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1.484(1.057-2.084)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1.496（1.050-2.132）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Autoimmune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cirrhosis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1-year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36/310 (11.6%)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27/237 (11.3%)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9/73 (12.3%)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1.143(0.537-2.430)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0.729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1.204(0.562-2.580)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0.921（0.412-2.058）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99/310 (31.9%)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73/237 (30.8%)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26/73 (35.6%)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1.353(0.863-2.121)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0.188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1.294(0.819-2.044)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1.224（0.761-1.968）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Other causes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1-year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83/539 (15.3%)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63/429 (14.6%)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20/110 (18.1%)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1.294(0.782-2.139)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0.316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1.176(0.694-1.992)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1.165(0.681-1.992)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176/539 (32.6%)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129/429 (30.0%)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47//110 (42.7%)</w:t>
            </w:r>
          </w:p>
        </w:tc>
        <w:tc>
          <w:tcPr>
            <w:tcW w:w="22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1.648(1.179-2.304)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  <w:tc>
          <w:tcPr>
            <w:tcW w:w="23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1.386(0.975-1.972)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0.069</w:t>
            </w:r>
          </w:p>
        </w:tc>
        <w:tc>
          <w:tcPr>
            <w:tcW w:w="23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1.366(0.953-1.958)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0.089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Model 1 is univariable Cox regression analysis.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>Mode 2 is adjusted by age, sex, and BMI.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t xml:space="preserve">Model 3 is adjusted by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age, sex, BMI, smoking and drinking status, Child-Pugh score, albumin, total bilirubin, creatinine, natrium, platelet count, alanine aminotransferase, glutamyl transpeptidase, aspartate aminotransferase and prolonged prothrombin time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  <w:sectPr>
          <w:pgSz w:w="16838" w:h="11906" w:orient="landscape"/>
          <w:pgMar w:top="1080" w:right="1440" w:bottom="108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tbl>
      <w:tblPr>
        <w:tblStyle w:val="2"/>
        <w:tblpPr w:leftFromText="181" w:rightFromText="181" w:vertAnchor="text" w:tblpXSpec="left" w:tblpY="568"/>
        <w:tblOverlap w:val="never"/>
        <w:tblW w:w="144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2205"/>
        <w:gridCol w:w="2205"/>
        <w:gridCol w:w="915"/>
        <w:gridCol w:w="2295"/>
        <w:gridCol w:w="908"/>
        <w:gridCol w:w="2362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Total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cirrhosis</w:t>
            </w:r>
          </w:p>
        </w:tc>
        <w:tc>
          <w:tcPr>
            <w:tcW w:w="220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Case/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Total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(%)</w:t>
            </w:r>
          </w:p>
        </w:tc>
        <w:tc>
          <w:tcPr>
            <w:tcW w:w="312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Model 1</w:t>
            </w:r>
          </w:p>
        </w:tc>
        <w:tc>
          <w:tcPr>
            <w:tcW w:w="320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Model 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397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M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 xml:space="preserve">odel 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5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0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9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  <w:tc>
          <w:tcPr>
            <w:tcW w:w="229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90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  <w:tc>
          <w:tcPr>
            <w:tcW w:w="236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103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1-year mortality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634/3817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(16.6%)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499/3187 (15.6%)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135/630 (21.4%)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1.432(1.184-1.731)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1.361(1.120-1.653)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0.002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1.276(1.049-1.551)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1526/3817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(39.9%)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1196/3187 (39.9%)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330/630 (52.3%)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1.565(1.386-1.768)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1.439(1.270-1.630)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1.393(1.230-1.579)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Table S3. Cox regression models were performed to analyze the association between ILAs an</w:t>
      </w: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d mortality in cirrhosis, sensitive analyses.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default" w:ascii="Times New Roman" w:hAnsi="Times New Roman" w:eastAsia="宋体" w:cs="Times New Roman"/>
          <w:color w:val="333333"/>
          <w:kern w:val="0"/>
          <w:sz w:val="24"/>
          <w:szCs w:val="24"/>
          <w:lang w:val="en-US" w:eastAsia="zh-CN" w:bidi="ar"/>
        </w:rPr>
      </w:pPr>
    </w:p>
    <w:p/>
    <w:p/>
    <w:p/>
    <w:p/>
    <w:p/>
    <w:p/>
    <w:p/>
    <w:p/>
    <w:p/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056"/>
        </w:tabs>
        <w:spacing w:before="0" w:beforeAutospacing="0" w:after="180" w:afterAutospacing="0" w:line="288" w:lineRule="atLeast"/>
        <w:ind w:right="0" w:rightChars="0"/>
        <w:jc w:val="left"/>
        <w:rPr>
          <w:rFonts w:hint="default" w:eastAsiaTheme="minorEastAsia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Table S4: Cox regression models were performed to analyze the association between ILAs an</w:t>
      </w: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4"/>
          <w:szCs w:val="24"/>
          <w:highlight w:val="none"/>
          <w:lang w:val="en-US" w:eastAsia="zh-CN" w:bidi="ar"/>
        </w:rPr>
        <w:t>d mortality in different types of cirrhosis, sensitive analyses.</w:t>
      </w:r>
    </w:p>
    <w:tbl>
      <w:tblPr>
        <w:tblStyle w:val="2"/>
        <w:tblpPr w:leftFromText="181" w:rightFromText="181" w:vertAnchor="text" w:tblpXSpec="left" w:tblpY="568"/>
        <w:tblOverlap w:val="never"/>
        <w:tblW w:w="144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2025"/>
        <w:gridCol w:w="2205"/>
        <w:gridCol w:w="915"/>
        <w:gridCol w:w="2295"/>
        <w:gridCol w:w="908"/>
        <w:gridCol w:w="2362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</w:pPr>
            <w:bookmarkStart w:id="2" w:name="OLE_LINK1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Causes of Liver cirrhosis</w:t>
            </w:r>
            <w:bookmarkEnd w:id="2"/>
          </w:p>
        </w:tc>
        <w:tc>
          <w:tcPr>
            <w:tcW w:w="202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Case/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Total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(%)</w:t>
            </w:r>
          </w:p>
        </w:tc>
        <w:tc>
          <w:tcPr>
            <w:tcW w:w="312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Model 1</w:t>
            </w:r>
          </w:p>
        </w:tc>
        <w:tc>
          <w:tcPr>
            <w:tcW w:w="3203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Model 2</w:t>
            </w:r>
          </w:p>
        </w:tc>
        <w:tc>
          <w:tcPr>
            <w:tcW w:w="3397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25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91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  <w:tc>
          <w:tcPr>
            <w:tcW w:w="229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90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  <w:tc>
          <w:tcPr>
            <w:tcW w:w="236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HR</w:t>
            </w:r>
            <w:r>
              <w:rPr>
                <w:rStyle w:val="4"/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(95%Cl)</w:t>
            </w:r>
          </w:p>
        </w:tc>
        <w:tc>
          <w:tcPr>
            <w:tcW w:w="103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Viral hepatitis</w:t>
            </w:r>
          </w:p>
        </w:tc>
        <w:tc>
          <w:tcPr>
            <w:tcW w:w="202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1-year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469/2823 (16.6%)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366/2372 (15.4%)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103/451 (22.8%)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1.550(1.246-1.929)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1.466(1.172-1.834)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1.383(1.103-1.734)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178/2823 (41.7%)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925/2372 (38.9%)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235/451 (56.0%)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1.612(1.403-1.853)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1.478(1.283-1.704)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1.439(1.247-1.660)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Alcoholic cirrhosis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1-year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130/586 (22.1%)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99/482 (20.5%)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31/104 (29.8%)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1.524(1.018-2.282)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0.041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1.449(0.961-2.185)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0.077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1.393(0.910-2.132)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307/586 (55.2%）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240/482 (49.7%)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67/104 (64.4%)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1.468(1.119-1.925)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0.006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1.454(1.105-1.913)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0.008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1.419(1.071-1.880)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Primary biliary cirrhosis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1-year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67/400 (16.7%)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49/320 (15.3%)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18/80 (22.5%)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1.545(0.900-2.652)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0.015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1.391(0.791-2.447)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0.252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1.356(0.750-2.452)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170/400 (42.5%)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126/320 (39.3%)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44/80 (55.5%)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1.634(1.159-2.304)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0.005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1.442(1.008-2.064)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0.045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1.529(1.053-2.222)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Autoimmune hepatitis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1-year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34/292 (11.6%)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26/228 (11.4%)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8/64 (12.5%)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1.156(0.523-2.554)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0.719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1.191(0.531-2.671)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0.671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1.045(0.438-2.497)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91/292 (31.1%)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66/228 (28.9%)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25/64 (39.0%)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1.502(0.946-2.384)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0.084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1.441(0.898-2.312)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0.130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1.491(0.904-2.458)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Other causes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1-year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79/511 (15.4%)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63/425 (14.8%)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16/186 (18.6%)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1.299(0.750-2.249)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0.350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1.158(0.652-2.057)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0.617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1.187(0.659-2.140)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 w:bidi="ar"/>
              </w:rPr>
              <w:t>Long-term mortality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164/511 (32.0%)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Non-ILAs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127/425 (29.8%)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Ref.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20" w:left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ILAs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37/86 (43.0%)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1.553(1.077-2.241)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0.019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1.283(0.873-1.866)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0.204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1.262(0.849-1.874)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0.250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AdvOTda51268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MDdkZTVjZTJmZjZlZWM4YmUzNmExZjFjZWI2NTgifQ=="/>
  </w:docVars>
  <w:rsids>
    <w:rsidRoot w:val="567C407E"/>
    <w:rsid w:val="01E04373"/>
    <w:rsid w:val="130354DD"/>
    <w:rsid w:val="31444C91"/>
    <w:rsid w:val="49CE4ABF"/>
    <w:rsid w:val="567C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2024-03-05T09:13:00Z</dcterms:created>
  <dc:creator>Zea~</dc:creator>
  <cp:lastModifiedBy>jy</cp:lastModifiedBy>
  <dcterms:modified xsi:type="dcterms:W3CDTF">2024-04-28T01:06:55Z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74AF7A8A7796436EB5D2808A2A05C4BE_13</vt:lpwstr>
  </property>
</Properties>
</file>