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AC3" w:rsidRPr="00E20AC3" w:rsidRDefault="00E20AC3" w:rsidP="00E20AC3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2"/>
          <w:sz w:val="32"/>
          <w:szCs w:val="27"/>
          <w:lang w:eastAsia="de-DE"/>
        </w:rPr>
      </w:pPr>
      <w:r w:rsidRPr="00E20AC3">
        <w:rPr>
          <w:rFonts w:ascii="Times New Roman" w:eastAsia="Times New Roman" w:hAnsi="Times New Roman" w:cs="Times New Roman"/>
          <w:b/>
          <w:bCs/>
          <w:color w:val="222222"/>
          <w:spacing w:val="2"/>
          <w:sz w:val="32"/>
          <w:szCs w:val="27"/>
          <w:lang w:eastAsia="de-DE"/>
        </w:rPr>
        <w:t>Supplementary material</w:t>
      </w:r>
    </w:p>
    <w:p w:rsidR="00E20AC3" w:rsidRDefault="00E20AC3">
      <w:pPr>
        <w:rPr>
          <w:noProof/>
          <w:lang w:eastAsia="de-DE"/>
        </w:rPr>
      </w:pPr>
    </w:p>
    <w:p w:rsidR="00366803" w:rsidRDefault="00E20AC3">
      <w:r>
        <w:rPr>
          <w:noProof/>
          <w:lang w:eastAsia="de-DE"/>
        </w:rPr>
        <w:drawing>
          <wp:inline distT="0" distB="0" distL="0" distR="0">
            <wp:extent cx="5731510" cy="45421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hmetal2024_Supplementary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4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AC3" w:rsidRDefault="00E20AC3" w:rsidP="00E20AC3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  <w:lang w:val="en-GB"/>
        </w:rPr>
      </w:pPr>
    </w:p>
    <w:p w:rsidR="00E20AC3" w:rsidRPr="00E20AC3" w:rsidRDefault="00E20AC3" w:rsidP="00E20AC3">
      <w:pPr>
        <w:spacing w:line="276" w:lineRule="auto"/>
        <w:jc w:val="both"/>
        <w:rPr>
          <w:rFonts w:ascii="Times New Roman" w:eastAsia="Times New Roman" w:hAnsi="Times New Roman" w:cs="Times New Roman"/>
          <w:szCs w:val="24"/>
          <w:lang w:val="en-GB" w:eastAsia="en-GB"/>
        </w:rPr>
      </w:pPr>
      <w:bookmarkStart w:id="0" w:name="_GoBack"/>
      <w:r w:rsidRPr="00E20AC3">
        <w:rPr>
          <w:rFonts w:ascii="Times New Roman" w:hAnsi="Times New Roman" w:cs="Times New Roman"/>
          <w:b/>
          <w:bCs/>
          <w:szCs w:val="24"/>
          <w:lang w:val="en-GB"/>
        </w:rPr>
        <w:t>Supplementary 1.</w:t>
      </w:r>
      <w:bookmarkEnd w:id="0"/>
      <w:r w:rsidRPr="00E20AC3">
        <w:rPr>
          <w:rFonts w:ascii="Times New Roman" w:hAnsi="Times New Roman" w:cs="Times New Roman"/>
          <w:b/>
          <w:bCs/>
          <w:szCs w:val="24"/>
          <w:lang w:val="en-GB"/>
        </w:rPr>
        <w:t xml:space="preserve"> Itaconate and mesaconate attenuate the LPS-induced increase in GFAP expression in astrocytes.</w:t>
      </w:r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</w:t>
      </w:r>
      <w:proofErr w:type="spellStart"/>
      <w:r w:rsidRPr="00E20AC3">
        <w:rPr>
          <w:rFonts w:ascii="Times New Roman" w:hAnsi="Times New Roman" w:cs="Times New Roman"/>
          <w:bCs/>
          <w:szCs w:val="24"/>
          <w:lang w:val="en-GB"/>
        </w:rPr>
        <w:t>Immunohistochemical</w:t>
      </w:r>
      <w:proofErr w:type="spell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staining for GFAP and DAPI in the dentate gyrus (DG) of the hippocampus for each experimental group (A) (scale bar measures 100µm). (</w:t>
      </w:r>
      <w:proofErr w:type="gramStart"/>
      <w:r w:rsidRPr="00E20AC3">
        <w:rPr>
          <w:rFonts w:ascii="Times New Roman" w:hAnsi="Times New Roman" w:cs="Times New Roman"/>
          <w:bCs/>
          <w:szCs w:val="24"/>
          <w:lang w:val="en-GB"/>
        </w:rPr>
        <w:t>B,C</w:t>
      </w:r>
      <w:proofErr w:type="gram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) GFAP fluorescence intensity in the CA1 (B) and DG (C) regions of the hippocampus. Data are presented as </w:t>
      </w:r>
      <w:proofErr w:type="spellStart"/>
      <w:r w:rsidRPr="00E20AC3">
        <w:rPr>
          <w:rFonts w:ascii="Times New Roman" w:hAnsi="Times New Roman" w:cs="Times New Roman"/>
          <w:bCs/>
          <w:szCs w:val="24"/>
          <w:lang w:val="en-GB"/>
        </w:rPr>
        <w:t>mean±SEM</w:t>
      </w:r>
      <w:proofErr w:type="spell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and were </w:t>
      </w:r>
      <w:proofErr w:type="spellStart"/>
      <w:r w:rsidRPr="00E20AC3">
        <w:rPr>
          <w:rFonts w:ascii="Times New Roman" w:hAnsi="Times New Roman" w:cs="Times New Roman"/>
          <w:bCs/>
          <w:szCs w:val="24"/>
          <w:lang w:val="en-GB"/>
        </w:rPr>
        <w:t>analyzed</w:t>
      </w:r>
      <w:proofErr w:type="spell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with an ordinary two-way ANOVA followed by Fisher's LSD test; *p&lt;0.05, [N (number of mice per group) = 4, CA1 n (number of </w:t>
      </w:r>
      <w:proofErr w:type="spellStart"/>
      <w:r w:rsidRPr="00E20AC3">
        <w:rPr>
          <w:rFonts w:ascii="Times New Roman" w:hAnsi="Times New Roman" w:cs="Times New Roman"/>
          <w:bCs/>
          <w:szCs w:val="24"/>
          <w:lang w:val="en-GB"/>
        </w:rPr>
        <w:t>analyzed</w:t>
      </w:r>
      <w:proofErr w:type="spell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images per group) = 20; DG n = 18-20].</w:t>
      </w:r>
    </w:p>
    <w:p w:rsidR="00E20AC3" w:rsidRDefault="00E20AC3">
      <w:pPr>
        <w:rPr>
          <w:lang w:val="en-GB"/>
        </w:rPr>
      </w:pPr>
    </w:p>
    <w:p w:rsidR="00E20AC3" w:rsidRDefault="00E20AC3">
      <w:pPr>
        <w:rPr>
          <w:lang w:val="en-GB"/>
        </w:rPr>
      </w:pPr>
      <w:r>
        <w:rPr>
          <w:lang w:val="en-GB"/>
        </w:rPr>
        <w:br w:type="page"/>
      </w:r>
    </w:p>
    <w:p w:rsidR="00E20AC3" w:rsidRDefault="00E20AC3">
      <w:pPr>
        <w:rPr>
          <w:lang w:val="en-GB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5731510" cy="388683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hmetal2024_Supplementary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AC3" w:rsidRDefault="00E20AC3" w:rsidP="00E20AC3">
      <w:pPr>
        <w:spacing w:line="360" w:lineRule="auto"/>
        <w:jc w:val="both"/>
        <w:rPr>
          <w:rFonts w:ascii="Times New Roman" w:hAnsi="Times New Roman" w:cs="Times New Roman"/>
          <w:b/>
          <w:bCs/>
          <w:szCs w:val="24"/>
          <w:lang w:val="en-GB"/>
        </w:rPr>
      </w:pPr>
    </w:p>
    <w:p w:rsidR="00E20AC3" w:rsidRDefault="00E20AC3" w:rsidP="00E20AC3">
      <w:pPr>
        <w:spacing w:line="276" w:lineRule="auto"/>
        <w:jc w:val="both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E20AC3">
        <w:rPr>
          <w:rFonts w:ascii="Times New Roman" w:hAnsi="Times New Roman" w:cs="Times New Roman"/>
          <w:b/>
          <w:bCs/>
          <w:szCs w:val="24"/>
          <w:lang w:val="en-GB"/>
        </w:rPr>
        <w:t>Supplementary 2. Mesaconate is synthesized from itaconate in microglia</w:t>
      </w:r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(A)</w:t>
      </w:r>
      <w:r w:rsidRPr="00E20AC3">
        <w:rPr>
          <w:rFonts w:ascii="Times New Roman" w:hAnsi="Times New Roman" w:cs="Times New Roman"/>
          <w:b/>
          <w:bCs/>
          <w:szCs w:val="24"/>
          <w:lang w:val="en-GB"/>
        </w:rPr>
        <w:t xml:space="preserve"> </w:t>
      </w:r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Mass </w:t>
      </w:r>
      <w:proofErr w:type="spellStart"/>
      <w:r w:rsidRPr="00E20AC3">
        <w:rPr>
          <w:rFonts w:ascii="Times New Roman" w:hAnsi="Times New Roman" w:cs="Times New Roman"/>
          <w:bCs/>
          <w:szCs w:val="24"/>
          <w:lang w:val="en-GB"/>
        </w:rPr>
        <w:t>isotopomer</w:t>
      </w:r>
      <w:proofErr w:type="spell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distribution of itaconate and mesaconate in LPS stimulated primary microglia cells incubated with [U-13C] glucose tracer (right panel) or with [U-13C5] glutamine tracer (left panel) for twenty-four hours. Lower panel: Illustration of stable-isotope glucose labelling pattern in the TCA cycle with assumed reaction from itaconate to mesaconate</w:t>
      </w:r>
      <w:r w:rsidRPr="00E20AC3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Data are presented as (A) </w:t>
      </w:r>
      <w:proofErr w:type="spellStart"/>
      <w:r w:rsidRPr="00E20AC3">
        <w:rPr>
          <w:rFonts w:ascii="Times New Roman" w:eastAsia="Times New Roman" w:hAnsi="Times New Roman" w:cs="Times New Roman"/>
          <w:szCs w:val="24"/>
          <w:lang w:val="en-GB" w:eastAsia="en-GB"/>
        </w:rPr>
        <w:t>mean±SEM</w:t>
      </w:r>
      <w:proofErr w:type="spellEnd"/>
      <w:r w:rsidRPr="00E20AC3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of three independent experiments and (B) one experiment with three biological replicates.</w:t>
      </w:r>
    </w:p>
    <w:p w:rsidR="00E20AC3" w:rsidRDefault="00E20AC3">
      <w:pPr>
        <w:rPr>
          <w:rFonts w:ascii="Times New Roman" w:eastAsia="Times New Roman" w:hAnsi="Times New Roman" w:cs="Times New Roman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Cs w:val="24"/>
          <w:lang w:val="en-GB" w:eastAsia="en-GB"/>
        </w:rPr>
        <w:br w:type="page"/>
      </w:r>
    </w:p>
    <w:p w:rsidR="00E20AC3" w:rsidRDefault="00E20AC3" w:rsidP="00E20AC3">
      <w:pPr>
        <w:spacing w:line="360" w:lineRule="auto"/>
        <w:jc w:val="both"/>
        <w:rPr>
          <w:rFonts w:ascii="Times New Roman" w:eastAsia="Times New Roman" w:hAnsi="Times New Roman" w:cs="Times New Roman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noProof/>
          <w:szCs w:val="24"/>
          <w:lang w:eastAsia="de-DE"/>
        </w:rPr>
        <w:lastRenderedPageBreak/>
        <w:drawing>
          <wp:inline distT="0" distB="0" distL="0" distR="0">
            <wp:extent cx="5731510" cy="6652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hmetal2024_Supplementary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5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AC3" w:rsidRDefault="00E20AC3" w:rsidP="00E20AC3">
      <w:pPr>
        <w:spacing w:line="276" w:lineRule="auto"/>
        <w:jc w:val="both"/>
        <w:rPr>
          <w:rFonts w:ascii="Times New Roman" w:hAnsi="Times New Roman" w:cs="Times New Roman"/>
          <w:b/>
          <w:bCs/>
          <w:szCs w:val="24"/>
          <w:lang w:val="en-GB"/>
        </w:rPr>
      </w:pPr>
    </w:p>
    <w:p w:rsidR="00E20AC3" w:rsidRPr="00E20AC3" w:rsidRDefault="00E20AC3" w:rsidP="00E20AC3">
      <w:pPr>
        <w:spacing w:line="276" w:lineRule="auto"/>
        <w:jc w:val="both"/>
        <w:rPr>
          <w:lang w:val="en-GB"/>
        </w:rPr>
      </w:pPr>
      <w:r w:rsidRPr="00E20AC3">
        <w:rPr>
          <w:rFonts w:ascii="Times New Roman" w:hAnsi="Times New Roman" w:cs="Times New Roman"/>
          <w:b/>
          <w:bCs/>
          <w:szCs w:val="24"/>
          <w:lang w:val="en-GB"/>
        </w:rPr>
        <w:t xml:space="preserve">Supplementary 3. LPS moderately increases CD68 without significant increase in GFAP+ intensity in WT and </w:t>
      </w:r>
      <w:r w:rsidRPr="00E20AC3">
        <w:rPr>
          <w:rFonts w:ascii="Times New Roman" w:hAnsi="Times New Roman" w:cs="Times New Roman"/>
          <w:b/>
          <w:bCs/>
          <w:i/>
          <w:szCs w:val="24"/>
          <w:lang w:val="en-GB"/>
        </w:rPr>
        <w:t>Irg1-/-</w:t>
      </w:r>
      <w:r w:rsidRPr="00E20AC3">
        <w:rPr>
          <w:rFonts w:ascii="Times New Roman" w:hAnsi="Times New Roman" w:cs="Times New Roman"/>
          <w:b/>
          <w:bCs/>
          <w:szCs w:val="24"/>
          <w:lang w:val="en-GB"/>
        </w:rPr>
        <w:t xml:space="preserve"> mice. (A) </w:t>
      </w:r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Representative images present </w:t>
      </w:r>
      <w:proofErr w:type="spellStart"/>
      <w:r w:rsidRPr="00E20AC3">
        <w:rPr>
          <w:rFonts w:ascii="Times New Roman" w:hAnsi="Times New Roman" w:cs="Times New Roman"/>
          <w:bCs/>
          <w:szCs w:val="24"/>
          <w:lang w:val="en-GB"/>
        </w:rPr>
        <w:t>immunohistochemical</w:t>
      </w:r>
      <w:proofErr w:type="spell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staining for CD68 and DAPI in the hippocampal CA1 across all experimental groups (scale bar is 100 µm). CD-68 fluorescence intensity in the CA1 (B) and DG (C). Representative images of the </w:t>
      </w:r>
      <w:proofErr w:type="spellStart"/>
      <w:r w:rsidRPr="00E20AC3">
        <w:rPr>
          <w:rFonts w:ascii="Times New Roman" w:hAnsi="Times New Roman" w:cs="Times New Roman"/>
          <w:bCs/>
          <w:szCs w:val="24"/>
          <w:lang w:val="en-GB"/>
        </w:rPr>
        <w:t>immunohistochemical</w:t>
      </w:r>
      <w:proofErr w:type="spell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staining for GFAP an DAPI across the experimental groups (scale bar is 100 µm). GFAP fluorescence intensity in the CA1 (E) and DG (F).</w:t>
      </w:r>
      <w:r w:rsidRPr="00E20AC3">
        <w:rPr>
          <w:rFonts w:ascii="Times New Roman" w:hAnsi="Times New Roman" w:cs="Times New Roman"/>
          <w:lang w:val="en-GB"/>
        </w:rPr>
        <w:t xml:space="preserve"> </w:t>
      </w:r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Data are presented as </w:t>
      </w:r>
      <w:proofErr w:type="spellStart"/>
      <w:r w:rsidRPr="00E20AC3">
        <w:rPr>
          <w:rFonts w:ascii="Times New Roman" w:hAnsi="Times New Roman" w:cs="Times New Roman"/>
          <w:bCs/>
          <w:szCs w:val="24"/>
          <w:lang w:val="en-GB"/>
        </w:rPr>
        <w:t>mean±SEM</w:t>
      </w:r>
      <w:proofErr w:type="spell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and were </w:t>
      </w:r>
      <w:proofErr w:type="spellStart"/>
      <w:r w:rsidRPr="00E20AC3">
        <w:rPr>
          <w:rFonts w:ascii="Times New Roman" w:hAnsi="Times New Roman" w:cs="Times New Roman"/>
          <w:bCs/>
          <w:szCs w:val="24"/>
          <w:lang w:val="en-GB"/>
        </w:rPr>
        <w:t>analyzed</w:t>
      </w:r>
      <w:proofErr w:type="spell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with the repeated measures two-way ANOVA followed by Fisher's LSD test; [B-C: N (number of mice per </w:t>
      </w:r>
      <w:proofErr w:type="gramStart"/>
      <w:r w:rsidRPr="00E20AC3">
        <w:rPr>
          <w:rFonts w:ascii="Times New Roman" w:hAnsi="Times New Roman" w:cs="Times New Roman"/>
          <w:bCs/>
          <w:szCs w:val="24"/>
          <w:lang w:val="en-GB"/>
        </w:rPr>
        <w:t>group)=</w:t>
      </w:r>
      <w:proofErr w:type="gram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4-5 per group, CA1 n (number of </w:t>
      </w:r>
      <w:proofErr w:type="spellStart"/>
      <w:r w:rsidRPr="00E20AC3">
        <w:rPr>
          <w:rFonts w:ascii="Times New Roman" w:hAnsi="Times New Roman" w:cs="Times New Roman"/>
          <w:bCs/>
          <w:szCs w:val="24"/>
          <w:lang w:val="en-GB"/>
        </w:rPr>
        <w:t>analyzed</w:t>
      </w:r>
      <w:proofErr w:type="spellEnd"/>
      <w:r w:rsidRPr="00E20AC3">
        <w:rPr>
          <w:rFonts w:ascii="Times New Roman" w:hAnsi="Times New Roman" w:cs="Times New Roman"/>
          <w:bCs/>
          <w:szCs w:val="24"/>
          <w:lang w:val="en-GB"/>
        </w:rPr>
        <w:t xml:space="preserve"> imaged per group) =16–20, DG n=16–20; D-E: N=4-5 per group, CA1 n=16–20, DG n=16–19].</w:t>
      </w:r>
    </w:p>
    <w:sectPr w:rsidR="00E20AC3" w:rsidRPr="00E20AC3" w:rsidSect="00E20AC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AC3"/>
    <w:rsid w:val="00366803"/>
    <w:rsid w:val="00E2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354E"/>
  <w15:chartTrackingRefBased/>
  <w15:docId w15:val="{214E40AB-965E-4C6D-BFC1-AF9C1605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20A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20AC3"/>
    <w:rPr>
      <w:rFonts w:ascii="Times New Roman" w:eastAsia="Times New Roman" w:hAnsi="Times New Roman" w:cs="Times New Roman"/>
      <w:b/>
      <w:bCs/>
      <w:sz w:val="27"/>
      <w:szCs w:val="27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Shirin Hosseini</dc:creator>
  <cp:keywords/>
  <dc:description/>
  <cp:lastModifiedBy>Shirin Hosseini</cp:lastModifiedBy>
  <cp:revision>1</cp:revision>
  <dcterms:created xsi:type="dcterms:W3CDTF">2024-06-03T11:57:00Z</dcterms:created>
  <dcterms:modified xsi:type="dcterms:W3CDTF">2024-06-03T12:08:00Z</dcterms:modified>
</cp:coreProperties>
</file>