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66334A0E" w:rsidR="00EF4B94" w:rsidRDefault="0013534A" w:rsidP="00914C56">
      <w:pPr>
        <w:rPr>
          <w:rFonts w:eastAsia="Times New Roman"/>
          <w:b/>
          <w:sz w:val="20"/>
          <w:szCs w:val="20"/>
          <w:lang w:eastAsia="en-GB"/>
        </w:rPr>
      </w:pPr>
      <w:r>
        <w:rPr>
          <w:rFonts w:eastAsiaTheme="minorEastAsia" w:hint="eastAsia"/>
          <w:b/>
          <w:sz w:val="20"/>
          <w:szCs w:val="20"/>
          <w:lang w:eastAsia="zh-CN"/>
        </w:rPr>
        <w:t>1</w:t>
      </w:r>
      <w:r w:rsidR="00914C56" w:rsidRPr="00F3611A">
        <w:rPr>
          <w:rFonts w:eastAsia="Times New Roman"/>
          <w:b/>
          <w:sz w:val="20"/>
          <w:szCs w:val="20"/>
          <w:lang w:eastAsia="en-GB"/>
        </w:rPr>
        <w:t xml:space="preserve">STROBE-MR checklist of recommended items to address </w:t>
      </w:r>
      <w:r w:rsidR="00914C56">
        <w:rPr>
          <w:rFonts w:eastAsia="Times New Roman"/>
          <w:b/>
          <w:sz w:val="20"/>
          <w:szCs w:val="20"/>
          <w:lang w:eastAsia="en-GB"/>
        </w:rPr>
        <w:t>in reports of Mendelian randomiz</w:t>
      </w:r>
      <w:r w:rsidR="00914C56"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00914C56"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6621336C" w:rsidR="00D8098C" w:rsidRPr="0013534A" w:rsidRDefault="0013534A"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tcBorders>
              <w:top w:val="single" w:sz="6" w:space="0" w:color="7F7F7F"/>
              <w:bottom w:val="single" w:sz="6" w:space="0" w:color="7F7F7F"/>
            </w:tcBorders>
            <w:shd w:val="clear" w:color="auto" w:fill="EEEEEE"/>
          </w:tcPr>
          <w:p w14:paraId="6ABE3D60" w14:textId="77777777" w:rsidR="0013534A" w:rsidRPr="0013534A" w:rsidRDefault="0013534A" w:rsidP="0013534A">
            <w:pPr>
              <w:spacing w:beforeLines="40" w:before="96" w:afterLines="40" w:after="96" w:line="24" w:lineRule="atLeast"/>
              <w:rPr>
                <w:rFonts w:eastAsia="Times New Roman"/>
                <w:sz w:val="18"/>
                <w:szCs w:val="18"/>
                <w:lang w:val="en-US" w:eastAsia="en-GB"/>
              </w:rPr>
            </w:pPr>
            <w:r w:rsidRPr="0013534A">
              <w:rPr>
                <w:rFonts w:eastAsia="Times New Roman"/>
                <w:sz w:val="18"/>
                <w:szCs w:val="18"/>
                <w:lang w:val="en-US" w:eastAsia="en-GB"/>
              </w:rPr>
              <w:t>The effect of coagulation traits on the risk of retinal vein occlusion: a mendelian randomization study</w:t>
            </w:r>
          </w:p>
          <w:p w14:paraId="3995F16C" w14:textId="77777777" w:rsidR="0013534A" w:rsidRPr="0013534A" w:rsidRDefault="0013534A" w:rsidP="0013534A">
            <w:pPr>
              <w:spacing w:beforeLines="40" w:before="96" w:afterLines="40" w:after="96" w:line="24" w:lineRule="atLeast"/>
              <w:rPr>
                <w:rFonts w:eastAsiaTheme="minorEastAsia"/>
                <w:sz w:val="18"/>
                <w:szCs w:val="18"/>
                <w:lang w:val="en-US" w:eastAsia="zh-CN"/>
              </w:rPr>
            </w:pPr>
          </w:p>
          <w:p w14:paraId="485B80CB" w14:textId="77777777" w:rsidR="0013534A" w:rsidRPr="0013534A" w:rsidRDefault="0013534A" w:rsidP="0013534A">
            <w:pPr>
              <w:spacing w:beforeLines="40" w:before="96" w:afterLines="40" w:after="96" w:line="24" w:lineRule="atLeast"/>
              <w:rPr>
                <w:rFonts w:eastAsia="Times New Roman"/>
                <w:sz w:val="18"/>
                <w:szCs w:val="18"/>
                <w:lang w:val="en-US" w:eastAsia="en-GB"/>
              </w:rPr>
            </w:pPr>
            <w:r w:rsidRPr="0013534A">
              <w:rPr>
                <w:rFonts w:eastAsia="Times New Roman"/>
                <w:sz w:val="18"/>
                <w:szCs w:val="18"/>
                <w:lang w:val="en-US" w:eastAsia="en-GB"/>
              </w:rPr>
              <w:t>Abstract</w:t>
            </w:r>
          </w:p>
          <w:p w14:paraId="7968CD4D" w14:textId="77777777" w:rsidR="0013534A" w:rsidRPr="0013534A" w:rsidRDefault="0013534A" w:rsidP="0013534A">
            <w:pPr>
              <w:spacing w:beforeLines="40" w:before="96" w:afterLines="40" w:after="96" w:line="24" w:lineRule="atLeast"/>
              <w:rPr>
                <w:rFonts w:eastAsia="Times New Roman"/>
                <w:sz w:val="18"/>
                <w:szCs w:val="18"/>
                <w:lang w:val="en-US" w:eastAsia="en-GB"/>
              </w:rPr>
            </w:pPr>
            <w:r w:rsidRPr="0013534A">
              <w:rPr>
                <w:rFonts w:eastAsia="Times New Roman"/>
                <w:sz w:val="18"/>
                <w:szCs w:val="18"/>
                <w:lang w:val="en-US" w:eastAsia="en-GB"/>
              </w:rPr>
              <w:t>Introduction Retinal vein occlusion (RVO) is the leading cause of vision loss due to an obstruction in the retinal venous system. While RVO is often linked to thrombotic tendencies and coagulation abnormalities, the exact role of coagulation traits in its development is not fully understood. This study aims to investigate the potential causal relationship between coagulation traits and the risk of RVO by analyzing publicly available genome-wide association study (GWAS) summary statistics.</w:t>
            </w:r>
          </w:p>
          <w:p w14:paraId="4498EFD8" w14:textId="77777777" w:rsidR="0013534A" w:rsidRPr="0013534A" w:rsidRDefault="0013534A" w:rsidP="0013534A">
            <w:pPr>
              <w:spacing w:beforeLines="40" w:before="96" w:afterLines="40" w:after="96" w:line="24" w:lineRule="atLeast"/>
              <w:rPr>
                <w:rFonts w:eastAsia="Times New Roman"/>
                <w:sz w:val="18"/>
                <w:szCs w:val="18"/>
                <w:lang w:val="en-US" w:eastAsia="en-GB"/>
              </w:rPr>
            </w:pPr>
            <w:r w:rsidRPr="0013534A">
              <w:rPr>
                <w:rFonts w:eastAsia="Times New Roman"/>
                <w:sz w:val="18"/>
                <w:szCs w:val="18"/>
                <w:lang w:val="en-US" w:eastAsia="en-GB"/>
              </w:rPr>
              <w:t xml:space="preserve">Materials and methods A two-sample Mendelian randomization (MR) analysis framework was employed to investigate the causal relationship between coagulation traits and the risk of RVO. Stringent quality control measures were applied to select appropriate instrumental variables strongly linked to exposure, such as coagulation factor III (FIII), coagulation factor V (FV), coagulation factor VIII (FVIII), coagulation factor XI (FXI), coagulation factor VII (FVII) and coagulation factor X (FX), as well as plasmin, platelet count, platelet crit (PCT), mean platelet volume (MPV), and platelet distribution width (PDW). The study utilized the </w:t>
            </w:r>
            <w:proofErr w:type="spellStart"/>
            <w:r w:rsidRPr="0013534A">
              <w:rPr>
                <w:rFonts w:eastAsia="Times New Roman"/>
                <w:sz w:val="18"/>
                <w:szCs w:val="18"/>
                <w:lang w:val="en-US" w:eastAsia="en-GB"/>
              </w:rPr>
              <w:t>FinnGen</w:t>
            </w:r>
            <w:proofErr w:type="spellEnd"/>
            <w:r w:rsidRPr="0013534A">
              <w:rPr>
                <w:rFonts w:eastAsia="Times New Roman"/>
                <w:sz w:val="18"/>
                <w:szCs w:val="18"/>
                <w:lang w:val="en-US" w:eastAsia="en-GB"/>
              </w:rPr>
              <w:t xml:space="preserve"> project RVO GWAS summary statistics cohort, consisting of 372 RVO cases and 182,573 controls. The analysis focused on 11 coagulation traits.</w:t>
            </w:r>
          </w:p>
          <w:p w14:paraId="3A360876" w14:textId="77777777" w:rsidR="0013534A" w:rsidRPr="0013534A" w:rsidRDefault="0013534A" w:rsidP="0013534A">
            <w:pPr>
              <w:spacing w:beforeLines="40" w:before="96" w:afterLines="40" w:after="96" w:line="24" w:lineRule="atLeast"/>
              <w:rPr>
                <w:rFonts w:eastAsia="Times New Roman"/>
                <w:sz w:val="18"/>
                <w:szCs w:val="18"/>
                <w:lang w:val="en-US" w:eastAsia="en-GB"/>
              </w:rPr>
            </w:pPr>
            <w:r w:rsidRPr="0013534A">
              <w:rPr>
                <w:rFonts w:eastAsia="Times New Roman"/>
                <w:sz w:val="18"/>
                <w:szCs w:val="18"/>
                <w:lang w:val="en-US" w:eastAsia="en-GB"/>
              </w:rPr>
              <w:t>Results The research suggests that genetically predicted plasma levels of FIII, FVII, MPV, and PCT may be potentially causative for reducing the risk of RVO, and that levels of FVIII may be potentially causative for increasing the risk of RVO.</w:t>
            </w:r>
          </w:p>
          <w:p w14:paraId="2F6D1FAF" w14:textId="45EF6C49" w:rsidR="00D8098C" w:rsidRPr="0013534A" w:rsidRDefault="0013534A" w:rsidP="0013534A">
            <w:pPr>
              <w:spacing w:beforeLines="40" w:before="96" w:afterLines="40" w:after="96" w:line="24" w:lineRule="atLeast"/>
              <w:rPr>
                <w:rFonts w:eastAsia="Times New Roman"/>
                <w:sz w:val="18"/>
                <w:szCs w:val="18"/>
                <w:lang w:val="en-US" w:eastAsia="en-GB"/>
              </w:rPr>
            </w:pPr>
            <w:r w:rsidRPr="0013534A">
              <w:rPr>
                <w:rFonts w:eastAsia="Times New Roman"/>
                <w:sz w:val="18"/>
                <w:szCs w:val="18"/>
                <w:lang w:val="en-US" w:eastAsia="en-GB"/>
              </w:rPr>
              <w:t xml:space="preserve">Conclusion Our MR analysis, utilizing GWAS data from a comprehensive population-based study, revealed a causal association between plasma </w:t>
            </w:r>
            <w:r w:rsidRPr="0013534A">
              <w:rPr>
                <w:rFonts w:eastAsia="Times New Roman"/>
                <w:sz w:val="18"/>
                <w:szCs w:val="18"/>
                <w:lang w:val="en-US" w:eastAsia="en-GB"/>
              </w:rPr>
              <w:lastRenderedPageBreak/>
              <w:t>levels of FFIII, FVII, FVIII, MPV, and PCT with the risk of RVO.</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3C9563E7" w:rsidR="00D8098C" w:rsidRPr="0013534A" w:rsidRDefault="00D8098C" w:rsidP="00426603">
            <w:pPr>
              <w:spacing w:beforeLines="40" w:before="96" w:afterLines="40" w:after="96" w:line="24" w:lineRule="atLeast"/>
              <w:rPr>
                <w:rFonts w:eastAsiaTheme="minorEastAsia"/>
                <w:sz w:val="18"/>
                <w:szCs w:val="18"/>
                <w:lang w:val="en-GB" w:eastAsia="zh-CN"/>
              </w:rPr>
            </w:pPr>
          </w:p>
        </w:tc>
        <w:tc>
          <w:tcPr>
            <w:tcW w:w="4320" w:type="dxa"/>
            <w:tcBorders>
              <w:top w:val="single" w:sz="6" w:space="0" w:color="7F7F7F"/>
            </w:tcBorders>
          </w:tcPr>
          <w:p w14:paraId="7A6DC6E9" w14:textId="21A4122C" w:rsidR="00D8098C" w:rsidRDefault="00D8098C" w:rsidP="0013534A">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2E59E02D" w:rsidR="00D8098C" w:rsidRPr="00200208" w:rsidRDefault="0020020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3</w:t>
            </w:r>
          </w:p>
        </w:tc>
        <w:tc>
          <w:tcPr>
            <w:tcW w:w="4320" w:type="dxa"/>
            <w:shd w:val="clear" w:color="auto" w:fill="EEEEEE"/>
          </w:tcPr>
          <w:p w14:paraId="5D990A22" w14:textId="65B324A0" w:rsidR="00D8098C" w:rsidRPr="00200208" w:rsidRDefault="00200208" w:rsidP="00426603">
            <w:pPr>
              <w:spacing w:beforeLines="40" w:before="96" w:afterLines="40" w:after="96" w:line="24" w:lineRule="atLeast"/>
              <w:rPr>
                <w:rFonts w:eastAsia="Times New Roman"/>
                <w:sz w:val="18"/>
                <w:szCs w:val="18"/>
                <w:lang w:eastAsia="en-GB"/>
              </w:rPr>
            </w:pPr>
            <w:r w:rsidRPr="00200208">
              <w:rPr>
                <w:rFonts w:eastAsia="Times New Roman"/>
                <w:sz w:val="18"/>
                <w:szCs w:val="18"/>
                <w:lang w:eastAsia="en-GB"/>
              </w:rPr>
              <w:t xml:space="preserve">The exact cause of RVO is not fully understood, but research suggests that individuals with systemic arteriosclerotic vascular disease are at an increased risk of developing RVO7–12. Factors related to Virchow's triad, including vessel damage, stasis, and hypercoagulability, are commonly associated with RVO. Some studies indicate that </w:t>
            </w:r>
            <w:proofErr w:type="spellStart"/>
            <w:r w:rsidRPr="00200208">
              <w:rPr>
                <w:rFonts w:eastAsia="Times New Roman"/>
                <w:sz w:val="18"/>
                <w:szCs w:val="18"/>
                <w:lang w:eastAsia="en-GB"/>
              </w:rPr>
              <w:t>thrombophilic</w:t>
            </w:r>
            <w:proofErr w:type="spellEnd"/>
            <w:r w:rsidRPr="00200208">
              <w:rPr>
                <w:rFonts w:eastAsia="Times New Roman"/>
                <w:sz w:val="18"/>
                <w:szCs w:val="18"/>
                <w:lang w:eastAsia="en-GB"/>
              </w:rPr>
              <w:t xml:space="preserve"> factors may play a more significant role in RVO development in younger patients13–15, while others have conflicting opinions on the relevance of coagulation disorders as risk factors for RVO16,17. Various established risk factors, such as advanced age, hypertension, and hyperlipidemia, have been linked to the occurrence of RVO18–26. However, conducting observational studies like case-control or prospective longitudinal studies can be challenging due to practical limitations, as the presence of these risk factors can influence the assessment of RVO risk based on coagulation characteristics. Further research is needed to better understand the underlying mechanisms and risk factors associated with RVO to improve prevention, diagnosis, and treatment strategies for this vision-threatening condition.</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28B4DC05" w:rsidR="00D8098C" w:rsidRPr="00200208" w:rsidRDefault="0020020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4</w:t>
            </w:r>
          </w:p>
        </w:tc>
        <w:tc>
          <w:tcPr>
            <w:tcW w:w="4320" w:type="dxa"/>
            <w:tcBorders>
              <w:bottom w:val="single" w:sz="6" w:space="0" w:color="7F7F7F"/>
            </w:tcBorders>
          </w:tcPr>
          <w:p w14:paraId="530D6778" w14:textId="77777777" w:rsidR="00200208" w:rsidRPr="00200208" w:rsidRDefault="00200208" w:rsidP="00200208">
            <w:pPr>
              <w:spacing w:beforeLines="40" w:before="96" w:afterLines="40" w:after="96" w:line="24" w:lineRule="atLeast"/>
              <w:rPr>
                <w:rFonts w:eastAsia="Times New Roman"/>
                <w:sz w:val="18"/>
                <w:szCs w:val="18"/>
                <w:lang w:eastAsia="en-GB"/>
              </w:rPr>
            </w:pPr>
            <w:r w:rsidRPr="00200208">
              <w:rPr>
                <w:rFonts w:eastAsia="Times New Roman"/>
                <w:sz w:val="18"/>
                <w:szCs w:val="18"/>
                <w:lang w:eastAsia="en-GB"/>
              </w:rPr>
              <w:t xml:space="preserve">MR studies have become more common in research and use genetic variants linked to a risk factor as instrumental variables to evaluate causal effects or identify potential false associations that may result from reverse causation in disease outcomes observed in traditional observational studies27,28. While observational studies have explored the relationship between coagulation profiles and RVO, establishing a definitive causal link between these profiles and the condition remains challenging. The presence of confounding factors in traditional observational studies presents a significant obstacle in accurately determining the specific causal role of various coagulation characteristics in the risk of developing RVO. By utilizing MR studies, researchers may be able to overcome some of the limitations associated with observational studies and provide more robust </w:t>
            </w:r>
            <w:r w:rsidRPr="00200208">
              <w:rPr>
                <w:rFonts w:eastAsia="Times New Roman"/>
                <w:sz w:val="18"/>
                <w:szCs w:val="18"/>
                <w:lang w:eastAsia="en-GB"/>
              </w:rPr>
              <w:lastRenderedPageBreak/>
              <w:t>evidence regarding the relationship between coagulation profiles and RVO. This approach can help clarify the causal pathways involved in the development of RVO and potentially inform more effective preventive and treatment strategies for this vision-threatening condition.</w:t>
            </w:r>
          </w:p>
          <w:p w14:paraId="11250836" w14:textId="44473EEF" w:rsidR="00D8098C" w:rsidRPr="00200208" w:rsidRDefault="00200208" w:rsidP="00200208">
            <w:pPr>
              <w:spacing w:beforeLines="40" w:before="96" w:afterLines="40" w:after="96" w:line="24" w:lineRule="atLeast"/>
              <w:rPr>
                <w:rFonts w:eastAsia="Times New Roman"/>
                <w:sz w:val="18"/>
                <w:szCs w:val="18"/>
                <w:lang w:eastAsia="en-GB"/>
              </w:rPr>
            </w:pPr>
            <w:r w:rsidRPr="00200208">
              <w:rPr>
                <w:rFonts w:eastAsia="Times New Roman"/>
                <w:sz w:val="18"/>
                <w:szCs w:val="18"/>
                <w:lang w:eastAsia="en-GB"/>
              </w:rPr>
              <w:t>MR can complement observational studies by applying genetic data to examine causal relationships between putative risk factors and disease29. To the best of our knowledge, MR studies on the relationship between coagulation traits and RVO have not been performed to date. In this study, we performed MR analyses to assess the relationship between genetically predicted coagulation traits and RVO risk.</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2DB47D1B" w:rsidR="00D8098C" w:rsidRPr="00200208" w:rsidRDefault="00D8098C" w:rsidP="00426603">
            <w:pPr>
              <w:spacing w:beforeLines="40" w:before="96" w:afterLines="40" w:after="96" w:line="24" w:lineRule="atLeast"/>
              <w:rPr>
                <w:rFonts w:eastAsiaTheme="minorEastAsia"/>
                <w:sz w:val="18"/>
                <w:szCs w:val="18"/>
                <w:lang w:val="en-GB" w:eastAsia="zh-CN"/>
              </w:rPr>
            </w:pPr>
          </w:p>
        </w:tc>
        <w:tc>
          <w:tcPr>
            <w:tcW w:w="4320" w:type="dxa"/>
          </w:tcPr>
          <w:p w14:paraId="23CE0AC6" w14:textId="0F6841E4" w:rsidR="00D8098C" w:rsidRPr="00200208" w:rsidRDefault="00D8098C" w:rsidP="00426603">
            <w:pPr>
              <w:spacing w:beforeLines="40" w:before="96" w:afterLines="40" w:after="96" w:line="24" w:lineRule="atLeast"/>
              <w:rPr>
                <w:rFonts w:eastAsia="Times New Roman"/>
                <w:sz w:val="18"/>
                <w:szCs w:val="18"/>
                <w:lang w:val="en-US" w:eastAsia="en-GB"/>
              </w:rPr>
            </w:pPr>
          </w:p>
        </w:tc>
      </w:tr>
      <w:tr w:rsidR="00D8098C" w:rsidRPr="00B853C6" w14:paraId="47D5AE21" w14:textId="3CA8D4AF" w:rsidTr="003D447D">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2501597D" w:rsidR="00D8098C" w:rsidRPr="004105DB" w:rsidRDefault="004105DB" w:rsidP="00426603">
            <w:pPr>
              <w:spacing w:beforeLines="40" w:before="96" w:afterLines="40" w:after="96" w:line="24" w:lineRule="atLeast"/>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shd w:val="clear" w:color="auto" w:fill="EEEEEE"/>
          </w:tcPr>
          <w:p w14:paraId="33F4171D" w14:textId="35ED0788" w:rsidR="00D8098C" w:rsidRPr="004105DB" w:rsidRDefault="004105DB" w:rsidP="00426603">
            <w:pPr>
              <w:spacing w:beforeLines="40" w:before="96" w:afterLines="40" w:after="96" w:line="24" w:lineRule="atLeast"/>
              <w:rPr>
                <w:rFonts w:eastAsia="Times New Roman"/>
                <w:sz w:val="18"/>
                <w:szCs w:val="18"/>
                <w:shd w:val="clear" w:color="auto" w:fill="FFFFFF"/>
                <w:lang w:val="en-US" w:eastAsia="en-GB"/>
              </w:rPr>
            </w:pPr>
            <w:r w:rsidRPr="004105DB">
              <w:rPr>
                <w:rFonts w:eastAsia="Times New Roman"/>
                <w:sz w:val="18"/>
                <w:szCs w:val="18"/>
                <w:shd w:val="clear" w:color="auto" w:fill="FFFFFF"/>
                <w:lang w:val="en-US" w:eastAsia="en-GB"/>
              </w:rPr>
              <w:t xml:space="preserve">The study design, as illustrated in Figure 1, involved the identification of seven coagulation factors and four platelet parameters using publicly available GWAS data. Subsequently, two-sample MR analyses were performed using summary-level GWAS data from independent </w:t>
            </w:r>
            <w:proofErr w:type="spellStart"/>
            <w:r w:rsidRPr="004105DB">
              <w:rPr>
                <w:rFonts w:eastAsia="Times New Roman"/>
                <w:sz w:val="18"/>
                <w:szCs w:val="18"/>
                <w:shd w:val="clear" w:color="auto" w:fill="FFFFFF"/>
                <w:lang w:val="en-US" w:eastAsia="en-GB"/>
              </w:rPr>
              <w:t>FinnGen</w:t>
            </w:r>
            <w:proofErr w:type="spellEnd"/>
            <w:r w:rsidRPr="004105DB">
              <w:rPr>
                <w:rFonts w:eastAsia="Times New Roman"/>
                <w:sz w:val="18"/>
                <w:szCs w:val="18"/>
                <w:shd w:val="clear" w:color="auto" w:fill="FFFFFF"/>
                <w:lang w:val="en-US" w:eastAsia="en-GB"/>
              </w:rPr>
              <w:t xml:space="preserve"> cohorts to assess the causal impact of coagulation traits on the susceptibility to RVO.</w:t>
            </w:r>
          </w:p>
        </w:tc>
      </w:tr>
      <w:tr w:rsidR="00D8098C" w:rsidRPr="00B853C6" w14:paraId="376A6F82" w14:textId="43693FDC" w:rsidTr="003D447D">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1040367A" w:rsidR="00D8098C" w:rsidRPr="004105DB" w:rsidRDefault="004105DB"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6-7</w:t>
            </w:r>
          </w:p>
        </w:tc>
        <w:tc>
          <w:tcPr>
            <w:tcW w:w="4320" w:type="dxa"/>
          </w:tcPr>
          <w:p w14:paraId="58D1FC0A" w14:textId="77777777" w:rsidR="004105DB" w:rsidRPr="004105DB" w:rsidRDefault="004105DB" w:rsidP="004105DB">
            <w:pPr>
              <w:spacing w:beforeLines="40" w:before="96" w:afterLines="40" w:after="96" w:line="24" w:lineRule="atLeast"/>
              <w:textAlignment w:val="baseline"/>
              <w:rPr>
                <w:rFonts w:eastAsia="Times New Roman"/>
                <w:sz w:val="18"/>
                <w:szCs w:val="18"/>
                <w:shd w:val="clear" w:color="auto" w:fill="FFFFFF"/>
                <w:lang w:val="en-US" w:eastAsia="en-GB"/>
              </w:rPr>
            </w:pPr>
            <w:r w:rsidRPr="004105DB">
              <w:rPr>
                <w:rFonts w:eastAsia="Times New Roman"/>
                <w:sz w:val="18"/>
                <w:szCs w:val="18"/>
                <w:shd w:val="clear" w:color="auto" w:fill="FFFFFF"/>
                <w:lang w:val="en-US" w:eastAsia="en-GB"/>
              </w:rPr>
              <w:t xml:space="preserve">To explore the causal relationships between coagulation factors, platelet parameters, and RVO, we utilized instrumental variables. By accessing the MR Base database (http://www.mrbase.org/)30, which hosts comprehensive summary statistics from multiple GWASs, we searched for GWASs of coagulation factors in European populations to identify genetic variants associated with these factors. From this list, we identified FIII, FV, FVII, FXI, FVIII, FX, plasmin, platelet count, PCT, MPV, and PDW as significant genome-wide single nucleotide polymorphisms (SNPs)31–36. (Table S1). To select eligible instrumental variables for each coagulation indicator, we implemented stringent quality control procedures. To avoid bias resulting from strong linkage disequilibrium (LD), we chose SNPs with genome-wide significance (P </w:t>
            </w:r>
            <w:r w:rsidRPr="004105DB">
              <w:rPr>
                <w:rFonts w:eastAsia="Times New Roman"/>
                <w:sz w:val="18"/>
                <w:szCs w:val="18"/>
                <w:shd w:val="clear" w:color="auto" w:fill="FFFFFF"/>
                <w:lang w:val="en-US" w:eastAsia="en-GB"/>
              </w:rPr>
              <w:lastRenderedPageBreak/>
              <w:t>&lt; 5e - 6) associated with specific coagulation metrics as candidate instrumental variables, with an r2 threshold of 0.001 and a window size of 10 Mb. Furthermore, F-statistics were computed to assess the robustness of the instrumental variables. Results indicated that F-statistics exceeding 10 suggest a minimal risk of weak instrumental variable bias37,</w:t>
            </w:r>
            <w:proofErr w:type="gramStart"/>
            <w:r w:rsidRPr="004105DB">
              <w:rPr>
                <w:rFonts w:eastAsia="Times New Roman"/>
                <w:sz w:val="18"/>
                <w:szCs w:val="18"/>
                <w:shd w:val="clear" w:color="auto" w:fill="FFFFFF"/>
                <w:lang w:val="en-US" w:eastAsia="en-GB"/>
              </w:rPr>
              <w:t>38.(</w:t>
            </w:r>
            <w:proofErr w:type="gramEnd"/>
            <w:r w:rsidRPr="004105DB">
              <w:rPr>
                <w:rFonts w:eastAsia="Times New Roman"/>
                <w:sz w:val="18"/>
                <w:szCs w:val="18"/>
                <w:shd w:val="clear" w:color="auto" w:fill="FFFFFF"/>
                <w:lang w:val="en-US" w:eastAsia="en-GB"/>
              </w:rPr>
              <w:t>Table S1).</w:t>
            </w:r>
          </w:p>
          <w:p w14:paraId="37C3B4C3" w14:textId="0ABEE52D" w:rsidR="00D8098C" w:rsidRPr="004105DB" w:rsidRDefault="004105DB" w:rsidP="004105DB">
            <w:pPr>
              <w:spacing w:beforeLines="40" w:before="96" w:afterLines="40" w:after="96" w:line="24" w:lineRule="atLeast"/>
              <w:textAlignment w:val="baseline"/>
              <w:rPr>
                <w:rFonts w:eastAsia="Times New Roman"/>
                <w:sz w:val="18"/>
                <w:szCs w:val="18"/>
                <w:shd w:val="clear" w:color="auto" w:fill="FFFFFF"/>
                <w:lang w:val="en-US" w:eastAsia="en-GB"/>
              </w:rPr>
            </w:pPr>
            <w:r w:rsidRPr="004105DB">
              <w:rPr>
                <w:rFonts w:eastAsia="Times New Roman"/>
                <w:sz w:val="18"/>
                <w:szCs w:val="18"/>
                <w:shd w:val="clear" w:color="auto" w:fill="FFFFFF"/>
                <w:lang w:val="en-US" w:eastAsia="en-GB"/>
              </w:rPr>
              <w:t xml:space="preserve">Summary-level data pertaining to RVO were extracted from the </w:t>
            </w:r>
            <w:proofErr w:type="spellStart"/>
            <w:r w:rsidRPr="004105DB">
              <w:rPr>
                <w:rFonts w:eastAsia="Times New Roman"/>
                <w:sz w:val="18"/>
                <w:szCs w:val="18"/>
                <w:shd w:val="clear" w:color="auto" w:fill="FFFFFF"/>
                <w:lang w:val="en-US" w:eastAsia="en-GB"/>
              </w:rPr>
              <w:t>FinnGen</w:t>
            </w:r>
            <w:proofErr w:type="spellEnd"/>
            <w:r w:rsidRPr="004105DB">
              <w:rPr>
                <w:rFonts w:eastAsia="Times New Roman"/>
                <w:sz w:val="18"/>
                <w:szCs w:val="18"/>
                <w:shd w:val="clear" w:color="auto" w:fill="FFFFFF"/>
                <w:lang w:val="en-US" w:eastAsia="en-GB"/>
              </w:rPr>
              <w:t xml:space="preserve"> study, consisting of 372 RVO cases and 182,573 controls39.</w:t>
            </w:r>
          </w:p>
        </w:tc>
      </w:tr>
      <w:tr w:rsidR="00D8098C" w:rsidRPr="00B853C6" w14:paraId="04B065C7" w14:textId="72F11B68" w:rsidTr="003D447D">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0C4625B7"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6-7</w:t>
            </w:r>
          </w:p>
        </w:tc>
        <w:tc>
          <w:tcPr>
            <w:tcW w:w="4320" w:type="dxa"/>
            <w:shd w:val="clear" w:color="auto" w:fill="EEEEEE"/>
          </w:tcPr>
          <w:p w14:paraId="26B556E6" w14:textId="5CF54AB6" w:rsidR="00D8098C" w:rsidRDefault="004105DB" w:rsidP="00426603">
            <w:pPr>
              <w:spacing w:beforeLines="40" w:before="96" w:afterLines="40" w:after="96" w:line="24" w:lineRule="atLeast"/>
              <w:rPr>
                <w:rFonts w:eastAsia="Times New Roman"/>
                <w:sz w:val="18"/>
                <w:szCs w:val="18"/>
                <w:lang w:val="en-GB" w:eastAsia="en-GB"/>
              </w:rPr>
            </w:pPr>
            <w:r w:rsidRPr="004105DB">
              <w:rPr>
                <w:rFonts w:eastAsia="Times New Roman"/>
                <w:sz w:val="18"/>
                <w:szCs w:val="18"/>
                <w:lang w:val="en-GB" w:eastAsia="en-GB"/>
              </w:rPr>
              <w:t>To select eligible instrumental variables for each coagulation indicator, we implemented stringent quality control procedures. To avoid bias resulting from strong linkage disequilibrium (LD), we chose SNPs with genome-wide significance (P &lt; 5e - 6) associated with specific coagulation metrics as candidate instrumental variables, with an r2 threshold of 0.001 and a window size of 10 Mb. Furthermore, F-statistics were computed to assess the robustness of the instrumental variables. Results indicated that F-statistics exceeding 10 suggest a minimal risk of weak instrumental variable bias37,</w:t>
            </w:r>
            <w:proofErr w:type="gramStart"/>
            <w:r w:rsidRPr="004105DB">
              <w:rPr>
                <w:rFonts w:eastAsia="Times New Roman"/>
                <w:sz w:val="18"/>
                <w:szCs w:val="18"/>
                <w:lang w:val="en-GB" w:eastAsia="en-GB"/>
              </w:rPr>
              <w:t>38.(</w:t>
            </w:r>
            <w:proofErr w:type="gramEnd"/>
            <w:r w:rsidRPr="004105DB">
              <w:rPr>
                <w:rFonts w:eastAsia="Times New Roman"/>
                <w:sz w:val="18"/>
                <w:szCs w:val="18"/>
                <w:lang w:val="en-GB" w:eastAsia="en-GB"/>
              </w:rPr>
              <w:t>Table S1).</w:t>
            </w:r>
          </w:p>
        </w:tc>
      </w:tr>
      <w:tr w:rsidR="00D8098C" w:rsidRPr="00B853C6" w14:paraId="215DDE8E" w14:textId="5C8C984B" w:rsidTr="003D447D">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79638BD3" w:rsidR="00D8098C" w:rsidRPr="004105DB" w:rsidRDefault="004105DB"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6-7</w:t>
            </w:r>
          </w:p>
        </w:tc>
        <w:tc>
          <w:tcPr>
            <w:tcW w:w="4320" w:type="dxa"/>
          </w:tcPr>
          <w:p w14:paraId="18BB4B57" w14:textId="7732EED2" w:rsidR="00D8098C" w:rsidRDefault="004105DB"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4105DB">
              <w:rPr>
                <w:rFonts w:eastAsia="Times New Roman"/>
                <w:sz w:val="18"/>
                <w:szCs w:val="18"/>
                <w:shd w:val="clear" w:color="auto" w:fill="FFFFFF"/>
                <w:lang w:val="en-GB" w:eastAsia="en-GB"/>
              </w:rPr>
              <w:t xml:space="preserve">To explore the causal relationships between coagulation factors, platelet parameters, and RVO, we utilized instrumental variables. By accessing the MR Base database (http://www.mrbase.org/)30, which hosts comprehensive summary statistics from multiple GWASs, we searched for GWASs of coagulation factors in European populations to identify genetic variants associated with these factors. From this list, we identified FIII, FV, FVII, FXI, FVIII, FX, plasmin, platelet count, PCT, MPV, and PDW as significant genome-wide single nucleotide polymorphisms (SNPs)31–36. (Table S1). To select eligible instrumental variables for each coagulation indicator, we implemented stringent quality control procedures. To avoid bias resulting from strong linkage disequilibrium (LD), we chose SNPs with genome-wide significance (P &lt; 5e - 6) associated with specific coagulation metrics as candidate instrumental variables, with an r2 threshold of 0.001 and a window size of 10 Mb. Furthermore, F-statistics were computed to assess the robustness of the instrumental </w:t>
            </w:r>
            <w:r w:rsidRPr="004105DB">
              <w:rPr>
                <w:rFonts w:eastAsia="Times New Roman"/>
                <w:sz w:val="18"/>
                <w:szCs w:val="18"/>
                <w:shd w:val="clear" w:color="auto" w:fill="FFFFFF"/>
                <w:lang w:val="en-GB" w:eastAsia="en-GB"/>
              </w:rPr>
              <w:lastRenderedPageBreak/>
              <w:t>variables. Results indicated that F-statistics exceeding 10 suggest a minimal risk of weak instrumental variable bias37,</w:t>
            </w:r>
            <w:proofErr w:type="gramStart"/>
            <w:r w:rsidRPr="004105DB">
              <w:rPr>
                <w:rFonts w:eastAsia="Times New Roman"/>
                <w:sz w:val="18"/>
                <w:szCs w:val="18"/>
                <w:shd w:val="clear" w:color="auto" w:fill="FFFFFF"/>
                <w:lang w:val="en-GB" w:eastAsia="en-GB"/>
              </w:rPr>
              <w:t>38.(</w:t>
            </w:r>
            <w:proofErr w:type="gramEnd"/>
            <w:r w:rsidRPr="004105DB">
              <w:rPr>
                <w:rFonts w:eastAsia="Times New Roman"/>
                <w:sz w:val="18"/>
                <w:szCs w:val="18"/>
                <w:shd w:val="clear" w:color="auto" w:fill="FFFFFF"/>
                <w:lang w:val="en-GB" w:eastAsia="en-GB"/>
              </w:rPr>
              <w:t>Table S1).</w:t>
            </w:r>
          </w:p>
        </w:tc>
      </w:tr>
      <w:tr w:rsidR="00D8098C" w:rsidRPr="00B853C6" w14:paraId="69A6C8B1" w14:textId="39D94CE4" w:rsidTr="003D447D">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3795A8E0" w:rsidR="00D8098C" w:rsidRPr="004105DB" w:rsidRDefault="004105DB"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shd w:val="clear" w:color="auto" w:fill="EEEEEE"/>
          </w:tcPr>
          <w:p w14:paraId="6067A95B" w14:textId="3DBDDB5F" w:rsidR="00D8098C" w:rsidRDefault="004105DB"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4105DB">
              <w:rPr>
                <w:rFonts w:eastAsia="Times New Roman"/>
                <w:sz w:val="18"/>
                <w:szCs w:val="18"/>
                <w:shd w:val="clear" w:color="auto" w:fill="FFFFFF"/>
                <w:lang w:val="en-GB" w:eastAsia="en-GB"/>
              </w:rPr>
              <w:t>In this study, GWAS summary-level data from the IEU Open GWAS Project database were utilized to explore the causal relationships between coagulation traits and the risk of RVO. The two-sample MR approach was employed to estimate these associations based on summary-level data. Ethical approval was obtained for all original studies used in the MR analysis, which was conducted using publicly available GWAS summary statistics.</w:t>
            </w:r>
          </w:p>
        </w:tc>
      </w:tr>
      <w:tr w:rsidR="00D8098C" w:rsidRPr="00B853C6" w14:paraId="23EA53EC" w14:textId="1D3E4E77" w:rsidTr="003D447D">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7FA63702" w:rsidR="00D8098C" w:rsidRPr="00200208" w:rsidRDefault="0020020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3-4</w:t>
            </w:r>
          </w:p>
        </w:tc>
        <w:tc>
          <w:tcPr>
            <w:tcW w:w="4320" w:type="dxa"/>
          </w:tcPr>
          <w:p w14:paraId="7A54DE1B" w14:textId="29EE919D" w:rsidR="00D8098C" w:rsidRDefault="00200208" w:rsidP="00426603">
            <w:pPr>
              <w:spacing w:beforeLines="40" w:before="96" w:afterLines="40" w:after="96" w:line="24" w:lineRule="atLeast"/>
              <w:rPr>
                <w:rFonts w:eastAsia="Times New Roman"/>
                <w:sz w:val="18"/>
                <w:szCs w:val="18"/>
                <w:lang w:val="en-GB" w:eastAsia="en-GB"/>
              </w:rPr>
            </w:pPr>
            <w:r w:rsidRPr="00200208">
              <w:rPr>
                <w:rFonts w:eastAsia="Times New Roman"/>
                <w:sz w:val="18"/>
                <w:szCs w:val="18"/>
                <w:lang w:val="en-GB" w:eastAsia="en-GB"/>
              </w:rPr>
              <w:t>Three key assumptions are essential for conducting an MR analysis effectively. Firstly, genetic variants must be strongly correlated with the variables to serve as instrumental variables. Secondly, these genetic variants should be independent of any confounders between RVO and the variables being studied. Lastly, the genetic variants should impact the risk of RVO solely through the variables being investigated.</w:t>
            </w:r>
          </w:p>
        </w:tc>
      </w:tr>
      <w:tr w:rsidR="00D8098C" w:rsidRPr="00B853C6" w14:paraId="6209F8C8" w14:textId="78A53B40" w:rsidTr="003D447D">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3D447D">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16574E65"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7-8</w:t>
            </w:r>
          </w:p>
        </w:tc>
        <w:tc>
          <w:tcPr>
            <w:tcW w:w="4320" w:type="dxa"/>
          </w:tcPr>
          <w:p w14:paraId="76159846" w14:textId="09D609DA" w:rsidR="00D8098C" w:rsidRPr="004105DB" w:rsidRDefault="004105DB" w:rsidP="00426603">
            <w:pPr>
              <w:spacing w:beforeLines="40" w:before="96" w:afterLines="40" w:after="96" w:line="24" w:lineRule="atLeast"/>
              <w:rPr>
                <w:rFonts w:eastAsia="Times New Roman"/>
                <w:sz w:val="18"/>
                <w:szCs w:val="18"/>
                <w:lang w:eastAsia="en-GB"/>
              </w:rPr>
            </w:pPr>
            <w:r w:rsidRPr="004105DB">
              <w:rPr>
                <w:rFonts w:eastAsia="Times New Roman"/>
                <w:sz w:val="18"/>
                <w:szCs w:val="18"/>
                <w:lang w:eastAsia="en-GB"/>
              </w:rPr>
              <w:t xml:space="preserve">We conducted a systematic compilation of genome-wide significant SNPs associated with seven coagulation factors (FIII, FV, FVIII, FXI, FVII, FX, and plasmin) and four platelet parameters (platelet count, PCT, MPV, and PDW) from various GWAS results via extensive literature review to investigate their potential causal effects on the risk of RVO31–36 (Table S1). These indicators were categorized into five distinct groups: platelet parameters (platelet count, PCT, MPV, and PDW), coagulation intrinsic pathway (FXI, FVIII), extrinsic pathway (FVII, FIII), common pathways (FV, FX), and fibrin clot dissociation (plasmin). To assess the strength of each instrumental variable, we calculated F-statistics for each instrument-exposure association. In our study, the F-statistics notably exceeded 10, indicating robustness and strength of these SNPs as instrumental variables (Table S1). This rigorous selection process </w:t>
            </w:r>
            <w:r w:rsidRPr="004105DB">
              <w:rPr>
                <w:rFonts w:eastAsia="Times New Roman"/>
                <w:sz w:val="18"/>
                <w:szCs w:val="18"/>
                <w:lang w:eastAsia="en-GB"/>
              </w:rPr>
              <w:lastRenderedPageBreak/>
              <w:t>ensured that the instrumental variables used in our analysis were reliable and suitable for assessing causal relationships between coagulation factors, platelet parameters, and the risk of RVO,</w:t>
            </w:r>
          </w:p>
        </w:tc>
      </w:tr>
      <w:tr w:rsidR="00D8098C" w:rsidRPr="00B853C6" w14:paraId="642A4D4B" w14:textId="4880F3BA" w:rsidTr="003D447D">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72E6A38B"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1612F89F" w14:textId="00618936" w:rsidR="00D8098C" w:rsidRDefault="004105DB" w:rsidP="00426603">
            <w:pPr>
              <w:spacing w:beforeLines="40" w:before="96" w:afterLines="40" w:after="96" w:line="24" w:lineRule="atLeast"/>
              <w:rPr>
                <w:rFonts w:eastAsia="Times New Roman"/>
                <w:sz w:val="18"/>
                <w:szCs w:val="18"/>
                <w:lang w:val="en-GB" w:eastAsia="en-GB"/>
              </w:rPr>
            </w:pPr>
            <w:r w:rsidRPr="004105DB">
              <w:rPr>
                <w:rFonts w:eastAsia="Times New Roman"/>
                <w:sz w:val="18"/>
                <w:szCs w:val="18"/>
                <w:lang w:val="en-GB" w:eastAsia="en-GB"/>
              </w:rPr>
              <w:t>Our approach involved searching for GWASs of coagulation factors in European populations to identify genetic variants associated with these factors. From this curated list, we selected coagulation factor III (FIII), coagulation factor V (FV), coagulation factor VIII (FVIII), coagulation factor XI (FXI), coagulation factor VII (FVII), coagulation factor X (FX), plasmin, platelet count, platelet crit (PCT), mean platelet volume (MPV), and platelet distribution width (PDW) as the available genome-wide significant single nucleotide polymorphisms (SNPs)31–36 (Table S1). In order to select eligible instrumental variables for each coagulation indicator, we implemented a stringent quality control procedure. To avoid bias due to strong linkage disequilibrium (LD), we chose SNPs with genome-wide significance (P &lt; 5e - 6) associated with specific coagulation metrics as candidate instrumental variables, with an r2 critical value of 0.001 and a window size of 10 Mb; of which the r2 value of 0.01 and a window size of 10 Mb were chosen for FVIII to serve only. Additionally, to assess the presence of weak instrumental variable bias, we calculated F-statistics to measure the strength of instrumental variables. F-statistics larger than 10 indicate a low possibility of weak instrumental variable bias37,38. (Table S1).</w:t>
            </w:r>
          </w:p>
        </w:tc>
      </w:tr>
      <w:tr w:rsidR="00D8098C" w:rsidRPr="00B853C6" w14:paraId="70378831" w14:textId="0868B0A4" w:rsidTr="003D447D">
        <w:tc>
          <w:tcPr>
            <w:tcW w:w="587" w:type="dxa"/>
            <w:shd w:val="clear" w:color="auto" w:fill="auto"/>
          </w:tcPr>
          <w:p w14:paraId="45E414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48A72084"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tcPr>
          <w:p w14:paraId="334D44EB" w14:textId="1AB9108B" w:rsidR="00D8098C" w:rsidRPr="004105DB" w:rsidRDefault="004105DB" w:rsidP="00426603">
            <w:pPr>
              <w:spacing w:beforeLines="40" w:before="96" w:afterLines="40" w:after="96" w:line="24" w:lineRule="atLeast"/>
              <w:rPr>
                <w:rFonts w:eastAsia="Times New Roman"/>
                <w:sz w:val="18"/>
                <w:szCs w:val="18"/>
                <w:lang w:val="en-US" w:eastAsia="en-GB"/>
              </w:rPr>
            </w:pPr>
            <w:r w:rsidRPr="004105DB">
              <w:rPr>
                <w:rFonts w:eastAsia="Times New Roman"/>
                <w:sz w:val="18"/>
                <w:szCs w:val="18"/>
                <w:lang w:val="en-US" w:eastAsia="en-GB"/>
              </w:rPr>
              <w:t xml:space="preserve">We employed summary statistics, including β coefficients and standard errors, to separately estimate the causal relationships between seven coagulation factors and four platelet parameters with RVO, utilizing various MR methods. For the primary MR analysis evaluating the non-confounded causal association among coagulation factors, platelet parameters, and RVO, we utilized the inverse variance weighted approach. Figure 1 delineates the three pivotal assumptions essential for this method40. Initially conducted in the </w:t>
            </w:r>
            <w:proofErr w:type="spellStart"/>
            <w:r w:rsidRPr="004105DB">
              <w:rPr>
                <w:rFonts w:eastAsia="Times New Roman"/>
                <w:sz w:val="18"/>
                <w:szCs w:val="18"/>
                <w:lang w:val="en-US" w:eastAsia="en-GB"/>
              </w:rPr>
              <w:t>FinnGen</w:t>
            </w:r>
            <w:proofErr w:type="spellEnd"/>
            <w:r w:rsidRPr="004105DB">
              <w:rPr>
                <w:rFonts w:eastAsia="Times New Roman"/>
                <w:sz w:val="18"/>
                <w:szCs w:val="18"/>
                <w:lang w:val="en-US" w:eastAsia="en-GB"/>
              </w:rPr>
              <w:t xml:space="preserve"> cohorts, the MR analyses employed three distinct methods: inverse variance weighting (IVW), weighted mean (WM), and MR-Egger regression, </w:t>
            </w:r>
            <w:r w:rsidRPr="004105DB">
              <w:rPr>
                <w:rFonts w:eastAsia="Times New Roman"/>
                <w:sz w:val="18"/>
                <w:szCs w:val="18"/>
                <w:lang w:val="en-US" w:eastAsia="en-GB"/>
              </w:rPr>
              <w:lastRenderedPageBreak/>
              <w:t>each based on different assumptions. The IVW method was used as the primary statistical model. Heterogeneity in causal estimates among instrumental variables indicated a potential violation of the assumptions underlying MR analysis41. To scrutinize this heterogeneity, we used the Cochran's Q test and assessed it via both the causal estimates of the fixed-effects IVW method and MR-Egger regression. A P-value less than 0.05 was considered indicative of significant heterogeneity. MR Egger regression was utilized to evaluate potential pleiotropic effects of instrumental variables. The intercept term in MR-Egger regression may indicate directional horizontal pleiotropy in the causal estimates.</w:t>
            </w:r>
          </w:p>
        </w:tc>
      </w:tr>
      <w:tr w:rsidR="00D8098C" w:rsidRPr="00B853C6" w14:paraId="0D8F3A7E" w14:textId="14623463" w:rsidTr="003D447D">
        <w:tc>
          <w:tcPr>
            <w:tcW w:w="587" w:type="dxa"/>
            <w:shd w:val="clear" w:color="auto" w:fill="EEEEEE"/>
          </w:tcPr>
          <w:p w14:paraId="1D70C4C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735AF18A"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c>
          <w:tcPr>
            <w:tcW w:w="4320" w:type="dxa"/>
            <w:shd w:val="clear" w:color="auto" w:fill="EEEEEE"/>
          </w:tcPr>
          <w:p w14:paraId="16808665" w14:textId="55748D3B"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r>
      <w:tr w:rsidR="00D8098C" w:rsidRPr="00B853C6" w14:paraId="77F037B8" w14:textId="6696FA54" w:rsidTr="003D447D">
        <w:tc>
          <w:tcPr>
            <w:tcW w:w="587" w:type="dxa"/>
            <w:shd w:val="clear" w:color="auto" w:fill="auto"/>
          </w:tcPr>
          <w:p w14:paraId="4AC39E5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1B314F67"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c>
          <w:tcPr>
            <w:tcW w:w="4320" w:type="dxa"/>
          </w:tcPr>
          <w:p w14:paraId="490E44D4" w14:textId="4E973DF9" w:rsidR="00D8098C" w:rsidRPr="004105DB" w:rsidRDefault="004105DB"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r>
      <w:tr w:rsidR="00D8098C" w:rsidRPr="00B853C6" w14:paraId="585043CE" w14:textId="4922F612" w:rsidTr="003D447D">
        <w:tc>
          <w:tcPr>
            <w:tcW w:w="587" w:type="dxa"/>
            <w:shd w:val="clear" w:color="auto" w:fill="EEEEEE"/>
          </w:tcPr>
          <w:p w14:paraId="55967D0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D8098C" w:rsidRPr="00A1236D" w:rsidRDefault="00D8098C" w:rsidP="00426603">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4E2730EB" w:rsidR="00D8098C" w:rsidRPr="004105DB" w:rsidRDefault="004105DB" w:rsidP="00426603">
            <w:pPr>
              <w:tabs>
                <w:tab w:val="left" w:pos="1620"/>
              </w:tabs>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5D46DB2B" w14:textId="4D55DD89" w:rsidR="00D8098C" w:rsidRPr="004105DB" w:rsidRDefault="004105DB" w:rsidP="00426603">
            <w:pPr>
              <w:tabs>
                <w:tab w:val="left" w:pos="1620"/>
              </w:tabs>
              <w:spacing w:beforeLines="40" w:before="96" w:afterLines="40" w:after="96" w:line="24" w:lineRule="atLeast"/>
              <w:rPr>
                <w:rFonts w:eastAsia="Times New Roman"/>
                <w:sz w:val="18"/>
                <w:szCs w:val="18"/>
                <w:lang w:val="en-US" w:eastAsia="en-GB"/>
              </w:rPr>
            </w:pPr>
            <w:r w:rsidRPr="004105DB">
              <w:rPr>
                <w:rFonts w:eastAsia="Times New Roman"/>
                <w:sz w:val="18"/>
                <w:szCs w:val="18"/>
                <w:lang w:val="en-US" w:eastAsia="en-GB"/>
              </w:rPr>
              <w:t>To scrutinize this heterogeneity, we used the Cochran's Q test and assessed it via both the causal estimates of the fixed-effects IVW method and MR-Egger regression. A P-value less than 0.05 was considered indicative of significant heterogeneity. MR Egger regression was utilized to evaluate potential pleiotropic effects of instrumental variables. The intercept term in MR-Egger regression may indicate directional horizontal pleiotropy in the causal estimates.</w:t>
            </w:r>
          </w:p>
        </w:tc>
      </w:tr>
      <w:tr w:rsidR="00D8098C" w:rsidRPr="00B853C6" w14:paraId="383932D9" w14:textId="2C1AFE56" w:rsidTr="003D447D">
        <w:tc>
          <w:tcPr>
            <w:tcW w:w="587" w:type="dxa"/>
            <w:shd w:val="clear" w:color="auto" w:fill="auto"/>
          </w:tcPr>
          <w:p w14:paraId="1A4621B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3A2D49C5" w14:textId="77777777" w:rsidR="002C5093" w:rsidRPr="002C5093" w:rsidRDefault="002C5093" w:rsidP="002C5093">
            <w:pPr>
              <w:pStyle w:val="a9"/>
              <w:spacing w:beforeLines="40" w:before="96" w:afterLines="40" w:after="96" w:line="28" w:lineRule="atLeast"/>
              <w:rPr>
                <w:rFonts w:ascii="Arial" w:eastAsia="Times New Roman" w:hAnsi="Arial" w:cs="Arial"/>
                <w:kern w:val="0"/>
                <w:sz w:val="18"/>
                <w:szCs w:val="18"/>
                <w:lang w:eastAsia="en-GB"/>
                <w14:ligatures w14:val="none"/>
              </w:rPr>
            </w:pPr>
            <w:r w:rsidRPr="002C5093">
              <w:rPr>
                <w:rFonts w:ascii="Arial" w:eastAsia="Times New Roman" w:hAnsi="Arial" w:cs="Arial"/>
                <w:kern w:val="0"/>
                <w:sz w:val="18"/>
                <w:szCs w:val="18"/>
                <w:lang w:eastAsia="en-GB"/>
                <w14:ligatures w14:val="none"/>
              </w:rPr>
              <w:t>To scrutinize this heterogeneity, we used the Cochran's Q test and assessed it via both the causal estimates of the fixed-effects IVW method and MR-Egger regression. A P-value less than 0.05 was considered indicative of significant heterogeneity. MR Egger regression was utilized to evaluate potential pleiotropic effects of instrumental variables. The intercept term in MR-Egger regression may indicate directional horizontal pleiotropy in the causal estimates.</w:t>
            </w:r>
          </w:p>
          <w:p w14:paraId="229BFDFD" w14:textId="77777777" w:rsidR="00D8098C" w:rsidRPr="002C5093" w:rsidRDefault="00D8098C" w:rsidP="00426603">
            <w:pPr>
              <w:spacing w:beforeLines="40" w:before="96" w:afterLines="40" w:after="96" w:line="24" w:lineRule="atLeast"/>
              <w:rPr>
                <w:rFonts w:eastAsia="Times New Roman"/>
                <w:sz w:val="18"/>
                <w:szCs w:val="18"/>
                <w:lang w:val="en-US" w:eastAsia="en-GB"/>
              </w:rPr>
            </w:pPr>
          </w:p>
        </w:tc>
      </w:tr>
      <w:tr w:rsidR="00D8098C" w:rsidRPr="00B853C6" w14:paraId="55C7A410" w14:textId="0BAB653A" w:rsidTr="003D447D">
        <w:tc>
          <w:tcPr>
            <w:tcW w:w="587" w:type="dxa"/>
            <w:shd w:val="clear" w:color="auto" w:fill="EEEEEE"/>
          </w:tcPr>
          <w:p w14:paraId="056075DE"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EA9EBD1" w14:textId="4D05FA5B" w:rsidTr="003D447D">
        <w:tc>
          <w:tcPr>
            <w:tcW w:w="587" w:type="dxa"/>
            <w:shd w:val="clear" w:color="auto" w:fill="auto"/>
          </w:tcPr>
          <w:p w14:paraId="66EDED80"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32CD3FA2" w:rsidR="00D8098C" w:rsidRPr="002C5093" w:rsidRDefault="002C509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w:t>
            </w:r>
          </w:p>
        </w:tc>
        <w:tc>
          <w:tcPr>
            <w:tcW w:w="4320" w:type="dxa"/>
          </w:tcPr>
          <w:p w14:paraId="79626260" w14:textId="0360C75F" w:rsidR="00D8098C" w:rsidRDefault="002C5093" w:rsidP="00426603">
            <w:pPr>
              <w:spacing w:beforeLines="40" w:before="96" w:afterLines="40" w:after="96" w:line="24" w:lineRule="atLeast"/>
              <w:rPr>
                <w:rFonts w:eastAsia="Times New Roman"/>
                <w:sz w:val="18"/>
                <w:szCs w:val="18"/>
                <w:lang w:val="en-GB" w:eastAsia="en-GB"/>
              </w:rPr>
            </w:pPr>
            <w:r w:rsidRPr="002C5093">
              <w:rPr>
                <w:rFonts w:eastAsia="Times New Roman"/>
                <w:sz w:val="18"/>
                <w:szCs w:val="18"/>
                <w:lang w:val="en-GB" w:eastAsia="en-GB"/>
              </w:rPr>
              <w:t xml:space="preserve">To explore the causal relationships among coagulation factors, platelet parameters, and RVO, </w:t>
            </w:r>
            <w:r w:rsidRPr="002C5093">
              <w:rPr>
                <w:rFonts w:eastAsia="Times New Roman"/>
                <w:sz w:val="18"/>
                <w:szCs w:val="18"/>
                <w:lang w:val="en-GB" w:eastAsia="en-GB"/>
              </w:rPr>
              <w:lastRenderedPageBreak/>
              <w:t>we utilized instrumental variables. We accessed the MR Base database (http://www.mrbase.org/)30, which houses an extensive compilation of summary statistics from numerous GWASs. Our approach involved searching for GWASs of coagulation factors in European populations to identify genetic variants associated with these factors.</w:t>
            </w:r>
          </w:p>
        </w:tc>
      </w:tr>
      <w:tr w:rsidR="00D8098C" w:rsidRPr="00B853C6" w14:paraId="6A631D93" w14:textId="2BD5AA8E" w:rsidTr="003D447D">
        <w:tc>
          <w:tcPr>
            <w:tcW w:w="587" w:type="dxa"/>
            <w:tcBorders>
              <w:bottom w:val="single" w:sz="6" w:space="0" w:color="7F7F7F"/>
            </w:tcBorders>
            <w:shd w:val="clear" w:color="auto" w:fill="EEEEEE"/>
          </w:tcPr>
          <w:p w14:paraId="37C8895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04A4D253" w:rsidR="00D8098C" w:rsidRPr="002C5093" w:rsidRDefault="002C509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c>
          <w:tcPr>
            <w:tcW w:w="4320" w:type="dxa"/>
            <w:tcBorders>
              <w:bottom w:val="single" w:sz="6" w:space="0" w:color="7F7F7F"/>
            </w:tcBorders>
            <w:shd w:val="clear" w:color="auto" w:fill="EEEEEE"/>
          </w:tcPr>
          <w:p w14:paraId="3EFCD231" w14:textId="42255E58" w:rsidR="00D8098C" w:rsidRPr="002C5093" w:rsidRDefault="002C509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r>
      <w:tr w:rsidR="00D8098C" w:rsidRPr="00B853C6" w14:paraId="040F15E5" w14:textId="3B11C618" w:rsidTr="003D447D">
        <w:tc>
          <w:tcPr>
            <w:tcW w:w="587" w:type="dxa"/>
            <w:tcBorders>
              <w:top w:val="single" w:sz="6" w:space="0" w:color="7F7F7F"/>
            </w:tcBorders>
            <w:shd w:val="clear" w:color="auto" w:fill="auto"/>
          </w:tcPr>
          <w:p w14:paraId="777278B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7F47EED" w14:textId="4A481C08" w:rsidTr="003D447D">
        <w:tc>
          <w:tcPr>
            <w:tcW w:w="587" w:type="dxa"/>
            <w:shd w:val="clear" w:color="auto" w:fill="EEEEEE"/>
          </w:tcPr>
          <w:p w14:paraId="51C7A54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CA228D1" w14:textId="316B6A36" w:rsidTr="003D447D">
        <w:tc>
          <w:tcPr>
            <w:tcW w:w="587" w:type="dxa"/>
            <w:shd w:val="clear" w:color="auto" w:fill="auto"/>
          </w:tcPr>
          <w:p w14:paraId="29B6277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sidR="000A4CE8">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18B2AB76" w:rsidR="00D8098C" w:rsidRPr="002C5093" w:rsidRDefault="002C509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8</w:t>
            </w:r>
          </w:p>
        </w:tc>
        <w:tc>
          <w:tcPr>
            <w:tcW w:w="4320" w:type="dxa"/>
          </w:tcPr>
          <w:p w14:paraId="00D65497" w14:textId="5FAD5C16" w:rsidR="00D8098C" w:rsidRPr="002C5093" w:rsidRDefault="002C5093" w:rsidP="00426603">
            <w:pPr>
              <w:spacing w:beforeLines="40" w:before="96" w:afterLines="40" w:after="96" w:line="24" w:lineRule="atLeast"/>
              <w:rPr>
                <w:rFonts w:eastAsia="Times New Roman"/>
                <w:sz w:val="18"/>
                <w:szCs w:val="18"/>
                <w:lang w:eastAsia="en-GB"/>
              </w:rPr>
            </w:pPr>
            <w:r w:rsidRPr="002C5093">
              <w:rPr>
                <w:rFonts w:eastAsia="Times New Roman"/>
                <w:sz w:val="18"/>
                <w:szCs w:val="18"/>
                <w:lang w:eastAsia="en-GB"/>
              </w:rPr>
              <w:t>We conducted a systematic compilation of genome-wide significant SNPs associated with seven coagulation factors (FIII, FV, FVIII, FXI, FVII, FX, and plasmin) and four platelet parameters (platelet count, PCT, MPV, and PDW) from various GWAS results via extensive literature review to investigate their potential causal effects on the risk of RVO31–36 (Table S1). These indicators were categorized into five distinct groups: platelet parameters (platelet count, PCT, MPV, and PDW), coagulation intrinsic pathway (FXI, FVIII), extrinsic pathway (FVII, FIII), common pathways (FV, FX), and fibrin clot dissociation (plasmin). To assess the strength of each instrumental variable, we calculated F-statistics for each instrument-exposure association. In our study, the F-statistics notably exceeded 10, indicating robustness and strength of these SNPs as instrumental variables (Table S1). This rigorous selection process ensured that the instrumental variables used in our analysis were reliable and suitable for assessing causal relationships between coagulation factors, platelet parameters, and the risk of RVO.</w:t>
            </w:r>
          </w:p>
        </w:tc>
      </w:tr>
      <w:tr w:rsidR="00D8098C" w:rsidRPr="00B853C6" w14:paraId="0765C344" w14:textId="3B2EDCCF" w:rsidTr="003D447D">
        <w:tc>
          <w:tcPr>
            <w:tcW w:w="587" w:type="dxa"/>
            <w:shd w:val="clear" w:color="auto" w:fill="EEEEEE"/>
          </w:tcPr>
          <w:p w14:paraId="2404BFF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D8098C" w:rsidRPr="00A1236D" w:rsidRDefault="00D8098C" w:rsidP="009E033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sidR="000A4CE8">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sidR="009E033F">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52058451" w:rsidR="00D8098C" w:rsidRPr="00A1236D" w:rsidRDefault="002C5093" w:rsidP="00426603">
            <w:pPr>
              <w:spacing w:beforeLines="40" w:before="96" w:afterLines="40" w:after="96" w:line="24" w:lineRule="atLeast"/>
              <w:rPr>
                <w:rFonts w:eastAsia="Times New Roman"/>
                <w:sz w:val="18"/>
                <w:szCs w:val="18"/>
                <w:lang w:val="en-GB" w:eastAsia="en-GB"/>
              </w:rPr>
            </w:pPr>
            <w:r w:rsidRPr="002C5093">
              <w:rPr>
                <w:rFonts w:eastAsia="Times New Roman"/>
                <w:sz w:val="18"/>
                <w:szCs w:val="18"/>
                <w:lang w:val="en-GB" w:eastAsia="en-GB"/>
              </w:rPr>
              <w:t>Table S1.</w:t>
            </w:r>
          </w:p>
        </w:tc>
        <w:tc>
          <w:tcPr>
            <w:tcW w:w="4320" w:type="dxa"/>
            <w:shd w:val="clear" w:color="auto" w:fill="EEEEEE"/>
          </w:tcPr>
          <w:p w14:paraId="0FD9D468" w14:textId="0AF9E912" w:rsidR="00D8098C" w:rsidRPr="002C5093" w:rsidRDefault="002C5093" w:rsidP="00426603">
            <w:pPr>
              <w:spacing w:beforeLines="40" w:before="96" w:afterLines="40" w:after="96" w:line="24" w:lineRule="atLeast"/>
              <w:rPr>
                <w:rFonts w:eastAsia="Times New Roman"/>
                <w:sz w:val="18"/>
                <w:szCs w:val="18"/>
                <w:lang w:eastAsia="en-GB"/>
              </w:rPr>
            </w:pPr>
            <w:r w:rsidRPr="002C5093">
              <w:rPr>
                <w:rFonts w:eastAsia="Times New Roman"/>
                <w:sz w:val="18"/>
                <w:szCs w:val="18"/>
                <w:lang w:eastAsia="en-GB"/>
              </w:rPr>
              <w:t>Table S1. Selected instrumental variables for coagulation factors in this study.</w:t>
            </w:r>
          </w:p>
        </w:tc>
      </w:tr>
      <w:tr w:rsidR="00D8098C" w:rsidRPr="00B853C6" w14:paraId="48F10342" w14:textId="398F2C24" w:rsidTr="003D447D">
        <w:tc>
          <w:tcPr>
            <w:tcW w:w="587" w:type="dxa"/>
            <w:shd w:val="clear" w:color="auto" w:fill="auto"/>
          </w:tcPr>
          <w:p w14:paraId="6600AF4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1CF781B8" w:rsidR="00D8098C" w:rsidRPr="002C5093" w:rsidRDefault="002C509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c>
          <w:tcPr>
            <w:tcW w:w="4320" w:type="dxa"/>
          </w:tcPr>
          <w:p w14:paraId="449D40FD" w14:textId="5E382843" w:rsidR="00D8098C" w:rsidRPr="002C5093" w:rsidRDefault="002C509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w:t>
            </w:r>
          </w:p>
        </w:tc>
      </w:tr>
      <w:tr w:rsidR="00D8098C" w:rsidRPr="00B853C6" w14:paraId="51930A8C" w14:textId="221D5A9E" w:rsidTr="003D447D">
        <w:tc>
          <w:tcPr>
            <w:tcW w:w="587" w:type="dxa"/>
            <w:shd w:val="clear" w:color="auto" w:fill="EEEEEE"/>
          </w:tcPr>
          <w:p w14:paraId="6116DD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D8098C" w:rsidRPr="00A1236D" w:rsidRDefault="00D8098C" w:rsidP="00426603">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sidR="009E033F">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lastRenderedPageBreak/>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686F3884" w:rsidR="00D8098C" w:rsidRPr="009E1BCD" w:rsidRDefault="009E1BCD"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lastRenderedPageBreak/>
              <w:t>8</w:t>
            </w:r>
          </w:p>
        </w:tc>
        <w:tc>
          <w:tcPr>
            <w:tcW w:w="4320" w:type="dxa"/>
            <w:shd w:val="clear" w:color="auto" w:fill="EEEEEE"/>
          </w:tcPr>
          <w:p w14:paraId="5B2A1A71" w14:textId="195EE476" w:rsidR="00D8098C" w:rsidRPr="009E1BCD" w:rsidRDefault="009E1BCD" w:rsidP="00426603">
            <w:pPr>
              <w:spacing w:beforeLines="40" w:before="96" w:afterLines="40" w:after="96" w:line="24" w:lineRule="atLeast"/>
              <w:rPr>
                <w:rFonts w:eastAsia="Times New Roman"/>
                <w:sz w:val="18"/>
                <w:szCs w:val="18"/>
                <w:lang w:eastAsia="en-GB"/>
              </w:rPr>
            </w:pPr>
            <w:r w:rsidRPr="009E1BCD">
              <w:rPr>
                <w:rFonts w:eastAsia="Times New Roman"/>
                <w:sz w:val="18"/>
                <w:szCs w:val="18"/>
                <w:lang w:eastAsia="en-GB"/>
              </w:rPr>
              <w:t xml:space="preserve">We conducted a systematic compilation of genome-wide significant SNPs associated with seven coagulation factors (FIII, FV, FVIII, FXI, FVII, </w:t>
            </w:r>
            <w:r w:rsidRPr="009E1BCD">
              <w:rPr>
                <w:rFonts w:eastAsia="Times New Roman"/>
                <w:sz w:val="18"/>
                <w:szCs w:val="18"/>
                <w:lang w:eastAsia="en-GB"/>
              </w:rPr>
              <w:lastRenderedPageBreak/>
              <w:t>FX, and plasmin) and four platelet parameters (platelet count, PCT, MPV, and PDW) from various GWAS results via extensive literature review to investigate their potential causal effects on the risk of RVO31–36 (Table S1). These indicators were categorized into five distinct groups: platelet parameters (platelet count, PCT, MPV, and PDW), coagulation intrinsic pathway (FXI, FVIII), extrinsic pathway (FVII, FIII), common pathways (FV, FX), and fibrin clot dissociation (plasmin). To assess the strength of each instrumental variable, we calculated F-statistics for each instrument-exposure association. In our study, the F-statistics notably exceeded 10, indicating robustness and strength of these SNPs as instrumental variables (Table S1). This rigorous selection process ensured that the instrumental variables used in our analysis were reliable and suitable for assessing causal relationships between coagulation factors, platelet parameters, and the risk of RVO.</w:t>
            </w:r>
          </w:p>
        </w:tc>
      </w:tr>
      <w:tr w:rsidR="00D8098C" w:rsidRPr="00B853C6" w14:paraId="52CFCA59" w14:textId="5AC9CE3E" w:rsidTr="003D447D">
        <w:tc>
          <w:tcPr>
            <w:tcW w:w="587" w:type="dxa"/>
            <w:shd w:val="clear" w:color="auto" w:fill="auto"/>
          </w:tcPr>
          <w:p w14:paraId="110872B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11</w:t>
            </w:r>
          </w:p>
        </w:tc>
        <w:tc>
          <w:tcPr>
            <w:tcW w:w="1822" w:type="dxa"/>
            <w:shd w:val="clear" w:color="auto" w:fill="auto"/>
          </w:tcPr>
          <w:p w14:paraId="0C26298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035B3367" w14:textId="4717280A" w:rsidR="00D8098C" w:rsidRPr="009E1BCD" w:rsidRDefault="009E1BCD"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8-9</w:t>
            </w:r>
          </w:p>
        </w:tc>
        <w:tc>
          <w:tcPr>
            <w:tcW w:w="4320" w:type="dxa"/>
          </w:tcPr>
          <w:p w14:paraId="0AFA0083" w14:textId="59F50AD2" w:rsidR="00D8098C" w:rsidRDefault="009E1BCD" w:rsidP="00426603">
            <w:pPr>
              <w:spacing w:beforeLines="40" w:before="96" w:afterLines="40" w:after="96" w:line="24" w:lineRule="atLeast"/>
              <w:rPr>
                <w:rFonts w:eastAsia="Cambria"/>
                <w:sz w:val="18"/>
                <w:szCs w:val="18"/>
                <w:lang w:val="en-GB" w:eastAsia="en-US"/>
              </w:rPr>
            </w:pPr>
            <w:r w:rsidRPr="009E1BCD">
              <w:rPr>
                <w:rFonts w:eastAsia="Cambria"/>
                <w:sz w:val="18"/>
                <w:szCs w:val="18"/>
                <w:lang w:val="en-GB" w:eastAsia="en-US"/>
              </w:rPr>
              <w:t xml:space="preserve">Utilizing GWAS summary statistics retrieved from the </w:t>
            </w:r>
            <w:proofErr w:type="spellStart"/>
            <w:r w:rsidRPr="009E1BCD">
              <w:rPr>
                <w:rFonts w:eastAsia="Cambria"/>
                <w:sz w:val="18"/>
                <w:szCs w:val="18"/>
                <w:lang w:val="en-GB" w:eastAsia="en-US"/>
              </w:rPr>
              <w:t>FinnGen</w:t>
            </w:r>
            <w:proofErr w:type="spellEnd"/>
            <w:r w:rsidRPr="009E1BCD">
              <w:rPr>
                <w:rFonts w:eastAsia="Cambria"/>
                <w:sz w:val="18"/>
                <w:szCs w:val="18"/>
                <w:lang w:val="en-GB" w:eastAsia="en-US"/>
              </w:rPr>
              <w:t xml:space="preserve"> study involving 372 cases and 182,573 controls, we conducted MR analyses to assess the causal impacts of seven coagulation factors and four platelet parameters on the risk of RVO. The resulting MR estimates obtained from various methods are presented in Table S2. Notably, the IVW method provided substantial evidence supporting a causal link between coagulation traits and the occurrence of RVO. Our findings indicate that genetically predicted levels of FIII and FVII are associated with a reduced risk of RVO [FIII: (Inverse variance weighted: OR = 0.577, 95% CI: 0.346-0.962, P = 3.3513×10-2 Figure 2, Table S2, Figure S1; FVII: (Inverse variance weighted: OR = 0.742, 95% CI: 0.568-0.969, P = 2.84×10-2) Figure 2, Table S2, Figure S1]. Additionally, we observed that genetically predicted MPV and PCT levels are causally linked to a decreased risk of RVO [MPV: (IVW: OR = 0.783, 95% CI: 0.621-0.987, P = 3.848×10-2; MR Egger: OR = 0.686, 95% CI: 0.475-0.989, P = 4.401×10-2)  Figure 3, Table S2, Figure S1]; PCT: (IVW: OR = 0.740, 95% CI: 0.560-0.977, P = 3.342×10-2; WM: OR = 0.590, 95% CI: 0.358-0.972, P = 3.821×10-2) Figure 3, Table S2, Figure S1]. Intriguingly, our investigation identified a positive causal </w:t>
            </w:r>
            <w:r w:rsidRPr="009E1BCD">
              <w:rPr>
                <w:rFonts w:eastAsia="Cambria"/>
                <w:sz w:val="18"/>
                <w:szCs w:val="18"/>
                <w:lang w:val="en-GB" w:eastAsia="en-US"/>
              </w:rPr>
              <w:lastRenderedPageBreak/>
              <w:t>relationship between genetically predicted FVIII levels and RVO [IVW: OR = 1.308, 95% CI: 1.067-1.604, P = 9.787×10-3) Figure 2, Table S2, Figure S1]. Nevertheless, no significant causal effect on RVO was observed for other coagulation factors (FV, FX, FXI, fibrinolytic enzymes) or platelet parameters (platelet count, PDW) (Figure 2, Figure 3, Table S2, Figure S1.). Additionally, the absence of significant horizontal pleiotropy or heterogeneity among coagulation factors and platelet parameters in our analyses strengthens the validity and reliability of the MR estimates obtained (Table S2). Leave-one-out analyses were conducted to identify any potential outliers, and Cochran's Q test indicated no influential individual SNP driving the IVW point estimate or causing heterogeneity between IVW estimates based on individual variants (Table S3, Figure S2). Both the funnel plot and MR Egger regression test showed no evidence of asymmetry, suggesting the absence of directional horizontal pleiotropy that could introduce bias to the MR analyses (Figure S3, Table S2). These results collectively contribute to our understanding of the causal relationships between coagulation traits and the risk of RVO.</w:t>
            </w:r>
          </w:p>
        </w:tc>
      </w:tr>
      <w:tr w:rsidR="00D8098C" w:rsidRPr="00B853C6" w14:paraId="56845A2A" w14:textId="1DC0780C" w:rsidTr="003D447D">
        <w:tc>
          <w:tcPr>
            <w:tcW w:w="587" w:type="dxa"/>
            <w:shd w:val="clear" w:color="auto" w:fill="EEEEEE"/>
          </w:tcPr>
          <w:p w14:paraId="0892A5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BCA1C07" w14:textId="05FFEB57" w:rsidR="00D8098C" w:rsidRPr="009E1BCD" w:rsidRDefault="00D8098C" w:rsidP="00426603">
            <w:pPr>
              <w:spacing w:beforeLines="40" w:before="96" w:afterLines="40" w:after="96" w:line="24" w:lineRule="atLeast"/>
              <w:rPr>
                <w:rFonts w:eastAsia="Times New Roman"/>
                <w:sz w:val="18"/>
                <w:szCs w:val="18"/>
                <w:lang w:val="en-US" w:eastAsia="en-GB"/>
              </w:rPr>
            </w:pPr>
          </w:p>
        </w:tc>
      </w:tr>
      <w:tr w:rsidR="00D8098C" w:rsidRPr="00B853C6" w14:paraId="2FAEFE68" w14:textId="09D82DE1" w:rsidTr="003D447D">
        <w:tc>
          <w:tcPr>
            <w:tcW w:w="587" w:type="dxa"/>
            <w:shd w:val="clear" w:color="auto" w:fill="auto"/>
          </w:tcPr>
          <w:p w14:paraId="2E83DFB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D8098C" w:rsidRPr="00A1236D" w:rsidRDefault="00D8098C" w:rsidP="009E033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sidR="009E033F">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564CED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1FAC379E" w14:textId="0C198578" w:rsidTr="003D447D">
        <w:tc>
          <w:tcPr>
            <w:tcW w:w="587" w:type="dxa"/>
            <w:shd w:val="clear" w:color="auto" w:fill="EEEEEE"/>
          </w:tcPr>
          <w:p w14:paraId="6762B88A"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4A2216FF"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00F87C74" w14:textId="30F32A00" w:rsidTr="003D447D">
        <w:tc>
          <w:tcPr>
            <w:tcW w:w="587" w:type="dxa"/>
            <w:shd w:val="clear" w:color="auto" w:fill="auto"/>
          </w:tcPr>
          <w:p w14:paraId="2CDE5DE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7B9F0A4D"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62E6DFEA" w14:textId="107C6F5B" w:rsidTr="003D447D">
        <w:tc>
          <w:tcPr>
            <w:tcW w:w="587" w:type="dxa"/>
            <w:shd w:val="clear" w:color="auto" w:fill="EEEEEE"/>
          </w:tcPr>
          <w:p w14:paraId="57CB278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1A7E3A38" w:rsidR="00D8098C" w:rsidRPr="009E1BCD" w:rsidRDefault="009E1BCD"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9</w:t>
            </w:r>
          </w:p>
        </w:tc>
        <w:tc>
          <w:tcPr>
            <w:tcW w:w="4320" w:type="dxa"/>
            <w:shd w:val="clear" w:color="auto" w:fill="EEEEEE"/>
          </w:tcPr>
          <w:p w14:paraId="10C8ADE2" w14:textId="40AF272A" w:rsidR="00D8098C" w:rsidRDefault="009E1BCD" w:rsidP="00426603">
            <w:pPr>
              <w:spacing w:beforeLines="40" w:before="96" w:afterLines="40" w:after="96" w:line="24" w:lineRule="atLeast"/>
              <w:rPr>
                <w:rFonts w:eastAsia="Cambria"/>
                <w:sz w:val="18"/>
                <w:szCs w:val="18"/>
                <w:lang w:val="en-GB" w:eastAsia="en-US"/>
              </w:rPr>
            </w:pPr>
            <w:r w:rsidRPr="009E1BCD">
              <w:rPr>
                <w:rFonts w:eastAsia="Cambria"/>
                <w:sz w:val="18"/>
                <w:szCs w:val="18"/>
                <w:lang w:val="en-GB" w:eastAsia="en-US"/>
              </w:rPr>
              <w:t xml:space="preserve">Leave-one-out analyses were conducted to identify any potential outliers, and Cochran's Q test indicated no influential individual SNP driving the IVW point estimate or causing heterogeneity between IVW estimates based on individual variants (Table S3, Figure S2). Both the funnel plot and MR Egger regression test showed no evidence of asymmetry, suggesting the absence of directional horizontal pleiotropy that could introduce </w:t>
            </w:r>
            <w:r w:rsidRPr="009E1BCD">
              <w:rPr>
                <w:rFonts w:eastAsia="Cambria"/>
                <w:sz w:val="18"/>
                <w:szCs w:val="18"/>
                <w:lang w:val="en-GB" w:eastAsia="en-US"/>
              </w:rPr>
              <w:lastRenderedPageBreak/>
              <w:t>bias to the MR analyses (Figure S3, Table S2). These results collectively contribute to our understanding of the causal relationships between coagulation traits and the risk of RVO.</w:t>
            </w:r>
          </w:p>
        </w:tc>
      </w:tr>
      <w:tr w:rsidR="00D8098C" w:rsidRPr="00B853C6" w14:paraId="48EE0AFA" w14:textId="55C0BF1C" w:rsidTr="003D447D">
        <w:tc>
          <w:tcPr>
            <w:tcW w:w="587" w:type="dxa"/>
            <w:shd w:val="clear" w:color="auto" w:fill="auto"/>
          </w:tcPr>
          <w:p w14:paraId="4E2912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5E7081D1"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7BDA55CD" w14:textId="6465618D" w:rsidTr="003D447D">
        <w:tc>
          <w:tcPr>
            <w:tcW w:w="587" w:type="dxa"/>
            <w:shd w:val="clear" w:color="auto" w:fill="EEEEEE"/>
          </w:tcPr>
          <w:p w14:paraId="6F27FA7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205C4ED8"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23F1C43D" w14:textId="6396118D" w:rsidTr="003D447D">
        <w:tc>
          <w:tcPr>
            <w:tcW w:w="587" w:type="dxa"/>
            <w:shd w:val="clear" w:color="auto" w:fill="auto"/>
          </w:tcPr>
          <w:p w14:paraId="021A9BB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50481D19" w14:textId="2BF8CBC2" w:rsidR="00D8098C" w:rsidRPr="009E1BCD" w:rsidRDefault="009E1BCD"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9</w:t>
            </w:r>
          </w:p>
        </w:tc>
        <w:tc>
          <w:tcPr>
            <w:tcW w:w="4320" w:type="dxa"/>
          </w:tcPr>
          <w:p w14:paraId="0F2C43F0" w14:textId="5983AFB6" w:rsidR="00D8098C" w:rsidRDefault="009E1BCD" w:rsidP="00426603">
            <w:pPr>
              <w:spacing w:beforeLines="40" w:before="96" w:afterLines="40" w:after="96" w:line="24" w:lineRule="atLeast"/>
              <w:rPr>
                <w:rFonts w:eastAsia="Cambria"/>
                <w:sz w:val="18"/>
                <w:szCs w:val="18"/>
                <w:lang w:val="en-GB" w:eastAsia="en-US"/>
              </w:rPr>
            </w:pPr>
            <w:r w:rsidRPr="009E1BCD">
              <w:rPr>
                <w:rFonts w:eastAsia="Cambria"/>
                <w:sz w:val="18"/>
                <w:szCs w:val="18"/>
                <w:lang w:val="en-GB" w:eastAsia="en-US"/>
              </w:rPr>
              <w:t>Additionally, the absence of significant horizontal pleiotropy or heterogeneity among coagulation factors and platelet parameters in our analyses strengthens the validity and reliability of the MR estimates obtained (Table S2). Leave-one-out analyses were conducted to identify any potential outliers, and Cochran's Q test indicated no influential individual SNP driving the IVW point estimate or causing heterogeneity between IVW estimates based on individual variants (Table S3, Figure S2). Both the funnel plot and MR Egger regression test showed no evidence of asymmetry, suggesting the absence of directional horizontal pleiotropy that could introduce bias to the MR analyses (Figure S3, Table S2). These results collectively contribute to our understanding of the causal relationships between coagulation traits and the risk of RVO.</w:t>
            </w:r>
          </w:p>
        </w:tc>
      </w:tr>
      <w:tr w:rsidR="00D8098C" w:rsidRPr="00B853C6" w14:paraId="1ABE2F1D" w14:textId="316B0F58" w:rsidTr="003D447D">
        <w:tc>
          <w:tcPr>
            <w:tcW w:w="587" w:type="dxa"/>
            <w:shd w:val="clear" w:color="auto" w:fill="EEEEEE"/>
          </w:tcPr>
          <w:p w14:paraId="0D022F9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3386906"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3696A9F1" w14:textId="63B96DDA" w:rsidTr="003D447D">
        <w:tc>
          <w:tcPr>
            <w:tcW w:w="587" w:type="dxa"/>
            <w:shd w:val="clear" w:color="auto" w:fill="auto"/>
          </w:tcPr>
          <w:p w14:paraId="0D2234E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5BB83735"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1650BAB8" w14:textId="79D11DE7" w:rsidTr="003D447D">
        <w:tc>
          <w:tcPr>
            <w:tcW w:w="587" w:type="dxa"/>
            <w:shd w:val="clear" w:color="auto" w:fill="EEEEEE"/>
          </w:tcPr>
          <w:p w14:paraId="4D025CC4"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66751F07"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2034ACF7" w14:textId="19A8CB33" w:rsidTr="003D447D">
        <w:tc>
          <w:tcPr>
            <w:tcW w:w="587" w:type="dxa"/>
            <w:shd w:val="clear" w:color="auto" w:fill="auto"/>
          </w:tcPr>
          <w:p w14:paraId="3217ECE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7B882C5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3E7CFBFC" w14:textId="3F99A047" w:rsidTr="003D447D">
        <w:tc>
          <w:tcPr>
            <w:tcW w:w="587" w:type="dxa"/>
            <w:tcBorders>
              <w:bottom w:val="single" w:sz="6" w:space="0" w:color="7F7F7F"/>
            </w:tcBorders>
            <w:shd w:val="clear" w:color="auto" w:fill="EEEEEE"/>
          </w:tcPr>
          <w:p w14:paraId="1FDC421F"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03A6AB93"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5B7D2773" w14:textId="7D8D257A" w:rsidTr="003D447D">
        <w:tc>
          <w:tcPr>
            <w:tcW w:w="587" w:type="dxa"/>
            <w:tcBorders>
              <w:top w:val="single" w:sz="6" w:space="0" w:color="7F7F7F"/>
            </w:tcBorders>
            <w:shd w:val="clear" w:color="auto" w:fill="auto"/>
          </w:tcPr>
          <w:p w14:paraId="5BDBDA6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800AF05" w14:textId="4BEA2748" w:rsidTr="003D447D">
        <w:tc>
          <w:tcPr>
            <w:tcW w:w="587" w:type="dxa"/>
            <w:shd w:val="clear" w:color="auto" w:fill="EEEEEE"/>
          </w:tcPr>
          <w:p w14:paraId="6B5F5286"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641C569A" w:rsidR="00D8098C" w:rsidRPr="009E1BCD" w:rsidRDefault="009E1BCD"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11</w:t>
            </w:r>
          </w:p>
        </w:tc>
        <w:tc>
          <w:tcPr>
            <w:tcW w:w="4320" w:type="dxa"/>
            <w:shd w:val="clear" w:color="auto" w:fill="EEEEEE"/>
          </w:tcPr>
          <w:p w14:paraId="70F1DDE7" w14:textId="353A3738" w:rsidR="00D8098C" w:rsidRPr="009E1BCD" w:rsidRDefault="009E1BCD" w:rsidP="00426603">
            <w:pPr>
              <w:spacing w:beforeLines="40" w:before="96" w:afterLines="40" w:after="96" w:line="24" w:lineRule="atLeast"/>
              <w:rPr>
                <w:rFonts w:eastAsia="Times New Roman"/>
                <w:sz w:val="18"/>
                <w:szCs w:val="18"/>
                <w:lang w:val="en-US" w:eastAsia="en-GB"/>
              </w:rPr>
            </w:pPr>
            <w:r w:rsidRPr="009E1BCD">
              <w:rPr>
                <w:rFonts w:eastAsia="Times New Roman"/>
                <w:sz w:val="18"/>
                <w:szCs w:val="18"/>
                <w:lang w:val="en-US" w:eastAsia="en-GB"/>
              </w:rPr>
              <w:t xml:space="preserve">Using summary statistics from GWAS of European ancestry, we examined the causal effects of seven coagulation factors and four platelet parameters on RVO risk by applying a unified MR framework for GWAS data analysis. Genetically forecasted plasma levels of FIII, FVII, MPV, and PCT </w:t>
            </w:r>
            <w:r w:rsidRPr="009E1BCD">
              <w:rPr>
                <w:rFonts w:eastAsia="Times New Roman"/>
                <w:sz w:val="18"/>
                <w:szCs w:val="18"/>
                <w:lang w:val="en-US" w:eastAsia="en-GB"/>
              </w:rPr>
              <w:lastRenderedPageBreak/>
              <w:t>demonstrated inverse correlations with RVO, while genetically anticipated plasma FVIII levels displayed a positive causal association with RVO.</w:t>
            </w:r>
          </w:p>
        </w:tc>
      </w:tr>
      <w:tr w:rsidR="00D8098C" w:rsidRPr="00B853C6" w14:paraId="06BFAFA4" w14:textId="151FB6CE" w:rsidTr="003D447D">
        <w:tc>
          <w:tcPr>
            <w:tcW w:w="587" w:type="dxa"/>
            <w:shd w:val="clear" w:color="auto" w:fill="auto"/>
          </w:tcPr>
          <w:p w14:paraId="6D471CC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15</w:t>
            </w:r>
          </w:p>
        </w:tc>
        <w:tc>
          <w:tcPr>
            <w:tcW w:w="1822" w:type="dxa"/>
            <w:shd w:val="clear" w:color="auto" w:fill="auto"/>
          </w:tcPr>
          <w:p w14:paraId="5C27961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71B51E6E" w:rsidR="00D8098C" w:rsidRPr="009E1BCD" w:rsidRDefault="009E1BCD"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14-15</w:t>
            </w:r>
          </w:p>
        </w:tc>
        <w:tc>
          <w:tcPr>
            <w:tcW w:w="4320" w:type="dxa"/>
          </w:tcPr>
          <w:p w14:paraId="7CB4BA33" w14:textId="28D3A0C3" w:rsidR="00D8098C" w:rsidRPr="009E1BCD" w:rsidRDefault="009E1BCD" w:rsidP="00426603">
            <w:pPr>
              <w:spacing w:beforeLines="40" w:before="96" w:afterLines="40" w:after="96" w:line="24" w:lineRule="atLeast"/>
              <w:rPr>
                <w:rFonts w:eastAsia="Times New Roman"/>
                <w:sz w:val="18"/>
                <w:szCs w:val="18"/>
                <w:lang w:val="en-US" w:eastAsia="en-GB"/>
              </w:rPr>
            </w:pPr>
            <w:r w:rsidRPr="009E1BCD">
              <w:rPr>
                <w:rFonts w:eastAsia="Times New Roman"/>
                <w:sz w:val="18"/>
                <w:szCs w:val="18"/>
                <w:lang w:eastAsia="en-GB"/>
              </w:rPr>
              <w:t>Some potential limitation of our study should be mentioned. Firstly, in studies using sample-bank cohorts31–36, causal effects represent only selected European populations. These were chosen primarily to avoid population stratification. However, these findings may not be representative of more general or non-European populations. Secondly, although we utilized the largest available sample size and the most recent GWAS dataset for MR analysis, it's essential to acknowledge that our study had a comparatively smaller sample size and event count compared to population-based observational studies. In addition, the inclusion of different studies using overlapping cohorts (especially databases), while unavoidable, inevitably reduces the effective sample size and statistical power of our analyses. Thirdly, we did not evaluate genetically predicted coagulation factors and platelet parameters in relation to CRVO and BRVO because of the lack of pooled data on CRVO and the inability to further subdivide MR analyses by other factors such as disease staging</w:t>
            </w:r>
            <w:r w:rsidRPr="009E1BCD">
              <w:rPr>
                <w:rFonts w:ascii="宋体" w:eastAsia="宋体" w:hAnsi="宋体" w:cs="宋体" w:hint="eastAsia"/>
                <w:sz w:val="18"/>
                <w:szCs w:val="18"/>
                <w:lang w:eastAsia="en-GB"/>
              </w:rPr>
              <w:t>，</w:t>
            </w:r>
            <w:r w:rsidRPr="009E1BCD">
              <w:rPr>
                <w:rFonts w:eastAsia="Times New Roman"/>
                <w:sz w:val="18"/>
                <w:szCs w:val="18"/>
                <w:lang w:eastAsia="en-GB"/>
              </w:rPr>
              <w:t>further clinical trials are needed to confirm our findings in order to obtain partially consistent evidence of an association between certain coagulation characteristics and RVO or RVO of varying severity. In addition, our magnetic resonance study demonstrated a causal relationship between genetically predicted coagulation characteristics and RVO; however, it is important to note that the results of the magnetic resonance analyses were based on genetic evidence only.</w:t>
            </w:r>
          </w:p>
        </w:tc>
      </w:tr>
      <w:tr w:rsidR="00D8098C" w:rsidRPr="00B853C6" w14:paraId="71F8B8B5" w14:textId="34C247AC" w:rsidTr="003D447D">
        <w:tc>
          <w:tcPr>
            <w:tcW w:w="587" w:type="dxa"/>
            <w:shd w:val="clear" w:color="auto" w:fill="EEEEEE"/>
          </w:tcPr>
          <w:p w14:paraId="02C1D590"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2E6D51A" w14:textId="140D03A2" w:rsidTr="003D447D">
        <w:tc>
          <w:tcPr>
            <w:tcW w:w="587" w:type="dxa"/>
            <w:shd w:val="clear" w:color="auto" w:fill="auto"/>
          </w:tcPr>
          <w:p w14:paraId="6DD2F4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D8098C" w:rsidRPr="00A1236D" w:rsidRDefault="00D8098C" w:rsidP="00685D3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w:t>
            </w:r>
            <w:proofErr w:type="gramStart"/>
            <w:r w:rsidRPr="00A1236D">
              <w:rPr>
                <w:rFonts w:eastAsia="Times New Roman"/>
                <w:sz w:val="18"/>
                <w:szCs w:val="18"/>
                <w:lang w:val="en-GB" w:eastAsia="en-GB"/>
              </w:rPr>
              <w:t xml:space="preserve">and in comparison </w:t>
            </w:r>
            <w:proofErr w:type="gramEnd"/>
            <w:r w:rsidR="00685D31">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103DAB7A" w:rsidR="00D8098C" w:rsidRPr="00897B67" w:rsidRDefault="00897B6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11-12</w:t>
            </w:r>
          </w:p>
        </w:tc>
        <w:tc>
          <w:tcPr>
            <w:tcW w:w="4320" w:type="dxa"/>
          </w:tcPr>
          <w:p w14:paraId="213DBC3F" w14:textId="77777777" w:rsidR="00897B67" w:rsidRPr="00897B67" w:rsidRDefault="00897B67" w:rsidP="00897B67">
            <w:pPr>
              <w:spacing w:beforeLines="40" w:before="96" w:afterLines="40" w:after="96" w:line="24" w:lineRule="atLeast"/>
              <w:rPr>
                <w:rFonts w:eastAsia="Times New Roman"/>
                <w:sz w:val="18"/>
                <w:szCs w:val="18"/>
                <w:lang w:eastAsia="en-GB"/>
              </w:rPr>
            </w:pPr>
            <w:r w:rsidRPr="00897B67">
              <w:rPr>
                <w:rFonts w:eastAsia="Times New Roman" w:hint="eastAsia"/>
                <w:sz w:val="18"/>
                <w:szCs w:val="18"/>
                <w:lang w:eastAsia="en-GB"/>
              </w:rPr>
              <w:t>RVO</w:t>
            </w:r>
            <w:r w:rsidRPr="00897B67">
              <w:rPr>
                <w:rFonts w:eastAsia="Times New Roman"/>
                <w:sz w:val="18"/>
                <w:szCs w:val="18"/>
                <w:lang w:eastAsia="en-GB"/>
              </w:rPr>
              <w:t xml:space="preserve"> is a partial or complete blockage of a retinal vein in which the formation of a blood clot causes the retinal venous system to narrow and impedes venous return from the retinal circulation. The exact pathogenesis of RVO remains unclear. The condition may be due to a combination of three systemic changes known as Virchow’s triad: hemodynamic changes (venous stasis), </w:t>
            </w:r>
            <w:r w:rsidRPr="00897B67">
              <w:rPr>
                <w:rFonts w:eastAsia="Times New Roman"/>
                <w:sz w:val="18"/>
                <w:szCs w:val="18"/>
                <w:lang w:eastAsia="en-GB"/>
              </w:rPr>
              <w:lastRenderedPageBreak/>
              <w:t>degenerative changes of the vessel wall and blood hypercoagulability</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{"citationID":"VUExmlFT","properties":{"formattedCitation":"\\super 42\\nosupersub{}","plainCitation":"42","noteIndex":0},"citationItems":[{"id":1290,"uris":["http://zotero.org/users/9988297/items/23HXAPBQ"],"itemData":{"id":1290,"type":"article-journal","abstract":"Retinal vein occlusion (RVO) is the second most common retinal vascular disease after diabetic retinopathy and is a common cause of visual morbidity and blindness in the elderly. A large proportion of patients with RVO have a history of cardiovascular disease, hypertension, diabetes mellitus or open …","container-title":"Internal medicine journal","DOI":"10.1111/j.1445-5994.2008.01720.x","ISSN":"1445-5994","issue":"12","language":"en","note":"publisher: Intern Med J\nPMID: 19120547","source":"pubmed.ncbi.nlm.nih.gov","title":"Retinal vein occlusion: an approach to diagnosis, systemic risk factors and management","title-short":"Retinal vein occlusion","URL":"https://pubmed.ncbi.nlm.nih.gov/19120547/","volume":"38","author":[{"family":"Jw","given":"Yau"},{"family":"P","given":"Lee"},{"family":"Ty","given":"Wong"},{"family":"J","given":"Best"},{"family":"A","given":"Jenkins"}],"accessed":{"date-parts":[["2024",3,5]]},"issued":{"date-parts":[["2008",12]]}}}],"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42</w:t>
            </w:r>
            <w:r w:rsidRPr="00897B67">
              <w:rPr>
                <w:rFonts w:eastAsia="Times New Roman"/>
                <w:sz w:val="18"/>
                <w:szCs w:val="18"/>
                <w:lang w:eastAsia="en-GB"/>
              </w:rPr>
              <w:fldChar w:fldCharType="end"/>
            </w:r>
            <w:r w:rsidRPr="00897B67">
              <w:rPr>
                <w:rFonts w:eastAsia="Times New Roman"/>
                <w:sz w:val="18"/>
                <w:szCs w:val="18"/>
                <w:lang w:eastAsia="en-GB"/>
              </w:rPr>
              <w:t>. It has been shown to be associated with thrombotic events due to systemic changes, especially hypercoagulable states</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{"citationID":"F4L0S8We","properties":{"formattedCitation":"\\super 3,41\\nosupersub{}","plainCitation":"3,41","noteIndex":0},"citationItems":[{"id":1065,"uris":["http://zotero.org/users/9988297/items/SJ6NC4IN"],"itemData":{"id":1065,"type":"article-journal","abstract":"The clinical and histopathologic features of 29 eyes from 29 patients with central retinal vein occlusion (CRVO) are reported. A fresh or a recanalized thrombus was observed in each eye. This study considers the temporal aspects of the cases, and it notes the different morphologic features of the occlusion. These observations explain most of the variability of the changes observed in previous reports. We believe that these different features represent the various stages in the natural evolution of such a thrombus. The interval between CRVO and histopathologic study in our series ranged from six hours to more than 10 years. Local and systemic factors were reviewed and were found to be important in the pathogenesis of thrombus formation. Local diseases with a predisposing effect on CRVO included: glaucoma, papilledema, subdural hemorrhage, optic nerve hemorrhage, and drusen of the optic nerve head. Associated systemic diseases included: hypertension, cardiovascular and cerebrovascular disease, diabetes mellitus, and leukemia with thrombocytopenia. A fresh thrombus in the CRVO was observed in three (10.3%), and a recanalized thrombus in 26 eyes (89.7%). Endothelial-cell proliferation was a conspicuous feature in 14 (48.3%) of the eyes. Chronic inflammation in the area of the thrombus, and/or vein wall or perivenular area was observed in 14 (48.3%) of the eyes. Arterial occlusive disease was observed in seven eyes (24.6%). Cystoid macular edema was found in 26 (89.7%) of the eyes.","container-title":"Transactions of the American Ophthalmological Society","ISSN":"0065-9533","journalAbbreviation":"Trans Am Ophthalmol Soc","language":"eng","note":"PMID: 7342407\nPMCID: PMC1312193","page":"371-422","source":"PubMed","title":"Central retinal vein occlusion: a prospective histopathologic study of 29 eyes in 28 cases","title-short":"Central retinal vein occlusion","volume":"79","author":[{"family":"Green","given":"W. R."},{"family":"Chan","given":"C. C."},{"family":"Hutchins","given":"G. M."},{"family":"Terry","given":"J. M."}],"issued":{"date-parts":[["1981"]]}},"label":"page"},{"id":1244,"uris":["http://zotero.org/users/9988297/items/MHLIJCWS"],"itemData":{"id":1244,"type":"webpage","title":"A framework for the investigation of pleiotropy in two-sample summary data Mendelian randomization - PubMed","URL":"https://pubmed.ncbi.nlm.nih.gov/28114746/","accessed":{"date-parts":[["2023",12,6]]}},"label":"page"}],"schema":"https://github.com/citation-style-language/schema/raw/master/csl-citation.json"}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3,41</w:t>
            </w:r>
            <w:r w:rsidRPr="00897B67">
              <w:rPr>
                <w:rFonts w:eastAsia="Times New Roman"/>
                <w:sz w:val="18"/>
                <w:szCs w:val="18"/>
                <w:lang w:eastAsia="en-GB"/>
              </w:rPr>
              <w:fldChar w:fldCharType="end"/>
            </w:r>
            <w:r w:rsidRPr="00897B67">
              <w:rPr>
                <w:rFonts w:eastAsia="Times New Roman"/>
                <w:sz w:val="18"/>
                <w:szCs w:val="18"/>
                <w:lang w:eastAsia="en-GB"/>
              </w:rPr>
              <w:t>.</w:t>
            </w:r>
            <w:r w:rsidRPr="00897B67">
              <w:rPr>
                <w:rFonts w:eastAsia="Times New Roman" w:hint="eastAsia"/>
                <w:sz w:val="18"/>
                <w:szCs w:val="18"/>
                <w:lang w:eastAsia="en-GB"/>
              </w:rPr>
              <w:t xml:space="preserve"> </w:t>
            </w:r>
            <w:r w:rsidRPr="00897B67">
              <w:rPr>
                <w:rFonts w:eastAsia="Times New Roman"/>
                <w:sz w:val="18"/>
                <w:szCs w:val="18"/>
                <w:lang w:eastAsia="en-GB"/>
              </w:rPr>
              <w:t>The central retinal vein exits the eye at the optic disc and proceeds into the optic nerve. Within the optic nerve, it traverses through the lamina cribrosa, a connective tissue structure that offers support to the vein and the axons as they penetrate the sclera. Postmortem examination of eyes with CRVO revealed the presence of fresh or recanalized thrombus near the lamina cribrosa, where the vein typically narrows and blood flow intensifies</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{"citationID":"VDTE3gLE","properties":{"formattedCitation":"\\super 3\\nosupersub{}","plainCitation":"3","noteIndex":0},"citationItems":[{"id":1065,"uris":["http://zotero.org/users/9988297/items/SJ6NC4IN"],"itemData":{"id":1065,"type":"article-journal","abstract":"The clinical and histopathologic features of 29 eyes from 29 patients with central retinal vein occlusion (CRVO) are reported. A fresh or a recanalized thrombus was observed in each eye. This study considers the temporal aspects of the cases, and it notes the different morphologic features of the occlusion. These observations explain most of the variability of the changes observed in previous reports. We believe that these different features represent the various stages in the natural evolution of such a thrombus. The interval between CRVO and histopathologic study in our series ranged from six hours to more than 10 years. Local and systemic factors were reviewed and were found to be important in the pathogenesis of thrombus formation. Local diseases with a predisposing effect on CRVO included: glaucoma, papilledema, subdural hemorrhage, optic nerve hemorrhage, and drusen of the optic nerve head. Associated systemic diseases included: hypertension, cardiovascular and cerebrovascular disease, diabetes mellitus, and leukemia with thrombocytopenia. A fresh thrombus in the CRVO was observed in three (10.3%), and a recanalized thrombus in 26 eyes (89.7%). Endothelial-cell proliferation was a conspicuous feature in 14 (48.3%) of the eyes. Chronic inflammation in the area of the thrombus, and/or vein wall or perivenular area was observed in 14 (48.3%) of the eyes. Arterial occlusive disease was observed in seven eyes (24.6%). Cystoid macular edema was found in 26 (89.7%) of the eyes.","container-title":"Transactions of the American Ophthalmological Society","ISSN":"0065-9533","journalAbbreviation":"Trans Am Ophthalmol Soc","language":"eng","note":"PMID: 7342407\nPMCID: PMC1312193","page":"371-422","source":"PubMed","title":"Central retinal vein occlusion: a prospective histopathologic study of 29 eyes in 28 cases","title-short":"Central retinal vein occlusion","volume":"79","author":[{"family":"Green","given":"W. R."},{"family":"Chan","given":"C. C."},{"family":"Hutchins","given":"G. M."},{"family":"Terry","given":"J. M."}],"issued":{"date-parts":[["1981"]]}}}],"schema":"https://github.com/citation-style-language/schema/raw/master/csl-citation.json"}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3</w:t>
            </w:r>
            <w:r w:rsidRPr="00897B67">
              <w:rPr>
                <w:rFonts w:eastAsia="Times New Roman"/>
                <w:sz w:val="18"/>
                <w:szCs w:val="18"/>
                <w:lang w:eastAsia="en-GB"/>
              </w:rPr>
              <w:fldChar w:fldCharType="end"/>
            </w:r>
            <w:r w:rsidRPr="00897B67">
              <w:rPr>
                <w:rFonts w:eastAsia="Times New Roman"/>
                <w:sz w:val="18"/>
                <w:szCs w:val="18"/>
                <w:lang w:eastAsia="en-GB"/>
              </w:rPr>
              <w:t>. BRVO</w:t>
            </w:r>
            <w:r w:rsidRPr="00897B67">
              <w:rPr>
                <w:rFonts w:eastAsia="Times New Roman" w:hint="eastAsia"/>
                <w:sz w:val="18"/>
                <w:szCs w:val="18"/>
                <w:lang w:eastAsia="en-GB"/>
              </w:rPr>
              <w:t>s</w:t>
            </w:r>
            <w:r w:rsidRPr="00897B67">
              <w:rPr>
                <w:rFonts w:eastAsia="Times New Roman"/>
                <w:sz w:val="18"/>
                <w:szCs w:val="18"/>
                <w:lang w:eastAsia="en-GB"/>
              </w:rPr>
              <w:t xml:space="preserve"> were observed at sites where arteries cross over veins, particularly those with an artery passing over a vein</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{"citationID":"jvZ8l8Ai","properties":{"formattedCitation":"\\super 43\\nosupersub{}","plainCitation":"43","noteIndex":0},"citationItems":[{"id":1302,"uris":["http://zotero.org/users/9988297/items/QRV3PM8G"],"itemData":{"id":1302,"type":"article-journal","abstract":"PURPOSE: The study was designed to evaluate the relative anatomic position of the crossing vessels at the site of occlusion in eyes with branch retinal vein occlusion (BRVO).\nMETHODS: Fundus photographs of 106 eyes (104 patients) with recent BRVO from the Eye Disease Case-Control Study were used to examine the relative position of artery and vein at occluded crossings. Three separate comparison groups were formed by identifying corresponding arteriovenous crossings for each occluded crossing in: (1) the ipsilateral but opposite vessel arcade within eyes affected by BRVO; (2) the same quadrant in unaffected eyes of BRVO patients; and (3) the same quadrant in eyes of patients without BRVO, matched by age, sex, and race with the BRVO patients.\nRESULTS: The site of obstruction of the branch vein was an arteriovenous crossing in all affected eyes. In 99% of eyes with BRVO, the artery was located anterior to the vein at the obstructed site. In the three comparison groups, the artery was anterior to the vein in 62%, 61%, and 54% of the crossings, respectively, yielding statistically significant differences for each group of control crossings compared with BRVO crossings (P &lt; 0.001).\nCONCLUSION: Finding the vein to be consistently between the more rigid artery and the retina at almost all arteriovenous crossings affected by BRVO suggests a possible role for mechanical obstruction in the pathogenesis of BRVO.","container-title":"Ophthalmology","DOI":"10.1016/s0161-6420(93)31633-7","ISSN":"0161-6420","issue":"3","journalAbbreviation":"Ophthalmology","language":"eng","note":"PMID: 8460014","page":"423-428","source":"PubMed","title":"Arteriovenous crossing patterns in branch retinal vein occlusion. The Eye Disease Case-Control Study Group","volume":"100","author":[{"family":"Zhao","given":"J."},{"family":"Sastry","given":"S. M."},{"family":"Sperduto","given":"R. D."},{"family":"Chew","given":"E. Y."},{"family":"Remaley","given":"N. A."}],"issued":{"date-parts":[["1993",3]]}}}],"schema":"https://github.com/citation-style-language/schema/raw/master/csl-citation.json"}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43</w:t>
            </w:r>
            <w:r w:rsidRPr="00897B67">
              <w:rPr>
                <w:rFonts w:eastAsia="Times New Roman"/>
                <w:sz w:val="18"/>
                <w:szCs w:val="18"/>
                <w:lang w:eastAsia="en-GB"/>
              </w:rPr>
              <w:fldChar w:fldCharType="end"/>
            </w:r>
            <w:r w:rsidRPr="00897B67">
              <w:rPr>
                <w:rFonts w:eastAsia="Times New Roman"/>
                <w:sz w:val="18"/>
                <w:szCs w:val="18"/>
                <w:lang w:eastAsia="en-GB"/>
              </w:rPr>
              <w:t>. In cases of</w:t>
            </w:r>
            <w:r w:rsidRPr="00897B67">
              <w:rPr>
                <w:rFonts w:eastAsia="Times New Roman" w:hint="eastAsia"/>
                <w:sz w:val="18"/>
                <w:szCs w:val="18"/>
                <w:lang w:eastAsia="en-GB"/>
              </w:rPr>
              <w:t xml:space="preserve"> </w:t>
            </w:r>
            <w:r w:rsidRPr="00897B67">
              <w:rPr>
                <w:rFonts w:eastAsia="Times New Roman"/>
                <w:sz w:val="18"/>
                <w:szCs w:val="18"/>
                <w:lang w:eastAsia="en-GB"/>
              </w:rPr>
              <w:t>BRVO, postmortem analysis showed thrombus formation within a retinal vein compressed by a thickened-walled retinal artery crossing over the vein</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{"citationID":"9m5MLNCj","properties":{"formattedCitation":"\\super 4\\nosupersub{}","plainCitation":"4","noteIndex":0},"citationItems":[{"id":1067,"uris":["http://zotero.org/users/9988297/items/WSW5YZX4"],"itemData":{"id":1067,"type":"article-journal","abstract":"Occlusions of nine branch retinal veins in eight eyes of seven patients were studied histopathologically by serial sections through the affected areas. Intravitreal neovascularization from the disc, retina, or both was noted in four eyes. Two additional eyes had intraretinal neovascularization (intraretinal microvascular abnormalities). Cystoid macular edema was present in five eyes. A fresh or recanalized thrombus was noted at the site of vein occlusion in all eyes. Inner ischemic atrophy of the retina was found distal to the area of occlusion in six of the nine affected quadrants of the eight eyes. Although the corresponding branch retinal arteries showed varying degrees of sclerosis (severe, three eyes; moderate, five eyes; and minimal, one eye), no definite thrombus was observed in any of them.","container-title":"Archives of Ophthalmology (Chicago, Ill.: 1960)","DOI":"10.1001/archopht.1982.01030040110020","ISSN":"0003-9950","issue":"7","journalAbbreviation":"Arch Ophthalmol","language":"eng","note":"PMID: 6178389","page":"1132-1140","source":"PubMed","title":"Histopathologic study of nine branch retinal vein occlusions","volume":"100","author":[{"family":"Frangieh","given":"G. T."},{"family":"Green","given":"W. R."},{"family":"Barraquer-Somers","given":"E."},{"family":"Finkelstein","given":"D."}],"issued":{"date-parts":[["1982",7]]}}}],"schema":"https://github.com/citation-style-language/schema/raw/master/csl-citation.json"}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4</w:t>
            </w:r>
            <w:r w:rsidRPr="00897B67">
              <w:rPr>
                <w:rFonts w:eastAsia="Times New Roman"/>
                <w:sz w:val="18"/>
                <w:szCs w:val="18"/>
                <w:lang w:eastAsia="en-GB"/>
              </w:rPr>
              <w:fldChar w:fldCharType="end"/>
            </w:r>
            <w:r w:rsidRPr="00897B67">
              <w:rPr>
                <w:rFonts w:eastAsia="Times New Roman"/>
                <w:sz w:val="18"/>
                <w:szCs w:val="18"/>
                <w:lang w:eastAsia="en-GB"/>
              </w:rPr>
              <w:t>. Narrowing or irregularity of the vessels leads to turbulent flow and causes stress on endothelial cells</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{"citationID":"ggyu2jli","properties":{"formattedCitation":"\\super 44,45\\nosupersub{}","plainCitation":"44,45","noteIndex":0},"citationItems":[{"id":1297,"uris":["http://zotero.org/users/9988297/items/3MPEMVKC"],"itemData":{"id":1297,"type":"article-journal","abstract":"The exact anatomy of the central retinal vein as it exits the eye is unknown. In this study serial sections of the central retinal vein and artery in the anterior optic nerve from six globes (five from cornea donors and one exenteration specimen) were examined by image analysis and three-dimensional reconstruction to determine their luminal characteristics. The retinal artery was found to have a uniform perimetric length and cross-sectional area. The vein, however, had a reduction in these measurements at the level of the lamina cribrosa, signifying a constriction of the vessel at this site. In addition, the cross section of the vein usually formed a \"D\" or crescentic shape adjacent to the circular artery. We propose that the constriction of the vein acts as a \"throttle\" mechanism on venous blood flow. Thus, a relatively high venous blood pressure is maintained within the high-pressure intraocular environment, thereby maintaining the patency of the retinal venules and capillaries.","container-title":"Canadian Journal of Ophthalmology. Journal Canadien D'ophtalmologie","ISSN":"0008-4182","issue":"7","journalAbbreviation":"Can J Ophthalmol","language":"eng","note":"PMID: 8313218","page":"320-324","source":"PubMed","title":"Morphometric assessment of the central retinal artery and vein in the optic nerve head","volume":"28","author":[{"family":"Taylor","given":"A. W."},{"family":"Sehu","given":"W."},{"family":"Williamson","given":"T. H."},{"family":"Lee","given":"W. R."}],"issued":{"date-parts":[["1993",12]]}},"label":"page"},{"id":1299,"uris":["http://zotero.org/users/9988297/items/3JE33C8G"],"itemData":{"id":1299,"type":"article-journal","abstract":"AIMS: To demonstrate a constriction in the central retinal vein in the region of the lamina cribrosa.\nMETHODS: A prospective comparative interventional study of 13 controls and 19 patients with central retinal vein occlusion (CRVO) using colour Doppler imaging of the central retinal artery and vein in the region of the lamina cribrosa and optic nerve posterior to the globe.\nRESULTS: In controls peak velocities in the vein were higher in the region of the lamina cribrosa than the optic nerve, mean 175 mm/second (mm/s) and 49 mm/s respectively, p&lt;0.0001. The velocities in the artery were also higher in the region of the lamina cribrosa, mean 122 mm/s and 92 mm/s, p = 0.007. The variability of the velocities in the region of the lamina cribrosa was 7.4% in the artery and 15.2% in the vein. The mean ratio of the velocities in the vein (4.2 (SD 2.1)) was significantly higher than the mean ratio in the artery (1.4 (SD 0.4), p&lt;0.0001). In CRVO, the mean ratio in the vein was lower in the affected eyes (2.2 (SD 1.9), p&lt;0.01) and fellow unaffected eyes (2.2 (SD 1.0), p = 0.003) than controls. The values were stable in eight after radial optic neurotomy.\nCONCLUSION: The presence of a constriction of the vein in the region of the lamina cribrosa can be inferred from the presence of higher blood velocities at this site than further back in the optic nerve. In CRVO there may be a more uniform narrowing of the vein along its course in the nerve. Neurotomy did not affect the measurements.","container-title":"The British Journal of Ophthalmology","DOI":"10.1136/bjo.2006.102798","ISSN":"0007-1161","issue":"9","journalAbbreviation":"Br J Ophthalmol","language":"eng","note":"PMID: 17005545\nPMCID: PMC1954902","page":"1190-1193","source":"PubMed","title":"A \"throttle\" mechanism in the central retinal vein in the region of the lamina cribrosa","volume":"91","author":[{"family":"Williamson","given":"Tom H."}],"issued":{"date-parts":[["2007",9]]}},"label":"page"}],"schema":"https://github.com/citation-style-language/schema/raw/master/csl-citation.json"}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44,45</w:t>
            </w:r>
            <w:r w:rsidRPr="00897B67">
              <w:rPr>
                <w:rFonts w:eastAsia="Times New Roman"/>
                <w:sz w:val="18"/>
                <w:szCs w:val="18"/>
                <w:lang w:eastAsia="en-GB"/>
              </w:rPr>
              <w:fldChar w:fldCharType="end"/>
            </w:r>
            <w:r w:rsidRPr="00897B67">
              <w:rPr>
                <w:rFonts w:eastAsia="Times New Roman"/>
                <w:sz w:val="18"/>
                <w:szCs w:val="18"/>
                <w:lang w:eastAsia="en-GB"/>
              </w:rPr>
              <w:t>.</w:t>
            </w:r>
          </w:p>
          <w:p w14:paraId="5251245C" w14:textId="547F7259" w:rsidR="00D8098C" w:rsidRPr="00897B67" w:rsidRDefault="00897B67" w:rsidP="00897B67">
            <w:pPr>
              <w:spacing w:beforeLines="40" w:before="96" w:afterLines="40" w:after="96" w:line="24" w:lineRule="atLeast"/>
              <w:rPr>
                <w:rFonts w:eastAsia="Times New Roman"/>
                <w:sz w:val="18"/>
                <w:szCs w:val="18"/>
                <w:lang w:eastAsia="en-GB"/>
              </w:rPr>
            </w:pPr>
            <w:r w:rsidRPr="00897B67">
              <w:rPr>
                <w:rFonts w:eastAsia="Times New Roman"/>
                <w:sz w:val="18"/>
                <w:szCs w:val="18"/>
                <w:lang w:eastAsia="en-GB"/>
              </w:rPr>
              <w:t>Thrombophilia, arising from specific coagulation factor activation, has been implicated in the pathogenesis of thrombosis</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{"citationID":"8pTXXTuq","properties":{"formattedCitation":"\\super 46\\nosupersub{}","plainCitation":"46","noteIndex":0},"citationItems":[{"id":1197,"uris":["http://zotero.org/users/9988297/items/Y8MQD2WS"],"itemData":{"id":1197,"type":"webpage","title":"Retinal vein occlusion: pathophysiology and treatment options - PubMed","URL":"https://pubmed.ncbi.nlm.nih.gov/20689798/","accessed":{"date-parts":[["2023",11,28]]}}}],"schema":"https://github.com/citation-style-language/schema/raw/master/csl-citation.json"}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46</w:t>
            </w:r>
            <w:r w:rsidRPr="00897B67">
              <w:rPr>
                <w:rFonts w:eastAsia="Times New Roman"/>
                <w:sz w:val="18"/>
                <w:szCs w:val="18"/>
                <w:lang w:eastAsia="en-GB"/>
              </w:rPr>
              <w:fldChar w:fldCharType="end"/>
            </w:r>
            <w:r w:rsidRPr="00897B67">
              <w:rPr>
                <w:rFonts w:eastAsia="Times New Roman"/>
                <w:sz w:val="18"/>
                <w:szCs w:val="18"/>
                <w:lang w:eastAsia="en-GB"/>
              </w:rPr>
              <w:t>. Our study notably demonstrates a substantial correlation between genetically projected levels of FIII and FVII and a reduced RVO risk, representing the pioneering identification of a causal nexus between FIII, FVII, and RVO. The activation of the exogenous coagulation pathway begins with FIII, which is released to form a TF-Ca²</w:t>
            </w:r>
            <w:r w:rsidRPr="00897B67">
              <w:rPr>
                <w:rFonts w:ascii="Cambria Math" w:eastAsia="Times New Roman" w:hAnsi="Cambria Math" w:cs="Cambria Math"/>
                <w:sz w:val="18"/>
                <w:szCs w:val="18"/>
                <w:lang w:eastAsia="en-GB"/>
              </w:rPr>
              <w:t>⁺</w:t>
            </w:r>
            <w:r w:rsidRPr="00897B67">
              <w:rPr>
                <w:rFonts w:eastAsia="Times New Roman"/>
                <w:sz w:val="18"/>
                <w:szCs w:val="18"/>
                <w:lang w:eastAsia="en-GB"/>
              </w:rPr>
              <w:t>-FVII complex with FVII in the bloodstream thereby generating a cascade reaction to produce plasminogen activator, which generates thrombin. However, due to the action of procoagulants and anticoagulants, thrombin production by the FIII pathway becomes a threshold-limited process and the small amount of thrombin in the initial phase is insufficient to maintain the coagulation process</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{"citationID":"2sIjUJ1R","properties":{"formattedCitation":"\\super 47\\nosupersub{}","plainCitation":"47","noteIndex":0},"citationItems":[{"id":1320,"uris":["http://zotero.org/users/9988297/items/6SNZSN3T"],"itemData":{"id":1320,"type":"article-journal","abstract":"Three model systems have been used to study the dynamics of the blood clotting process initiated by tissue factor (TF): synthetic plasma mixtures prepared with purified coagulation proteins and inhibitors; mathematical models based on the reaction constants, stoichiometries and thermodynamics of individual catalyst and inhibitor reactions; and contact suppressed whole blood induced to clot in vitro by the addition of exogenous TF. In the three models, the generation of thrombin can be described in terms of an initiation phase in which pmol/l concentrations of the coagulation serine proteases are generated and the cofactor proteins factor V (FV) and FVIII are activated. Subsequently, explosive thrombin generation occurs during a propagation phase. The complementary inhibitory pathways extinguish the generation of thrombin. Tissue factor pathway inhibitor (TFPI), present in low concentrations, primarily influences the duration of the initiation phase and has little influence on the propagation phase. Antithrombin III (ATIII), present in higher concentrations, has little influence during the initiation phase, but decreases the rate of thrombin generation during the propagation phase. The protein C pathway cannot act in the absence of thrombin and therefore only influences the duration of the propagation phase by inactivating activated FV. Thus combinations of TFPI plus ATIII and TFPI plus protein C pathway components contribute to the synergistic inhibitory processes. As a consequence of the roles of pro, and anti-coagulants, the generation of thrombin by the TF pathway becomes a threshold limited process.","container-title":"Blood Coagulation &amp; Fibrinolysis: An International Journal in Haemostasis and Thrombosis","ISSN":"0957-5235","journalAbbreviation":"Blood Coagul Fibrinolysis","language":"eng","note":"PMID: 9819022","page":"S3-7","source":"PubMed","title":"The role of the tissue factor pathway in initiation of coagulation","volume":"9 Suppl 1","author":[{"family":"Mann","given":"K. G."},{"family":"Veer","given":"C.","non-dropping-particle":"van't"},{"family":"Cawthern","given":"K."},{"family":"Butenas","given":"S."}],"issued":{"date-parts":[["1998",3]]}}}],"schema":"https://github.com/citation-style-language/schema/raw/master/csl-citation.json"}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47</w:t>
            </w:r>
            <w:r w:rsidRPr="00897B67">
              <w:rPr>
                <w:rFonts w:eastAsia="Times New Roman"/>
                <w:sz w:val="18"/>
                <w:szCs w:val="18"/>
                <w:lang w:eastAsia="en-GB"/>
              </w:rPr>
              <w:fldChar w:fldCharType="end"/>
            </w:r>
            <w:r w:rsidRPr="00897B67">
              <w:rPr>
                <w:rFonts w:eastAsia="Times New Roman"/>
                <w:sz w:val="18"/>
                <w:szCs w:val="18"/>
                <w:lang w:eastAsia="en-GB"/>
              </w:rPr>
              <w:t>. Despite the presence of a small amount of activated FVII in the blood, the coagulation process is similarly not initiated without the release of tissue factor.</w:t>
            </w:r>
            <w:r w:rsidRPr="00897B67">
              <w:rPr>
                <w:rFonts w:eastAsia="Times New Roman" w:hint="eastAsia"/>
                <w:sz w:val="18"/>
                <w:szCs w:val="18"/>
                <w:lang w:eastAsia="en-GB"/>
              </w:rPr>
              <w:t xml:space="preserve"> </w:t>
            </w:r>
            <w:r w:rsidRPr="00897B67">
              <w:rPr>
                <w:rFonts w:eastAsia="Times New Roman"/>
                <w:sz w:val="18"/>
                <w:szCs w:val="18"/>
                <w:lang w:eastAsia="en-GB"/>
              </w:rPr>
              <w:t xml:space="preserve"> However, Hunter et al.'s prospective study, encompassing 18 central RVO and 22 branch RVO cases, did not discern a significant correlation between FVII and RVO</w:t>
            </w:r>
            <w:r w:rsidRPr="00897B67">
              <w:rPr>
                <w:rFonts w:eastAsia="Times New Roman"/>
                <w:sz w:val="18"/>
                <w:szCs w:val="18"/>
                <w:lang w:eastAsia="en-GB"/>
              </w:rPr>
              <w:fldChar w:fldCharType="begin"/>
            </w:r>
            <w:r w:rsidRPr="00897B67">
              <w:rPr>
                <w:rFonts w:eastAsia="Times New Roman"/>
                <w:sz w:val="18"/>
                <w:szCs w:val="18"/>
                <w:lang w:eastAsia="en-GB"/>
              </w:rPr>
              <w:instrText xml:space="preserve"> ADDIN ZOTERO_ITEM CSL_CITATION {"citationID":"ptMWhcXv","properties":{"formattedCitation":"\\super 48\\nosupersub{}","plainCitation":"48","noteIndex":0},"citationItems":[{"id":1199,"uris":["http://zotero.org/users/9988297/items/WCQPHLSI"],"itemData":{"id":1199,"type":"article-journal","container-title":"The New England Journal of Medicine","DOI":"10.1056/NEJMra1700365","ISSN":"1533-4406","issue":"12","journalAbbreviation":"N Engl J Med","language":"eng","note":"PMID: 28930509","page":"1177-1187","source":"PubMed","title":"Thrombophilia Testing and Venous Thrombosis","volume":"377","author":[{"family":"Connors","given":"Jean M."}],"issued":{"date-parts":[["2017",9,21]]}}}],"schema":"https://github.com/citation-style-language/schema/raw/master/csl-citation.json"} </w:instrText>
            </w:r>
            <w:r w:rsidRPr="00897B67">
              <w:rPr>
                <w:rFonts w:eastAsia="Times New Roman"/>
                <w:sz w:val="18"/>
                <w:szCs w:val="18"/>
                <w:lang w:eastAsia="en-GB"/>
              </w:rPr>
              <w:fldChar w:fldCharType="separate"/>
            </w:r>
            <w:r w:rsidRPr="00897B67">
              <w:rPr>
                <w:rFonts w:eastAsia="Times New Roman"/>
                <w:sz w:val="18"/>
                <w:szCs w:val="18"/>
                <w:lang w:eastAsia="en-GB"/>
              </w:rPr>
              <w:t>48</w:t>
            </w:r>
            <w:r w:rsidRPr="00897B67">
              <w:rPr>
                <w:rFonts w:eastAsia="Times New Roman"/>
                <w:sz w:val="18"/>
                <w:szCs w:val="18"/>
                <w:lang w:eastAsia="en-GB"/>
              </w:rPr>
              <w:fldChar w:fldCharType="end"/>
            </w:r>
            <w:r w:rsidRPr="00897B67">
              <w:rPr>
                <w:rFonts w:eastAsia="Times New Roman"/>
                <w:sz w:val="18"/>
                <w:szCs w:val="18"/>
                <w:lang w:eastAsia="en-GB"/>
              </w:rPr>
              <w:t xml:space="preserve">. Nonetheless, our </w:t>
            </w:r>
            <w:r w:rsidRPr="00897B67">
              <w:rPr>
                <w:rFonts w:eastAsia="Times New Roman"/>
                <w:sz w:val="18"/>
                <w:szCs w:val="18"/>
                <w:lang w:eastAsia="en-GB"/>
              </w:rPr>
              <w:lastRenderedPageBreak/>
              <w:t>findings significantly contribute to understanding the potential association between coagulation factors and RVO risk.</w:t>
            </w:r>
          </w:p>
        </w:tc>
      </w:tr>
      <w:tr w:rsidR="00D8098C" w:rsidRPr="00B853C6" w14:paraId="156B69E5" w14:textId="453FC5BE" w:rsidTr="003D447D">
        <w:tc>
          <w:tcPr>
            <w:tcW w:w="587" w:type="dxa"/>
            <w:shd w:val="clear" w:color="auto" w:fill="EEEEEE"/>
          </w:tcPr>
          <w:p w14:paraId="4C8A221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sidR="00ED48A3">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1DE80A47" w:rsidR="00D8098C" w:rsidRPr="00897B67" w:rsidRDefault="00897B6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14</w:t>
            </w:r>
          </w:p>
        </w:tc>
        <w:tc>
          <w:tcPr>
            <w:tcW w:w="4320" w:type="dxa"/>
            <w:shd w:val="clear" w:color="auto" w:fill="EEEEEE"/>
          </w:tcPr>
          <w:p w14:paraId="3A91F000" w14:textId="2B0E8B5B" w:rsidR="00D8098C" w:rsidRPr="00897B67" w:rsidRDefault="00897B67" w:rsidP="00426603">
            <w:pPr>
              <w:spacing w:beforeLines="40" w:before="96" w:afterLines="40" w:after="96" w:line="24" w:lineRule="atLeast"/>
              <w:rPr>
                <w:rFonts w:eastAsia="Times New Roman"/>
                <w:sz w:val="18"/>
                <w:szCs w:val="18"/>
                <w:lang w:val="en-US" w:eastAsia="en-GB"/>
              </w:rPr>
            </w:pPr>
            <w:r w:rsidRPr="00897B67">
              <w:rPr>
                <w:rFonts w:eastAsia="Times New Roman"/>
                <w:sz w:val="18"/>
                <w:szCs w:val="18"/>
                <w:lang w:val="en-US" w:eastAsia="en-GB"/>
              </w:rPr>
              <w:t>To our knowledge, this is the first study to evaluate MR studies that have assessed how different coagulation characteristics affect the risk of RVO, and the first to provide pooled estimates of the causal effects of FIII, FVII, FVIII, MPV and PCT on the risk of RVO. In addition, previous observational studies provided conflicting correlations and biological assumptions. By providing causality estimates, our study eliminates the true extent of the biological effects of relevant confounding risk factors on RVO.</w:t>
            </w:r>
          </w:p>
        </w:tc>
      </w:tr>
      <w:tr w:rsidR="00D8098C" w:rsidRPr="00B853C6" w14:paraId="203390A0" w14:textId="367D17C4" w:rsidTr="003D447D">
        <w:tc>
          <w:tcPr>
            <w:tcW w:w="587" w:type="dxa"/>
            <w:shd w:val="clear" w:color="auto" w:fill="auto"/>
          </w:tcPr>
          <w:p w14:paraId="54CA3A2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D8098C" w:rsidRPr="00A1236D" w:rsidRDefault="00D8098C" w:rsidP="00426603">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4EED3081" w:rsidR="00D8098C" w:rsidRPr="00897B67" w:rsidRDefault="00897B67" w:rsidP="00426603">
            <w:pPr>
              <w:tabs>
                <w:tab w:val="left" w:pos="1350"/>
              </w:tabs>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14</w:t>
            </w:r>
          </w:p>
        </w:tc>
        <w:tc>
          <w:tcPr>
            <w:tcW w:w="4320" w:type="dxa"/>
          </w:tcPr>
          <w:p w14:paraId="78058AE6" w14:textId="69F4136B" w:rsidR="00D8098C" w:rsidRPr="00897B67" w:rsidRDefault="00897B67" w:rsidP="00426603">
            <w:pPr>
              <w:tabs>
                <w:tab w:val="left" w:pos="1350"/>
              </w:tabs>
              <w:spacing w:beforeLines="40" w:before="96" w:afterLines="40" w:after="96" w:line="24" w:lineRule="atLeast"/>
              <w:rPr>
                <w:rFonts w:eastAsia="Times New Roman"/>
                <w:sz w:val="18"/>
                <w:szCs w:val="18"/>
                <w:lang w:val="en-US" w:eastAsia="en-GB"/>
              </w:rPr>
            </w:pPr>
            <w:r w:rsidRPr="00897B67">
              <w:rPr>
                <w:rFonts w:eastAsia="Times New Roman"/>
                <w:sz w:val="18"/>
                <w:szCs w:val="18"/>
                <w:lang w:val="en-US" w:eastAsia="en-GB"/>
              </w:rPr>
              <w:t xml:space="preserve">Platelet play a pivotal role in thrombo-occlusive disorders, with MPV serving as a vital indicator of platelet size and activity. Larger platelets exhibit heightened reactivity, increased thromboxane A2 production, elevated expression of glycoprotein </w:t>
            </w:r>
            <w:proofErr w:type="spellStart"/>
            <w:r w:rsidRPr="00897B67">
              <w:rPr>
                <w:rFonts w:eastAsia="Times New Roman"/>
                <w:sz w:val="18"/>
                <w:szCs w:val="18"/>
                <w:lang w:val="en-US" w:eastAsia="en-GB"/>
              </w:rPr>
              <w:t>Ib</w:t>
            </w:r>
            <w:proofErr w:type="spellEnd"/>
            <w:r w:rsidRPr="00897B67">
              <w:rPr>
                <w:rFonts w:eastAsia="Times New Roman"/>
                <w:sz w:val="18"/>
                <w:szCs w:val="18"/>
                <w:lang w:val="en-US" w:eastAsia="en-GB"/>
              </w:rPr>
              <w:t xml:space="preserve"> and glycoprotein IIb/IIIa receptors, and a greater propensity for aggregation70,71. The etiology of hypercoagulable states in RVO remains uncertain, lacking robust validation for extensive screening of thrombotic and coagulopathic conditions in most patients. However, assessing underlying coagulopathies might be warranted when routine tests for common cardiovascular risk factors yield negative results. These investigations should delve into the effects of various coagulation factors and platelet function on RVO, utilizing MR studies with more extensive sample sizes. Furthermore, conducting RVO MR studies among GWAS cohorts of diverse ethnicities will elucidate how distinct genetic compositions and diverse environments from inter-ethnic diversity influence the causal implications of specific coagulation profile-related risk factors in RVO development.</w:t>
            </w:r>
          </w:p>
        </w:tc>
      </w:tr>
      <w:tr w:rsidR="00D8098C" w:rsidRPr="00B853C6" w14:paraId="71FDAFC1" w14:textId="00A47F15" w:rsidTr="003D447D">
        <w:tc>
          <w:tcPr>
            <w:tcW w:w="587" w:type="dxa"/>
            <w:tcBorders>
              <w:bottom w:val="single" w:sz="6" w:space="0" w:color="7F7F7F"/>
            </w:tcBorders>
            <w:shd w:val="clear" w:color="auto" w:fill="EEEEEE"/>
          </w:tcPr>
          <w:p w14:paraId="7540155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06E18026" w:rsidR="00D8098C" w:rsidRPr="00897B67" w:rsidRDefault="00897B6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14</w:t>
            </w:r>
          </w:p>
        </w:tc>
        <w:tc>
          <w:tcPr>
            <w:tcW w:w="4320" w:type="dxa"/>
            <w:tcBorders>
              <w:bottom w:val="single" w:sz="6" w:space="0" w:color="7F7F7F"/>
            </w:tcBorders>
            <w:shd w:val="clear" w:color="auto" w:fill="EEEEEE"/>
          </w:tcPr>
          <w:p w14:paraId="41ABF5A9" w14:textId="4F2AC9DD" w:rsidR="00D8098C" w:rsidRPr="00897B67" w:rsidRDefault="00897B67" w:rsidP="00426603">
            <w:pPr>
              <w:spacing w:beforeLines="40" w:before="96" w:afterLines="40" w:after="96" w:line="24" w:lineRule="atLeast"/>
              <w:rPr>
                <w:rFonts w:eastAsia="Times New Roman"/>
                <w:sz w:val="18"/>
                <w:szCs w:val="18"/>
                <w:lang w:val="en-US" w:eastAsia="en-GB"/>
              </w:rPr>
            </w:pPr>
            <w:r w:rsidRPr="00897B67">
              <w:rPr>
                <w:rFonts w:eastAsia="Times New Roman"/>
                <w:sz w:val="18"/>
                <w:szCs w:val="18"/>
                <w:lang w:val="en-US" w:eastAsia="en-GB"/>
              </w:rPr>
              <w:t xml:space="preserve">Platelet play a pivotal role in thrombo-occlusive disorders, with MPV serving as a vital indicator of platelet size and activity. Larger platelets exhibit heightened reactivity, increased thromboxane A2 production, elevated expression of glycoprotein </w:t>
            </w:r>
            <w:proofErr w:type="spellStart"/>
            <w:r w:rsidRPr="00897B67">
              <w:rPr>
                <w:rFonts w:eastAsia="Times New Roman"/>
                <w:sz w:val="18"/>
                <w:szCs w:val="18"/>
                <w:lang w:val="en-US" w:eastAsia="en-GB"/>
              </w:rPr>
              <w:t>Ib</w:t>
            </w:r>
            <w:proofErr w:type="spellEnd"/>
            <w:r w:rsidRPr="00897B67">
              <w:rPr>
                <w:rFonts w:eastAsia="Times New Roman"/>
                <w:sz w:val="18"/>
                <w:szCs w:val="18"/>
                <w:lang w:val="en-US" w:eastAsia="en-GB"/>
              </w:rPr>
              <w:t xml:space="preserve"> and glycoprotein IIb/IIIa receptors, and a greater propensity for aggregation70,71. The etiology of hypercoagulable states in RVO remains uncertain, </w:t>
            </w:r>
            <w:r w:rsidRPr="00897B67">
              <w:rPr>
                <w:rFonts w:eastAsia="Times New Roman"/>
                <w:sz w:val="18"/>
                <w:szCs w:val="18"/>
                <w:lang w:val="en-US" w:eastAsia="en-GB"/>
              </w:rPr>
              <w:lastRenderedPageBreak/>
              <w:t>lacking robust validation for extensive screening of thrombotic and coagulopathic conditions in most patients. However, assessing underlying coagulopathies might be warranted when routine tests for common cardiovascular risk factors yield negative results. These investigations should delve into the effects of various coagulation factors and platelet function on RVO, utilizing MR studies with more extensive sample sizes. Furthermore, conducting RVO MR studies among GWAS cohorts of diverse ethnicities will elucidate how distinct genetic compositions and diverse environments from inter-ethnic diversity influence the causal implications of specific coagulation profile-related risk factors in RVO development.</w:t>
            </w:r>
          </w:p>
        </w:tc>
      </w:tr>
      <w:tr w:rsidR="00D8098C" w:rsidRPr="00B853C6" w14:paraId="57884E75" w14:textId="6FD41AE6" w:rsidTr="003D447D">
        <w:tc>
          <w:tcPr>
            <w:tcW w:w="587" w:type="dxa"/>
            <w:tcBorders>
              <w:top w:val="single" w:sz="6" w:space="0" w:color="7F7F7F"/>
            </w:tcBorders>
            <w:shd w:val="clear" w:color="auto" w:fill="auto"/>
          </w:tcPr>
          <w:p w14:paraId="2C4C694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0014C6D1" w14:textId="2FC4D004" w:rsidTr="003D447D">
        <w:tc>
          <w:tcPr>
            <w:tcW w:w="587" w:type="dxa"/>
            <w:shd w:val="clear" w:color="auto" w:fill="EEEEEE"/>
          </w:tcPr>
          <w:p w14:paraId="2336D08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08B71EF7" w:rsidR="00D8098C" w:rsidRPr="00897B67" w:rsidRDefault="00897B6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16</w:t>
            </w:r>
          </w:p>
        </w:tc>
        <w:tc>
          <w:tcPr>
            <w:tcW w:w="4320" w:type="dxa"/>
            <w:shd w:val="clear" w:color="auto" w:fill="EEEEEE"/>
          </w:tcPr>
          <w:p w14:paraId="2C6CE5FF" w14:textId="147EB701" w:rsidR="00D8098C" w:rsidRDefault="00897B67" w:rsidP="00426603">
            <w:pPr>
              <w:spacing w:beforeLines="40" w:before="96" w:afterLines="40" w:after="96" w:line="24" w:lineRule="atLeast"/>
              <w:rPr>
                <w:rFonts w:eastAsia="Times New Roman"/>
                <w:sz w:val="18"/>
                <w:szCs w:val="18"/>
                <w:lang w:val="en-GB" w:eastAsia="en-GB"/>
              </w:rPr>
            </w:pPr>
            <w:r w:rsidRPr="00897B67">
              <w:rPr>
                <w:rFonts w:eastAsia="Times New Roman"/>
                <w:sz w:val="18"/>
                <w:szCs w:val="18"/>
                <w:lang w:val="en-GB" w:eastAsia="en-GB"/>
              </w:rPr>
              <w:t>Not applicable.</w:t>
            </w:r>
          </w:p>
        </w:tc>
      </w:tr>
      <w:tr w:rsidR="00D8098C" w:rsidRPr="00B853C6" w14:paraId="1B22CB41" w14:textId="102364C9" w:rsidTr="003D447D">
        <w:tc>
          <w:tcPr>
            <w:tcW w:w="587" w:type="dxa"/>
            <w:shd w:val="clear" w:color="auto" w:fill="auto"/>
          </w:tcPr>
          <w:p w14:paraId="381BF2B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2F075959" w:rsidR="00D8098C" w:rsidRPr="00897B67" w:rsidRDefault="00897B6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16</w:t>
            </w:r>
          </w:p>
        </w:tc>
        <w:tc>
          <w:tcPr>
            <w:tcW w:w="4320" w:type="dxa"/>
          </w:tcPr>
          <w:p w14:paraId="38DE3AA7" w14:textId="2A224F43" w:rsidR="00D8098C" w:rsidRPr="00897B67" w:rsidRDefault="00897B67" w:rsidP="00426603">
            <w:pPr>
              <w:spacing w:beforeLines="40" w:before="96" w:afterLines="40" w:after="96" w:line="24" w:lineRule="atLeast"/>
              <w:rPr>
                <w:rFonts w:eastAsia="Times New Roman"/>
                <w:sz w:val="18"/>
                <w:szCs w:val="18"/>
                <w:lang w:val="en-US" w:eastAsia="en-GB"/>
              </w:rPr>
            </w:pPr>
            <w:r w:rsidRPr="00897B67">
              <w:rPr>
                <w:rFonts w:eastAsia="Times New Roman"/>
                <w:sz w:val="18"/>
                <w:szCs w:val="18"/>
                <w:lang w:val="en-US" w:eastAsia="en-GB"/>
              </w:rPr>
              <w:t>We analyzed publicly available datasets which can be found here: The IEU Open GWAS Project database (https://gwas.mrcieu.ac.uk/).</w:t>
            </w:r>
          </w:p>
        </w:tc>
      </w:tr>
      <w:tr w:rsidR="00897B67" w:rsidRPr="00B853C6" w14:paraId="1BFE6A86" w14:textId="26747AA0" w:rsidTr="003D447D">
        <w:tc>
          <w:tcPr>
            <w:tcW w:w="587" w:type="dxa"/>
            <w:tcBorders>
              <w:bottom w:val="single" w:sz="6" w:space="0" w:color="7F7F7F"/>
            </w:tcBorders>
            <w:shd w:val="clear" w:color="auto" w:fill="EEEEEE"/>
          </w:tcPr>
          <w:p w14:paraId="20DC2C92" w14:textId="77777777" w:rsidR="00897B67" w:rsidRPr="00F0337F" w:rsidRDefault="00897B67" w:rsidP="00897B67">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897B67" w:rsidRPr="00F0337F" w:rsidRDefault="00897B67" w:rsidP="00897B67">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897B67" w:rsidRPr="00F0337F" w:rsidRDefault="00897B67" w:rsidP="00897B67">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72531EAB" w:rsidR="00897B67" w:rsidRPr="00F0337F" w:rsidRDefault="00897B67" w:rsidP="00897B67">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16</w:t>
            </w:r>
          </w:p>
        </w:tc>
        <w:tc>
          <w:tcPr>
            <w:tcW w:w="4320" w:type="dxa"/>
            <w:tcBorders>
              <w:bottom w:val="single" w:sz="6" w:space="0" w:color="7F7F7F"/>
            </w:tcBorders>
            <w:shd w:val="clear" w:color="auto" w:fill="EEEEEE"/>
          </w:tcPr>
          <w:p w14:paraId="5D9123A4" w14:textId="79CC8007" w:rsidR="00897B67" w:rsidRDefault="00897B67" w:rsidP="00897B67">
            <w:pPr>
              <w:spacing w:beforeLines="40" w:before="96" w:afterLines="40" w:after="96" w:line="24" w:lineRule="atLeast"/>
              <w:rPr>
                <w:rFonts w:eastAsia="Times New Roman"/>
                <w:sz w:val="18"/>
                <w:szCs w:val="18"/>
                <w:lang w:val="en-GB" w:eastAsia="en-GB"/>
              </w:rPr>
            </w:pPr>
            <w:r w:rsidRPr="00897B67">
              <w:rPr>
                <w:rFonts w:eastAsia="Times New Roman"/>
                <w:sz w:val="18"/>
                <w:szCs w:val="18"/>
                <w:lang w:val="en-US" w:eastAsia="en-GB"/>
              </w:rPr>
              <w:t>This MR study, which exclusively utilized publicly available summary statistics, was exempt from ethical approval.</w:t>
            </w:r>
          </w:p>
        </w:tc>
      </w:tr>
    </w:tbl>
    <w:p w14:paraId="386115B2" w14:textId="17D6D8D3" w:rsidR="00785EC1"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86D03B" w14:textId="77777777" w:rsidR="00C66259" w:rsidRDefault="00C66259">
      <w:pPr>
        <w:spacing w:line="240" w:lineRule="auto"/>
      </w:pPr>
      <w:r>
        <w:separator/>
      </w:r>
    </w:p>
  </w:endnote>
  <w:endnote w:type="continuationSeparator" w:id="0">
    <w:p w14:paraId="660238A9" w14:textId="77777777" w:rsidR="00C66259" w:rsidRDefault="00C662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785EC1" w:rsidRDefault="00785EC1" w:rsidP="00A365E5">
    <w:pPr>
      <w:pStyle w:val="a3"/>
      <w:framePr w:wrap="none" w:vAnchor="text" w:hAnchor="margin" w:xAlign="right" w:y="1"/>
      <w:rPr>
        <w:rStyle w:val="a5"/>
      </w:rPr>
    </w:pPr>
  </w:p>
  <w:p w14:paraId="40A0897E" w14:textId="77777777" w:rsidR="00785EC1" w:rsidRDefault="00785EC1"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785EC1"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785EC1" w:rsidRDefault="00785EC1"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F0AFFE" w14:textId="77777777" w:rsidR="00C66259" w:rsidRDefault="00C66259">
      <w:pPr>
        <w:spacing w:line="240" w:lineRule="auto"/>
      </w:pPr>
      <w:r>
        <w:separator/>
      </w:r>
    </w:p>
  </w:footnote>
  <w:footnote w:type="continuationSeparator" w:id="0">
    <w:p w14:paraId="47A73F2D" w14:textId="77777777" w:rsidR="00C66259" w:rsidRDefault="00C6625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16EC9"/>
    <w:rsid w:val="000A4CE8"/>
    <w:rsid w:val="000A653B"/>
    <w:rsid w:val="0013534A"/>
    <w:rsid w:val="00200208"/>
    <w:rsid w:val="002663E6"/>
    <w:rsid w:val="002C5093"/>
    <w:rsid w:val="00386F82"/>
    <w:rsid w:val="003D447D"/>
    <w:rsid w:val="003D47DD"/>
    <w:rsid w:val="004105DB"/>
    <w:rsid w:val="004B5CBB"/>
    <w:rsid w:val="004E11D4"/>
    <w:rsid w:val="00514462"/>
    <w:rsid w:val="005520ED"/>
    <w:rsid w:val="005A0D0D"/>
    <w:rsid w:val="00685D31"/>
    <w:rsid w:val="006912BF"/>
    <w:rsid w:val="006A41D0"/>
    <w:rsid w:val="006B08D5"/>
    <w:rsid w:val="00785EC1"/>
    <w:rsid w:val="007A23BC"/>
    <w:rsid w:val="00804498"/>
    <w:rsid w:val="00897B67"/>
    <w:rsid w:val="00914C56"/>
    <w:rsid w:val="00950729"/>
    <w:rsid w:val="009854A9"/>
    <w:rsid w:val="009E033F"/>
    <w:rsid w:val="009E1BCD"/>
    <w:rsid w:val="00A2258F"/>
    <w:rsid w:val="00AA040F"/>
    <w:rsid w:val="00BB6328"/>
    <w:rsid w:val="00C66259"/>
    <w:rsid w:val="00D65199"/>
    <w:rsid w:val="00D8098C"/>
    <w:rsid w:val="00E522A2"/>
    <w:rsid w:val="00ED48A3"/>
    <w:rsid w:val="00EF4B94"/>
    <w:rsid w:val="00F8160B"/>
    <w:rsid w:val="00FD06C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paragraph" w:styleId="a7">
    <w:name w:val="header"/>
    <w:basedOn w:val="a"/>
    <w:link w:val="a8"/>
    <w:uiPriority w:val="99"/>
    <w:unhideWhenUsed/>
    <w:rsid w:val="00200208"/>
    <w:pPr>
      <w:tabs>
        <w:tab w:val="center" w:pos="4153"/>
        <w:tab w:val="right" w:pos="8306"/>
      </w:tabs>
      <w:snapToGrid w:val="0"/>
      <w:spacing w:line="240" w:lineRule="auto"/>
      <w:jc w:val="center"/>
    </w:pPr>
    <w:rPr>
      <w:sz w:val="18"/>
      <w:szCs w:val="18"/>
    </w:rPr>
  </w:style>
  <w:style w:type="character" w:customStyle="1" w:styleId="a8">
    <w:name w:val="页眉 字符"/>
    <w:basedOn w:val="a0"/>
    <w:link w:val="a7"/>
    <w:uiPriority w:val="99"/>
    <w:rsid w:val="00200208"/>
    <w:rPr>
      <w:rFonts w:ascii="Arial" w:eastAsia="Arial" w:hAnsi="Arial" w:cs="Arial"/>
      <w:sz w:val="18"/>
      <w:szCs w:val="18"/>
      <w:lang w:val="en" w:eastAsia="de-CH"/>
    </w:rPr>
  </w:style>
  <w:style w:type="paragraph" w:styleId="a9">
    <w:name w:val="No Spacing"/>
    <w:uiPriority w:val="1"/>
    <w:qFormat/>
    <w:rsid w:val="002C5093"/>
    <w:pPr>
      <w:widowControl w:val="0"/>
      <w:spacing w:after="0" w:line="240" w:lineRule="auto"/>
      <w:jc w:val="both"/>
    </w:pPr>
    <w:rPr>
      <w:kern w:val="2"/>
      <w:sz w:val="21"/>
      <w:lang w:val="en-US"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3.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DF20111-77FD-4F18-8E31-D737874646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8948</Words>
  <Characters>51006</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59835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超仪 原</cp:lastModifiedBy>
  <cp:revision>2</cp:revision>
  <cp:lastPrinted>2021-09-28T07:08:00Z</cp:lastPrinted>
  <dcterms:created xsi:type="dcterms:W3CDTF">2024-07-09T13:47:00Z</dcterms:created>
  <dcterms:modified xsi:type="dcterms:W3CDTF">2024-07-09T13:47:00Z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